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
        <w:rPr>
          <w:rFonts w:ascii="宋体" w:hAnsi="宋体"/>
          <w:b/>
          <w:bCs w:val="0"/>
          <w:sz w:val="28"/>
          <w:szCs w:val="32"/>
          <w:highlight w:val="none"/>
        </w:rPr>
      </w:pPr>
    </w:p>
    <w:p>
      <w:pPr>
        <w:spacing w:beforeLines="30"/>
        <w:rPr>
          <w:rFonts w:ascii="宋体" w:hAnsi="宋体"/>
          <w:b/>
          <w:bCs w:val="0"/>
          <w:sz w:val="28"/>
          <w:szCs w:val="32"/>
          <w:highlight w:val="none"/>
        </w:rPr>
      </w:pPr>
    </w:p>
    <w:p>
      <w:pPr>
        <w:spacing w:beforeLines="30" w:line="360" w:lineRule="auto"/>
        <w:jc w:val="both"/>
        <w:rPr>
          <w:rFonts w:hint="eastAsia" w:ascii="宋体" w:hAnsi="宋体" w:eastAsia="宋体" w:cs="宋体"/>
          <w:b/>
          <w:bCs w:val="0"/>
          <w:sz w:val="24"/>
          <w:szCs w:val="24"/>
          <w:highlight w:val="none"/>
          <w:lang w:val="en-US" w:eastAsia="zh-CN"/>
        </w:rPr>
      </w:pPr>
    </w:p>
    <w:p>
      <w:pPr>
        <w:spacing w:beforeLines="30" w:line="360" w:lineRule="auto"/>
        <w:jc w:val="center"/>
        <w:rPr>
          <w:rFonts w:ascii="黑体" w:hAnsi="黑体" w:eastAsia="黑体" w:cs="黑体"/>
          <w:b/>
          <w:bCs w:val="0"/>
          <w:sz w:val="48"/>
          <w:szCs w:val="52"/>
          <w:highlight w:val="none"/>
        </w:rPr>
      </w:pPr>
    </w:p>
    <w:p>
      <w:pPr>
        <w:spacing w:beforeLines="30" w:line="360" w:lineRule="auto"/>
        <w:jc w:val="center"/>
        <w:rPr>
          <w:rFonts w:ascii="黑体" w:hAnsi="黑体" w:eastAsia="黑体" w:cs="黑体"/>
          <w:b/>
          <w:bCs w:val="0"/>
          <w:sz w:val="48"/>
          <w:szCs w:val="52"/>
          <w:highlight w:val="none"/>
        </w:rPr>
      </w:pPr>
      <w:r>
        <w:rPr>
          <w:rFonts w:hint="eastAsia" w:ascii="黑体" w:hAnsi="黑体" w:eastAsia="黑体" w:cs="黑体"/>
          <w:b/>
          <w:bCs w:val="0"/>
          <w:sz w:val="48"/>
          <w:szCs w:val="52"/>
          <w:highlight w:val="none"/>
        </w:rPr>
        <w:t>深圳市鹏劳人力资源管理有限公司</w:t>
      </w:r>
    </w:p>
    <w:p>
      <w:pPr>
        <w:spacing w:beforeLines="30" w:line="360" w:lineRule="auto"/>
        <w:jc w:val="center"/>
        <w:rPr>
          <w:rFonts w:ascii="黑体" w:hAnsi="黑体" w:eastAsia="黑体" w:cs="黑体"/>
          <w:b/>
          <w:bCs w:val="0"/>
          <w:sz w:val="48"/>
          <w:szCs w:val="52"/>
          <w:highlight w:val="none"/>
        </w:rPr>
      </w:pPr>
      <w:r>
        <w:rPr>
          <w:rFonts w:hint="eastAsia" w:ascii="黑体" w:hAnsi="黑体" w:eastAsia="黑体" w:cs="黑体"/>
          <w:b/>
          <w:bCs w:val="0"/>
          <w:sz w:val="48"/>
          <w:szCs w:val="52"/>
          <w:highlight w:val="none"/>
        </w:rPr>
        <w:t xml:space="preserve">  员工</w:t>
      </w:r>
      <w:r>
        <w:rPr>
          <w:rFonts w:hint="eastAsia" w:ascii="黑体" w:hAnsi="黑体" w:eastAsia="黑体" w:cs="黑体"/>
          <w:b/>
          <w:bCs w:val="0"/>
          <w:sz w:val="48"/>
          <w:szCs w:val="52"/>
          <w:highlight w:val="none"/>
          <w:lang w:val="en-US" w:eastAsia="zh-CN"/>
        </w:rPr>
        <w:t>2021年度健康</w:t>
      </w:r>
      <w:r>
        <w:rPr>
          <w:rFonts w:hint="eastAsia" w:ascii="黑体" w:hAnsi="黑体" w:eastAsia="黑体" w:cs="黑体"/>
          <w:b/>
          <w:bCs w:val="0"/>
          <w:sz w:val="48"/>
          <w:szCs w:val="52"/>
          <w:highlight w:val="none"/>
        </w:rPr>
        <w:t>体检服务采购</w:t>
      </w:r>
    </w:p>
    <w:p>
      <w:pPr>
        <w:spacing w:beforeLines="30" w:line="360" w:lineRule="auto"/>
        <w:jc w:val="center"/>
        <w:rPr>
          <w:rFonts w:ascii="黑体" w:hAnsi="黑体" w:eastAsia="黑体" w:cs="黑体"/>
          <w:b/>
          <w:bCs w:val="0"/>
          <w:sz w:val="48"/>
          <w:szCs w:val="52"/>
          <w:highlight w:val="none"/>
        </w:rPr>
      </w:pPr>
      <w:r>
        <w:rPr>
          <w:rFonts w:hint="eastAsia" w:ascii="黑体" w:hAnsi="黑体" w:eastAsia="黑体" w:cs="黑体"/>
          <w:b/>
          <w:bCs w:val="0"/>
          <w:sz w:val="48"/>
          <w:szCs w:val="52"/>
          <w:highlight w:val="none"/>
        </w:rPr>
        <w:t>招标文件</w:t>
      </w:r>
    </w:p>
    <w:p>
      <w:pPr>
        <w:spacing w:beforeLines="30" w:line="360" w:lineRule="auto"/>
        <w:jc w:val="center"/>
        <w:rPr>
          <w:rFonts w:ascii="宋体" w:hAnsi="宋体"/>
          <w:b/>
          <w:bCs w:val="0"/>
          <w:sz w:val="48"/>
          <w:szCs w:val="52"/>
          <w:highlight w:val="none"/>
        </w:rPr>
      </w:pPr>
    </w:p>
    <w:p>
      <w:pPr>
        <w:spacing w:beforeLines="30"/>
        <w:jc w:val="center"/>
        <w:rPr>
          <w:rFonts w:ascii="黑体" w:hAnsi="黑体" w:eastAsia="黑体" w:cs="黑体"/>
          <w:b/>
          <w:bCs w:val="0"/>
          <w:sz w:val="40"/>
          <w:szCs w:val="40"/>
          <w:highlight w:val="none"/>
        </w:rPr>
      </w:pPr>
      <w:r>
        <w:rPr>
          <w:rFonts w:hint="eastAsia" w:ascii="黑体" w:hAnsi="黑体" w:eastAsia="黑体" w:cs="黑体"/>
          <w:b/>
          <w:bCs w:val="0"/>
          <w:sz w:val="40"/>
          <w:szCs w:val="40"/>
          <w:highlight w:val="none"/>
        </w:rPr>
        <w:t>采购类别:服务采购</w:t>
      </w:r>
    </w:p>
    <w:p>
      <w:pPr>
        <w:spacing w:beforeLines="30"/>
        <w:jc w:val="center"/>
        <w:rPr>
          <w:rFonts w:hint="default" w:ascii="黑体" w:hAnsi="黑体" w:eastAsia="黑体" w:cs="黑体"/>
          <w:b/>
          <w:bCs w:val="0"/>
          <w:sz w:val="40"/>
          <w:szCs w:val="40"/>
          <w:highlight w:val="none"/>
          <w:lang w:val="en-US" w:eastAsia="zh-CN"/>
        </w:rPr>
      </w:pPr>
      <w:r>
        <w:rPr>
          <w:rFonts w:hint="eastAsia" w:ascii="黑体" w:hAnsi="黑体" w:eastAsia="黑体" w:cs="黑体"/>
          <w:b/>
          <w:bCs w:val="0"/>
          <w:sz w:val="40"/>
          <w:szCs w:val="40"/>
          <w:highlight w:val="none"/>
          <w:lang w:eastAsia="zh-CN"/>
        </w:rPr>
        <w:t>项目</w:t>
      </w:r>
      <w:r>
        <w:rPr>
          <w:rFonts w:hint="eastAsia" w:ascii="黑体" w:hAnsi="黑体" w:eastAsia="黑体" w:cs="黑体"/>
          <w:b/>
          <w:bCs w:val="0"/>
          <w:sz w:val="40"/>
          <w:szCs w:val="40"/>
          <w:highlight w:val="none"/>
        </w:rPr>
        <w:t>编号：PLHR-ZB-FW-202</w:t>
      </w:r>
      <w:r>
        <w:rPr>
          <w:rFonts w:hint="eastAsia" w:ascii="黑体" w:hAnsi="黑体" w:eastAsia="黑体" w:cs="黑体"/>
          <w:b/>
          <w:bCs w:val="0"/>
          <w:sz w:val="40"/>
          <w:szCs w:val="40"/>
          <w:highlight w:val="none"/>
          <w:lang w:val="en-US" w:eastAsia="zh-CN"/>
        </w:rPr>
        <w:t>107</w:t>
      </w:r>
    </w:p>
    <w:p>
      <w:pPr>
        <w:spacing w:beforeLines="30" w:line="360" w:lineRule="auto"/>
        <w:jc w:val="center"/>
        <w:rPr>
          <w:rFonts w:ascii="黑体" w:hAnsi="黑体" w:eastAsia="黑体" w:cs="黑体"/>
          <w:b/>
          <w:bCs w:val="0"/>
          <w:sz w:val="24"/>
          <w:szCs w:val="24"/>
          <w:highlight w:val="none"/>
        </w:rPr>
      </w:pPr>
    </w:p>
    <w:p>
      <w:pPr>
        <w:spacing w:beforeLines="30" w:line="360" w:lineRule="auto"/>
        <w:jc w:val="center"/>
        <w:rPr>
          <w:rFonts w:ascii="宋体" w:hAnsi="宋体"/>
          <w:b/>
          <w:bCs w:val="0"/>
          <w:sz w:val="30"/>
          <w:szCs w:val="32"/>
          <w:highlight w:val="none"/>
        </w:rPr>
      </w:pPr>
    </w:p>
    <w:p>
      <w:pPr>
        <w:spacing w:beforeLines="30" w:line="360" w:lineRule="auto"/>
        <w:rPr>
          <w:rFonts w:ascii="宋体" w:hAnsi="宋体"/>
          <w:b/>
          <w:bCs w:val="0"/>
          <w:sz w:val="34"/>
          <w:szCs w:val="36"/>
          <w:highlight w:val="none"/>
        </w:rPr>
      </w:pPr>
    </w:p>
    <w:p>
      <w:pPr>
        <w:spacing w:beforeLines="30" w:line="360" w:lineRule="auto"/>
        <w:rPr>
          <w:rFonts w:ascii="宋体" w:hAnsi="宋体"/>
          <w:b/>
          <w:bCs w:val="0"/>
          <w:sz w:val="34"/>
          <w:szCs w:val="36"/>
          <w:highlight w:val="none"/>
        </w:rPr>
      </w:pPr>
    </w:p>
    <w:p>
      <w:pPr>
        <w:spacing w:beforeLines="30" w:line="360" w:lineRule="auto"/>
        <w:jc w:val="center"/>
        <w:rPr>
          <w:rFonts w:ascii="黑体" w:hAnsi="黑体" w:eastAsia="黑体" w:cs="黑体"/>
          <w:b/>
          <w:bCs w:val="0"/>
          <w:sz w:val="34"/>
          <w:szCs w:val="36"/>
          <w:highlight w:val="none"/>
        </w:rPr>
      </w:pPr>
      <w:r>
        <w:rPr>
          <w:rFonts w:hint="eastAsia" w:ascii="黑体" w:hAnsi="黑体" w:eastAsia="黑体" w:cs="黑体"/>
          <w:b/>
          <w:bCs w:val="0"/>
          <w:sz w:val="34"/>
          <w:szCs w:val="36"/>
          <w:highlight w:val="none"/>
        </w:rPr>
        <w:t>深圳市鹏劳人力资源管理有限公司</w:t>
      </w:r>
    </w:p>
    <w:p>
      <w:pPr>
        <w:spacing w:beforeLines="30" w:line="360" w:lineRule="auto"/>
        <w:jc w:val="center"/>
        <w:rPr>
          <w:rFonts w:ascii="黑体" w:hAnsi="黑体" w:eastAsia="黑体" w:cs="黑体"/>
          <w:b/>
          <w:bCs w:val="0"/>
          <w:sz w:val="34"/>
          <w:szCs w:val="36"/>
          <w:highlight w:val="none"/>
        </w:rPr>
      </w:pPr>
      <w:r>
        <w:rPr>
          <w:rFonts w:hint="eastAsia" w:ascii="黑体" w:hAnsi="黑体" w:eastAsia="黑体" w:cs="黑体"/>
          <w:b/>
          <w:bCs w:val="0"/>
          <w:sz w:val="34"/>
          <w:szCs w:val="36"/>
          <w:highlight w:val="none"/>
        </w:rPr>
        <w:t>二〇二</w:t>
      </w:r>
      <w:r>
        <w:rPr>
          <w:rFonts w:hint="eastAsia" w:ascii="黑体" w:hAnsi="黑体" w:eastAsia="黑体" w:cs="黑体"/>
          <w:b/>
          <w:bCs w:val="0"/>
          <w:sz w:val="34"/>
          <w:szCs w:val="36"/>
          <w:highlight w:val="none"/>
          <w:lang w:val="en-US" w:eastAsia="zh-CN"/>
        </w:rPr>
        <w:t>一</w:t>
      </w:r>
      <w:r>
        <w:rPr>
          <w:rFonts w:hint="eastAsia" w:ascii="黑体" w:hAnsi="黑体" w:eastAsia="黑体" w:cs="黑体"/>
          <w:b/>
          <w:bCs w:val="0"/>
          <w:sz w:val="34"/>
          <w:szCs w:val="36"/>
          <w:highlight w:val="none"/>
        </w:rPr>
        <w:t>年</w:t>
      </w:r>
      <w:r>
        <w:rPr>
          <w:rFonts w:hint="eastAsia" w:ascii="黑体" w:hAnsi="黑体" w:eastAsia="黑体" w:cs="黑体"/>
          <w:b/>
          <w:bCs w:val="0"/>
          <w:sz w:val="34"/>
          <w:szCs w:val="36"/>
          <w:highlight w:val="none"/>
          <w:lang w:eastAsia="zh-CN"/>
        </w:rPr>
        <w:t>九</w:t>
      </w:r>
      <w:r>
        <w:rPr>
          <w:rFonts w:hint="eastAsia" w:ascii="黑体" w:hAnsi="黑体" w:eastAsia="黑体" w:cs="黑体"/>
          <w:b/>
          <w:bCs w:val="0"/>
          <w:sz w:val="34"/>
          <w:szCs w:val="36"/>
          <w:highlight w:val="none"/>
        </w:rPr>
        <w:t>月</w:t>
      </w:r>
    </w:p>
    <w:p>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pPr>
        <w:pStyle w:val="7"/>
        <w:ind w:firstLine="643"/>
        <w:jc w:val="center"/>
        <w:rPr>
          <w:rFonts w:ascii="黑体" w:hAnsi="黑体" w:eastAsia="黑体" w:cs="黑体"/>
          <w:b/>
          <w:bCs w:val="0"/>
          <w:sz w:val="32"/>
          <w:szCs w:val="32"/>
          <w:highlight w:val="none"/>
        </w:rPr>
      </w:pPr>
      <w:bookmarkStart w:id="1" w:name="_Toc11413"/>
      <w:bookmarkStart w:id="2" w:name="_Toc21460"/>
      <w:r>
        <w:rPr>
          <w:rFonts w:hint="eastAsia" w:ascii="黑体" w:hAnsi="黑体" w:eastAsia="黑体" w:cs="黑体"/>
          <w:b/>
          <w:bCs w:val="0"/>
          <w:sz w:val="32"/>
          <w:szCs w:val="32"/>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宋体" w:hAnsi="宋体" w:eastAsia="宋体" w:cs="宋体"/>
          <w:b/>
          <w:bCs w:val="0"/>
          <w:kern w:val="28"/>
          <w:sz w:val="24"/>
          <w:szCs w:val="24"/>
          <w:highlight w:val="none"/>
        </w:rPr>
      </w:sdtEndPr>
      <w:sdtContent>
        <w:p>
          <w:pPr>
            <w:jc w:val="center"/>
            <w:rPr>
              <w:b/>
              <w:bCs w:val="0"/>
              <w:highlight w:val="none"/>
            </w:rPr>
          </w:pPr>
        </w:p>
        <w:p>
          <w:pPr>
            <w:pStyle w:val="13"/>
            <w:tabs>
              <w:tab w:val="right" w:leader="dot" w:pos="9214"/>
              <w:tab w:val="clear" w:pos="8295"/>
            </w:tabs>
            <w:rPr>
              <w:b/>
              <w:bCs w:val="0"/>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TOC \o "1-3" \h \u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_Toc22082 </w:instrText>
          </w:r>
          <w:r>
            <w:rPr>
              <w:rFonts w:hint="eastAsia" w:ascii="宋体" w:hAnsi="宋体" w:eastAsia="宋体" w:cs="宋体"/>
              <w:b/>
              <w:bCs w:val="0"/>
              <w:szCs w:val="24"/>
              <w:highlight w:val="none"/>
            </w:rPr>
            <w:fldChar w:fldCharType="separate"/>
          </w:r>
          <w:r>
            <w:rPr>
              <w:rFonts w:hint="eastAsia" w:ascii="黑体" w:hAnsi="黑体" w:eastAsia="黑体" w:cs="黑体"/>
              <w:b/>
              <w:bCs w:val="0"/>
              <w:szCs w:val="28"/>
              <w:highlight w:val="none"/>
            </w:rPr>
            <w:t>第一章 项目概况</w:t>
          </w:r>
          <w:r>
            <w:rPr>
              <w:b/>
              <w:bCs w:val="0"/>
            </w:rPr>
            <w:tab/>
          </w:r>
          <w:r>
            <w:rPr>
              <w:b/>
              <w:bCs w:val="0"/>
            </w:rPr>
            <w:fldChar w:fldCharType="begin"/>
          </w:r>
          <w:r>
            <w:rPr>
              <w:b/>
              <w:bCs w:val="0"/>
            </w:rPr>
            <w:instrText xml:space="preserve"> PAGEREF _Toc22082 </w:instrText>
          </w:r>
          <w:r>
            <w:rPr>
              <w:b/>
              <w:bCs w:val="0"/>
            </w:rPr>
            <w:fldChar w:fldCharType="separate"/>
          </w:r>
          <w:r>
            <w:rPr>
              <w:b/>
              <w:bCs w:val="0"/>
            </w:rPr>
            <w:t>2</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_Toc19550 </w:instrText>
          </w:r>
          <w:r>
            <w:rPr>
              <w:rFonts w:hint="eastAsia" w:ascii="宋体" w:hAnsi="宋体" w:eastAsia="宋体" w:cs="宋体"/>
              <w:b/>
              <w:bCs w:val="0"/>
              <w:szCs w:val="24"/>
              <w:highlight w:val="none"/>
            </w:rPr>
            <w:fldChar w:fldCharType="separate"/>
          </w:r>
          <w:r>
            <w:rPr>
              <w:rFonts w:hint="eastAsia"/>
              <w:b/>
              <w:bCs w:val="0"/>
              <w:highlight w:val="none"/>
              <w:lang w:val="zh-CN"/>
            </w:rPr>
            <w:t>一、项目名称</w:t>
          </w:r>
          <w:r>
            <w:rPr>
              <w:b/>
              <w:bCs w:val="0"/>
            </w:rPr>
            <w:tab/>
          </w:r>
          <w:r>
            <w:rPr>
              <w:b/>
              <w:bCs w:val="0"/>
            </w:rPr>
            <w:fldChar w:fldCharType="begin"/>
          </w:r>
          <w:r>
            <w:rPr>
              <w:b/>
              <w:bCs w:val="0"/>
            </w:rPr>
            <w:instrText xml:space="preserve"> PAGEREF _Toc19550 </w:instrText>
          </w:r>
          <w:r>
            <w:rPr>
              <w:b/>
              <w:bCs w:val="0"/>
            </w:rPr>
            <w:fldChar w:fldCharType="separate"/>
          </w:r>
          <w:r>
            <w:rPr>
              <w:b/>
              <w:bCs w:val="0"/>
            </w:rPr>
            <w:t>2</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_Toc16912 </w:instrText>
          </w:r>
          <w:r>
            <w:rPr>
              <w:rFonts w:hint="eastAsia" w:ascii="宋体" w:hAnsi="宋体" w:eastAsia="宋体" w:cs="宋体"/>
              <w:b/>
              <w:bCs w:val="0"/>
              <w:szCs w:val="24"/>
              <w:highlight w:val="none"/>
            </w:rPr>
            <w:fldChar w:fldCharType="separate"/>
          </w:r>
          <w:r>
            <w:rPr>
              <w:rFonts w:hint="eastAsia"/>
              <w:b/>
              <w:bCs w:val="0"/>
              <w:highlight w:val="none"/>
              <w:lang w:val="zh-CN"/>
            </w:rPr>
            <w:t>二、招标编号</w:t>
          </w:r>
          <w:r>
            <w:rPr>
              <w:b/>
              <w:bCs w:val="0"/>
            </w:rPr>
            <w:tab/>
          </w:r>
          <w:r>
            <w:rPr>
              <w:b/>
              <w:bCs w:val="0"/>
            </w:rPr>
            <w:fldChar w:fldCharType="begin"/>
          </w:r>
          <w:r>
            <w:rPr>
              <w:b/>
              <w:bCs w:val="0"/>
            </w:rPr>
            <w:instrText xml:space="preserve"> PAGEREF _Toc16912 </w:instrText>
          </w:r>
          <w:r>
            <w:rPr>
              <w:b/>
              <w:bCs w:val="0"/>
            </w:rPr>
            <w:fldChar w:fldCharType="separate"/>
          </w:r>
          <w:r>
            <w:rPr>
              <w:b/>
              <w:bCs w:val="0"/>
            </w:rPr>
            <w:t>3</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_Toc11485 </w:instrText>
          </w:r>
          <w:r>
            <w:rPr>
              <w:rFonts w:hint="eastAsia" w:ascii="宋体" w:hAnsi="宋体" w:eastAsia="宋体" w:cs="宋体"/>
              <w:b/>
              <w:bCs w:val="0"/>
              <w:szCs w:val="24"/>
              <w:highlight w:val="none"/>
            </w:rPr>
            <w:fldChar w:fldCharType="separate"/>
          </w:r>
          <w:r>
            <w:rPr>
              <w:rFonts w:hint="eastAsia"/>
              <w:b/>
              <w:bCs w:val="0"/>
              <w:highlight w:val="none"/>
            </w:rPr>
            <w:t>三、投标人资质要求</w:t>
          </w:r>
          <w:r>
            <w:rPr>
              <w:b/>
              <w:bCs w:val="0"/>
            </w:rPr>
            <w:tab/>
          </w:r>
          <w:r>
            <w:rPr>
              <w:b/>
              <w:bCs w:val="0"/>
            </w:rPr>
            <w:fldChar w:fldCharType="begin"/>
          </w:r>
          <w:r>
            <w:rPr>
              <w:b/>
              <w:bCs w:val="0"/>
            </w:rPr>
            <w:instrText xml:space="preserve"> PAGEREF _Toc11485 </w:instrText>
          </w:r>
          <w:r>
            <w:rPr>
              <w:b/>
              <w:bCs w:val="0"/>
            </w:rPr>
            <w:fldChar w:fldCharType="separate"/>
          </w:r>
          <w:r>
            <w:rPr>
              <w:b/>
              <w:bCs w:val="0"/>
            </w:rPr>
            <w:t>3</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_Toc19708 </w:instrText>
          </w:r>
          <w:r>
            <w:rPr>
              <w:rFonts w:hint="eastAsia" w:ascii="宋体" w:hAnsi="宋体" w:eastAsia="宋体" w:cs="宋体"/>
              <w:b/>
              <w:bCs w:val="0"/>
              <w:szCs w:val="24"/>
              <w:highlight w:val="none"/>
            </w:rPr>
            <w:fldChar w:fldCharType="separate"/>
          </w:r>
          <w:r>
            <w:rPr>
              <w:rFonts w:hint="eastAsia"/>
              <w:b/>
              <w:bCs w:val="0"/>
              <w:highlight w:val="none"/>
              <w:lang w:val="zh-CN"/>
            </w:rPr>
            <w:t>四、项目内容、服务需求及期限</w:t>
          </w:r>
          <w:r>
            <w:rPr>
              <w:b/>
              <w:bCs w:val="0"/>
            </w:rPr>
            <w:tab/>
          </w:r>
          <w:r>
            <w:rPr>
              <w:b/>
              <w:bCs w:val="0"/>
            </w:rPr>
            <w:fldChar w:fldCharType="begin"/>
          </w:r>
          <w:r>
            <w:rPr>
              <w:b/>
              <w:bCs w:val="0"/>
            </w:rPr>
            <w:instrText xml:space="preserve"> PAGEREF _Toc19708 </w:instrText>
          </w:r>
          <w:r>
            <w:rPr>
              <w:b/>
              <w:bCs w:val="0"/>
            </w:rPr>
            <w:fldChar w:fldCharType="separate"/>
          </w:r>
          <w:r>
            <w:rPr>
              <w:b/>
              <w:bCs w:val="0"/>
            </w:rPr>
            <w:t>3</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_Toc15995 </w:instrText>
          </w:r>
          <w:r>
            <w:rPr>
              <w:rFonts w:hint="eastAsia" w:ascii="宋体" w:hAnsi="宋体" w:eastAsia="宋体" w:cs="宋体"/>
              <w:b/>
              <w:bCs w:val="0"/>
              <w:szCs w:val="24"/>
              <w:highlight w:val="none"/>
            </w:rPr>
            <w:fldChar w:fldCharType="separate"/>
          </w:r>
          <w:r>
            <w:rPr>
              <w:rFonts w:hint="eastAsia"/>
              <w:b/>
              <w:bCs w:val="0"/>
              <w:highlight w:val="none"/>
            </w:rPr>
            <w:t>五、项目总限价</w:t>
          </w:r>
          <w:r>
            <w:rPr>
              <w:rFonts w:hint="eastAsia"/>
              <w:b/>
              <w:bCs w:val="0"/>
              <w:highlight w:val="none"/>
              <w:lang w:eastAsia="zh-CN"/>
            </w:rPr>
            <w:t>及预估体检人数</w:t>
          </w:r>
          <w:r>
            <w:rPr>
              <w:b/>
              <w:bCs w:val="0"/>
            </w:rPr>
            <w:tab/>
          </w:r>
          <w:r>
            <w:rPr>
              <w:b/>
              <w:bCs w:val="0"/>
            </w:rPr>
            <w:fldChar w:fldCharType="begin"/>
          </w:r>
          <w:r>
            <w:rPr>
              <w:b/>
              <w:bCs w:val="0"/>
            </w:rPr>
            <w:instrText xml:space="preserve"> PAGEREF _Toc15995 </w:instrText>
          </w:r>
          <w:r>
            <w:rPr>
              <w:b/>
              <w:bCs w:val="0"/>
            </w:rPr>
            <w:fldChar w:fldCharType="separate"/>
          </w:r>
          <w:r>
            <w:rPr>
              <w:b/>
              <w:bCs w:val="0"/>
            </w:rPr>
            <w:t>4</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_Toc23062 </w:instrText>
          </w:r>
          <w:r>
            <w:rPr>
              <w:rFonts w:hint="eastAsia" w:ascii="宋体" w:hAnsi="宋体" w:eastAsia="宋体" w:cs="宋体"/>
              <w:b/>
              <w:bCs w:val="0"/>
              <w:szCs w:val="24"/>
              <w:highlight w:val="none"/>
            </w:rPr>
            <w:fldChar w:fldCharType="separate"/>
          </w:r>
          <w:r>
            <w:rPr>
              <w:rFonts w:hint="eastAsia"/>
              <w:b/>
              <w:bCs w:val="0"/>
              <w:highlight w:val="none"/>
            </w:rPr>
            <w:t>六、投标文件要求</w:t>
          </w:r>
          <w:r>
            <w:rPr>
              <w:b/>
              <w:bCs w:val="0"/>
            </w:rPr>
            <w:tab/>
          </w:r>
          <w:r>
            <w:rPr>
              <w:b/>
              <w:bCs w:val="0"/>
            </w:rPr>
            <w:fldChar w:fldCharType="begin"/>
          </w:r>
          <w:r>
            <w:rPr>
              <w:b/>
              <w:bCs w:val="0"/>
            </w:rPr>
            <w:instrText xml:space="preserve"> PAGEREF _Toc23062 </w:instrText>
          </w:r>
          <w:r>
            <w:rPr>
              <w:b/>
              <w:bCs w:val="0"/>
            </w:rPr>
            <w:fldChar w:fldCharType="separate"/>
          </w:r>
          <w:r>
            <w:rPr>
              <w:b/>
              <w:bCs w:val="0"/>
            </w:rPr>
            <w:t>4</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_Toc17905 </w:instrText>
          </w:r>
          <w:r>
            <w:rPr>
              <w:rFonts w:hint="eastAsia" w:ascii="宋体" w:hAnsi="宋体" w:eastAsia="宋体" w:cs="宋体"/>
              <w:b/>
              <w:bCs w:val="0"/>
              <w:szCs w:val="24"/>
              <w:highlight w:val="none"/>
            </w:rPr>
            <w:fldChar w:fldCharType="separate"/>
          </w:r>
          <w:r>
            <w:rPr>
              <w:rFonts w:hint="eastAsia"/>
              <w:b/>
              <w:bCs w:val="0"/>
              <w:highlight w:val="none"/>
            </w:rPr>
            <w:t>七、投标人须知</w:t>
          </w:r>
          <w:r>
            <w:rPr>
              <w:b/>
              <w:bCs w:val="0"/>
            </w:rPr>
            <w:tab/>
          </w:r>
          <w:r>
            <w:rPr>
              <w:b/>
              <w:bCs w:val="0"/>
            </w:rPr>
            <w:fldChar w:fldCharType="begin"/>
          </w:r>
          <w:r>
            <w:rPr>
              <w:b/>
              <w:bCs w:val="0"/>
            </w:rPr>
            <w:instrText xml:space="preserve"> PAGEREF _Toc17905 </w:instrText>
          </w:r>
          <w:r>
            <w:rPr>
              <w:b/>
              <w:bCs w:val="0"/>
            </w:rPr>
            <w:fldChar w:fldCharType="separate"/>
          </w:r>
          <w:r>
            <w:rPr>
              <w:b/>
              <w:bCs w:val="0"/>
            </w:rPr>
            <w:t>6</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_Toc22927 </w:instrText>
          </w:r>
          <w:r>
            <w:rPr>
              <w:rFonts w:hint="eastAsia" w:ascii="宋体" w:hAnsi="宋体" w:eastAsia="宋体" w:cs="宋体"/>
              <w:b/>
              <w:bCs w:val="0"/>
              <w:szCs w:val="24"/>
              <w:highlight w:val="none"/>
            </w:rPr>
            <w:fldChar w:fldCharType="separate"/>
          </w:r>
          <w:r>
            <w:rPr>
              <w:rFonts w:hint="eastAsia"/>
              <w:b/>
              <w:bCs w:val="0"/>
              <w:highlight w:val="none"/>
            </w:rPr>
            <w:t>八、投标文件作废</w:t>
          </w:r>
          <w:r>
            <w:rPr>
              <w:b/>
              <w:bCs w:val="0"/>
            </w:rPr>
            <w:tab/>
          </w:r>
          <w:r>
            <w:rPr>
              <w:b/>
              <w:bCs w:val="0"/>
            </w:rPr>
            <w:fldChar w:fldCharType="begin"/>
          </w:r>
          <w:r>
            <w:rPr>
              <w:b/>
              <w:bCs w:val="0"/>
            </w:rPr>
            <w:instrText xml:space="preserve"> PAGEREF _Toc22927 </w:instrText>
          </w:r>
          <w:r>
            <w:rPr>
              <w:b/>
              <w:bCs w:val="0"/>
            </w:rPr>
            <w:fldChar w:fldCharType="separate"/>
          </w:r>
          <w:r>
            <w:rPr>
              <w:b/>
              <w:bCs w:val="0"/>
            </w:rPr>
            <w:t>7</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_Toc8088 </w:instrText>
          </w:r>
          <w:r>
            <w:rPr>
              <w:rFonts w:hint="eastAsia" w:ascii="宋体" w:hAnsi="宋体" w:eastAsia="宋体" w:cs="宋体"/>
              <w:b/>
              <w:bCs w:val="0"/>
              <w:szCs w:val="24"/>
              <w:highlight w:val="none"/>
            </w:rPr>
            <w:fldChar w:fldCharType="separate"/>
          </w:r>
          <w:r>
            <w:rPr>
              <w:rFonts w:hint="eastAsia"/>
              <w:b/>
              <w:bCs w:val="0"/>
              <w:highlight w:val="none"/>
            </w:rPr>
            <w:t>九、其他要求</w:t>
          </w:r>
          <w:r>
            <w:rPr>
              <w:b/>
              <w:bCs w:val="0"/>
            </w:rPr>
            <w:tab/>
          </w:r>
          <w:r>
            <w:rPr>
              <w:b/>
              <w:bCs w:val="0"/>
            </w:rPr>
            <w:fldChar w:fldCharType="begin"/>
          </w:r>
          <w:r>
            <w:rPr>
              <w:b/>
              <w:bCs w:val="0"/>
            </w:rPr>
            <w:instrText xml:space="preserve"> PAGEREF _Toc8088 </w:instrText>
          </w:r>
          <w:r>
            <w:rPr>
              <w:b/>
              <w:bCs w:val="0"/>
            </w:rPr>
            <w:fldChar w:fldCharType="separate"/>
          </w:r>
          <w:r>
            <w:rPr>
              <w:b/>
              <w:bCs w:val="0"/>
            </w:rPr>
            <w:t>7</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_Toc30595 </w:instrText>
          </w:r>
          <w:r>
            <w:rPr>
              <w:rFonts w:hint="eastAsia" w:ascii="宋体" w:hAnsi="宋体" w:eastAsia="宋体" w:cs="宋体"/>
              <w:b/>
              <w:bCs w:val="0"/>
              <w:szCs w:val="24"/>
              <w:highlight w:val="none"/>
            </w:rPr>
            <w:fldChar w:fldCharType="separate"/>
          </w:r>
          <w:r>
            <w:rPr>
              <w:rFonts w:hint="eastAsia"/>
              <w:b/>
              <w:bCs w:val="0"/>
              <w:highlight w:val="none"/>
            </w:rPr>
            <w:t>十、投标文件递交</w:t>
          </w:r>
          <w:r>
            <w:rPr>
              <w:b/>
              <w:bCs w:val="0"/>
            </w:rPr>
            <w:tab/>
          </w:r>
          <w:r>
            <w:rPr>
              <w:b/>
              <w:bCs w:val="0"/>
            </w:rPr>
            <w:fldChar w:fldCharType="begin"/>
          </w:r>
          <w:r>
            <w:rPr>
              <w:b/>
              <w:bCs w:val="0"/>
            </w:rPr>
            <w:instrText xml:space="preserve"> PAGEREF _Toc30595 </w:instrText>
          </w:r>
          <w:r>
            <w:rPr>
              <w:b/>
              <w:bCs w:val="0"/>
            </w:rPr>
            <w:fldChar w:fldCharType="separate"/>
          </w:r>
          <w:r>
            <w:rPr>
              <w:b/>
              <w:bCs w:val="0"/>
            </w:rPr>
            <w:t>8</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_Toc11169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一</w:t>
          </w:r>
          <w:r>
            <w:rPr>
              <w:rFonts w:hint="eastAsia"/>
              <w:b/>
              <w:bCs w:val="0"/>
              <w:highlight w:val="none"/>
            </w:rPr>
            <w:t>、开标</w:t>
          </w:r>
          <w:r>
            <w:rPr>
              <w:b/>
              <w:bCs w:val="0"/>
            </w:rPr>
            <w:tab/>
          </w:r>
          <w:r>
            <w:rPr>
              <w:b/>
              <w:bCs w:val="0"/>
            </w:rPr>
            <w:fldChar w:fldCharType="begin"/>
          </w:r>
          <w:r>
            <w:rPr>
              <w:b/>
              <w:bCs w:val="0"/>
            </w:rPr>
            <w:instrText xml:space="preserve"> PAGEREF _Toc11169 </w:instrText>
          </w:r>
          <w:r>
            <w:rPr>
              <w:b/>
              <w:bCs w:val="0"/>
            </w:rPr>
            <w:fldChar w:fldCharType="separate"/>
          </w:r>
          <w:r>
            <w:rPr>
              <w:b/>
              <w:bCs w:val="0"/>
            </w:rPr>
            <w:t>8</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_Toc28122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二</w:t>
          </w:r>
          <w:r>
            <w:rPr>
              <w:rFonts w:hint="eastAsia"/>
              <w:b/>
              <w:bCs w:val="0"/>
              <w:highlight w:val="none"/>
            </w:rPr>
            <w:t>、评标</w:t>
          </w:r>
          <w:r>
            <w:rPr>
              <w:b/>
              <w:bCs w:val="0"/>
            </w:rPr>
            <w:tab/>
          </w:r>
          <w:r>
            <w:rPr>
              <w:b/>
              <w:bCs w:val="0"/>
            </w:rPr>
            <w:fldChar w:fldCharType="begin"/>
          </w:r>
          <w:r>
            <w:rPr>
              <w:b/>
              <w:bCs w:val="0"/>
            </w:rPr>
            <w:instrText xml:space="preserve"> PAGEREF _Toc28122 </w:instrText>
          </w:r>
          <w:r>
            <w:rPr>
              <w:b/>
              <w:bCs w:val="0"/>
            </w:rPr>
            <w:fldChar w:fldCharType="separate"/>
          </w:r>
          <w:r>
            <w:rPr>
              <w:b/>
              <w:bCs w:val="0"/>
            </w:rPr>
            <w:t>9</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_Toc5346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三</w:t>
          </w:r>
          <w:r>
            <w:rPr>
              <w:rFonts w:hint="eastAsia"/>
              <w:b/>
              <w:bCs w:val="0"/>
              <w:highlight w:val="none"/>
            </w:rPr>
            <w:t>、定标</w:t>
          </w:r>
          <w:r>
            <w:rPr>
              <w:b/>
              <w:bCs w:val="0"/>
            </w:rPr>
            <w:tab/>
          </w:r>
          <w:r>
            <w:rPr>
              <w:b/>
              <w:bCs w:val="0"/>
            </w:rPr>
            <w:fldChar w:fldCharType="begin"/>
          </w:r>
          <w:r>
            <w:rPr>
              <w:b/>
              <w:bCs w:val="0"/>
            </w:rPr>
            <w:instrText xml:space="preserve"> PAGEREF _Toc5346 </w:instrText>
          </w:r>
          <w:r>
            <w:rPr>
              <w:b/>
              <w:bCs w:val="0"/>
            </w:rPr>
            <w:fldChar w:fldCharType="separate"/>
          </w:r>
          <w:r>
            <w:rPr>
              <w:b/>
              <w:bCs w:val="0"/>
            </w:rPr>
            <w:t>9</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_Toc31323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四</w:t>
          </w:r>
          <w:r>
            <w:rPr>
              <w:rFonts w:hint="eastAsia"/>
              <w:b/>
              <w:bCs w:val="0"/>
              <w:highlight w:val="none"/>
            </w:rPr>
            <w:t>、结算方式</w:t>
          </w:r>
          <w:r>
            <w:rPr>
              <w:b/>
              <w:bCs w:val="0"/>
            </w:rPr>
            <w:tab/>
          </w:r>
          <w:r>
            <w:rPr>
              <w:b/>
              <w:bCs w:val="0"/>
            </w:rPr>
            <w:fldChar w:fldCharType="begin"/>
          </w:r>
          <w:r>
            <w:rPr>
              <w:b/>
              <w:bCs w:val="0"/>
            </w:rPr>
            <w:instrText xml:space="preserve"> PAGEREF _Toc31323 </w:instrText>
          </w:r>
          <w:r>
            <w:rPr>
              <w:b/>
              <w:bCs w:val="0"/>
            </w:rPr>
            <w:fldChar w:fldCharType="separate"/>
          </w:r>
          <w:r>
            <w:rPr>
              <w:b/>
              <w:bCs w:val="0"/>
            </w:rPr>
            <w:t>9</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_Toc3888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五</w:t>
          </w:r>
          <w:r>
            <w:rPr>
              <w:rFonts w:hint="eastAsia"/>
              <w:b/>
              <w:bCs w:val="0"/>
              <w:highlight w:val="none"/>
            </w:rPr>
            <w:t>、解释权</w:t>
          </w:r>
          <w:r>
            <w:rPr>
              <w:b/>
              <w:bCs w:val="0"/>
            </w:rPr>
            <w:tab/>
          </w:r>
          <w:r>
            <w:rPr>
              <w:b/>
              <w:bCs w:val="0"/>
            </w:rPr>
            <w:fldChar w:fldCharType="begin"/>
          </w:r>
          <w:r>
            <w:rPr>
              <w:b/>
              <w:bCs w:val="0"/>
            </w:rPr>
            <w:instrText xml:space="preserve"> PAGEREF _Toc3888 </w:instrText>
          </w:r>
          <w:r>
            <w:rPr>
              <w:b/>
              <w:bCs w:val="0"/>
            </w:rPr>
            <w:fldChar w:fldCharType="separate"/>
          </w:r>
          <w:r>
            <w:rPr>
              <w:b/>
              <w:bCs w:val="0"/>
            </w:rPr>
            <w:t>9</w:t>
          </w:r>
          <w:r>
            <w:rPr>
              <w:b/>
              <w:bCs w:val="0"/>
            </w:rPr>
            <w:fldChar w:fldCharType="end"/>
          </w:r>
          <w:r>
            <w:rPr>
              <w:rFonts w:hint="eastAsia" w:ascii="宋体" w:hAnsi="宋体" w:eastAsia="宋体" w:cs="宋体"/>
              <w:b/>
              <w:bCs w:val="0"/>
              <w:szCs w:val="24"/>
              <w:highlight w:val="none"/>
            </w:rPr>
            <w:fldChar w:fldCharType="end"/>
          </w:r>
        </w:p>
        <w:p>
          <w:pPr>
            <w:pStyle w:val="13"/>
            <w:tabs>
              <w:tab w:val="right" w:leader="dot" w:pos="9214"/>
              <w:tab w:val="clear" w:pos="8295"/>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_Toc16932 </w:instrText>
          </w:r>
          <w:r>
            <w:rPr>
              <w:rFonts w:hint="eastAsia" w:ascii="宋体" w:hAnsi="宋体" w:eastAsia="宋体" w:cs="宋体"/>
              <w:b/>
              <w:bCs w:val="0"/>
              <w:szCs w:val="24"/>
              <w:highlight w:val="none"/>
            </w:rPr>
            <w:fldChar w:fldCharType="separate"/>
          </w:r>
          <w:r>
            <w:rPr>
              <w:rFonts w:hint="eastAsia" w:ascii="宋体" w:hAnsi="宋体" w:eastAsia="宋体" w:cs="宋体"/>
              <w:b/>
              <w:bCs w:val="0"/>
              <w:szCs w:val="28"/>
              <w:highlight w:val="none"/>
            </w:rPr>
            <w:t>第二章 评标程序及标准</w:t>
          </w:r>
          <w:r>
            <w:rPr>
              <w:b/>
              <w:bCs w:val="0"/>
            </w:rPr>
            <w:tab/>
          </w:r>
          <w:r>
            <w:rPr>
              <w:b/>
              <w:bCs w:val="0"/>
            </w:rPr>
            <w:fldChar w:fldCharType="begin"/>
          </w:r>
          <w:r>
            <w:rPr>
              <w:b/>
              <w:bCs w:val="0"/>
            </w:rPr>
            <w:instrText xml:space="preserve"> PAGEREF _Toc16932 </w:instrText>
          </w:r>
          <w:r>
            <w:rPr>
              <w:b/>
              <w:bCs w:val="0"/>
            </w:rPr>
            <w:fldChar w:fldCharType="separate"/>
          </w:r>
          <w:r>
            <w:rPr>
              <w:b/>
              <w:bCs w:val="0"/>
            </w:rPr>
            <w:t>10</w:t>
          </w:r>
          <w:r>
            <w:rPr>
              <w:b/>
              <w:bCs w:val="0"/>
            </w:rPr>
            <w:fldChar w:fldCharType="end"/>
          </w:r>
          <w:r>
            <w:rPr>
              <w:rFonts w:hint="eastAsia" w:ascii="宋体" w:hAnsi="宋体" w:eastAsia="宋体" w:cs="宋体"/>
              <w:b/>
              <w:bCs w:val="0"/>
              <w:szCs w:val="24"/>
              <w:highlight w:val="none"/>
            </w:rPr>
            <w:fldChar w:fldCharType="end"/>
          </w:r>
        </w:p>
        <w:p>
          <w:pPr>
            <w:pStyle w:val="13"/>
            <w:tabs>
              <w:tab w:val="right" w:leader="dot" w:pos="9214"/>
              <w:tab w:val="clear" w:pos="8295"/>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_Toc20829 </w:instrText>
          </w:r>
          <w:r>
            <w:rPr>
              <w:rFonts w:hint="eastAsia" w:ascii="宋体" w:hAnsi="宋体" w:eastAsia="宋体" w:cs="宋体"/>
              <w:b/>
              <w:bCs w:val="0"/>
              <w:szCs w:val="24"/>
              <w:highlight w:val="none"/>
            </w:rPr>
            <w:fldChar w:fldCharType="separate"/>
          </w:r>
          <w:r>
            <w:rPr>
              <w:rFonts w:hint="eastAsia" w:ascii="宋体" w:hAnsi="宋体" w:eastAsia="宋体" w:cs="宋体"/>
              <w:b/>
              <w:bCs w:val="0"/>
              <w:szCs w:val="28"/>
              <w:highlight w:val="none"/>
            </w:rPr>
            <w:t>第三章 合同条款</w:t>
          </w:r>
          <w:r>
            <w:rPr>
              <w:b/>
              <w:bCs w:val="0"/>
            </w:rPr>
            <w:tab/>
          </w:r>
          <w:r>
            <w:rPr>
              <w:b/>
              <w:bCs w:val="0"/>
            </w:rPr>
            <w:fldChar w:fldCharType="begin"/>
          </w:r>
          <w:r>
            <w:rPr>
              <w:b/>
              <w:bCs w:val="0"/>
            </w:rPr>
            <w:instrText xml:space="preserve"> PAGEREF _Toc20829 </w:instrText>
          </w:r>
          <w:r>
            <w:rPr>
              <w:b/>
              <w:bCs w:val="0"/>
            </w:rPr>
            <w:fldChar w:fldCharType="separate"/>
          </w:r>
          <w:r>
            <w:rPr>
              <w:b/>
              <w:bCs w:val="0"/>
            </w:rPr>
            <w:t>15</w:t>
          </w:r>
          <w:r>
            <w:rPr>
              <w:b/>
              <w:bCs w:val="0"/>
            </w:rPr>
            <w:fldChar w:fldCharType="end"/>
          </w:r>
          <w:r>
            <w:rPr>
              <w:rFonts w:hint="eastAsia" w:ascii="宋体" w:hAnsi="宋体" w:eastAsia="宋体" w:cs="宋体"/>
              <w:b/>
              <w:bCs w:val="0"/>
              <w:szCs w:val="24"/>
              <w:highlight w:val="none"/>
            </w:rPr>
            <w:fldChar w:fldCharType="end"/>
          </w:r>
        </w:p>
        <w:p>
          <w:pPr>
            <w:pStyle w:val="13"/>
            <w:tabs>
              <w:tab w:val="right" w:leader="dot" w:pos="9214"/>
              <w:tab w:val="clear" w:pos="8295"/>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_Toc30248 </w:instrText>
          </w:r>
          <w:r>
            <w:rPr>
              <w:rFonts w:hint="eastAsia" w:ascii="宋体" w:hAnsi="宋体" w:eastAsia="宋体" w:cs="宋体"/>
              <w:b/>
              <w:bCs w:val="0"/>
              <w:szCs w:val="24"/>
              <w:highlight w:val="none"/>
            </w:rPr>
            <w:fldChar w:fldCharType="separate"/>
          </w:r>
          <w:r>
            <w:rPr>
              <w:rFonts w:hint="eastAsia" w:ascii="宋体" w:hAnsi="宋体" w:eastAsia="宋体" w:cs="宋体"/>
              <w:b/>
              <w:bCs w:val="0"/>
              <w:szCs w:val="28"/>
              <w:highlight w:val="none"/>
            </w:rPr>
            <w:t>第四章 投标文件格式</w:t>
          </w:r>
          <w:r>
            <w:rPr>
              <w:b/>
              <w:bCs w:val="0"/>
            </w:rPr>
            <w:tab/>
          </w:r>
          <w:r>
            <w:rPr>
              <w:b/>
              <w:bCs w:val="0"/>
            </w:rPr>
            <w:fldChar w:fldCharType="begin"/>
          </w:r>
          <w:r>
            <w:rPr>
              <w:b/>
              <w:bCs w:val="0"/>
            </w:rPr>
            <w:instrText xml:space="preserve"> PAGEREF _Toc30248 </w:instrText>
          </w:r>
          <w:r>
            <w:rPr>
              <w:b/>
              <w:bCs w:val="0"/>
            </w:rPr>
            <w:fldChar w:fldCharType="separate"/>
          </w:r>
          <w:r>
            <w:rPr>
              <w:b/>
              <w:bCs w:val="0"/>
            </w:rPr>
            <w:t>18</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_Toc28753 </w:instrText>
          </w:r>
          <w:r>
            <w:rPr>
              <w:rFonts w:hint="eastAsia" w:ascii="宋体" w:hAnsi="宋体" w:eastAsia="宋体" w:cs="宋体"/>
              <w:b/>
              <w:bCs w:val="0"/>
              <w:szCs w:val="24"/>
              <w:highlight w:val="none"/>
            </w:rPr>
            <w:fldChar w:fldCharType="separate"/>
          </w:r>
          <w:r>
            <w:rPr>
              <w:rFonts w:hint="eastAsia" w:hAnsi="宋体" w:cs="宋体"/>
              <w:b/>
              <w:bCs w:val="0"/>
              <w:szCs w:val="28"/>
              <w:highlight w:val="none"/>
            </w:rPr>
            <w:t>格式1：《唱标信封》</w:t>
          </w:r>
          <w:r>
            <w:rPr>
              <w:b/>
              <w:bCs w:val="0"/>
            </w:rPr>
            <w:tab/>
          </w:r>
          <w:r>
            <w:rPr>
              <w:b/>
              <w:bCs w:val="0"/>
            </w:rPr>
            <w:fldChar w:fldCharType="begin"/>
          </w:r>
          <w:r>
            <w:rPr>
              <w:b/>
              <w:bCs w:val="0"/>
            </w:rPr>
            <w:instrText xml:space="preserve"> PAGEREF _Toc28753 </w:instrText>
          </w:r>
          <w:r>
            <w:rPr>
              <w:b/>
              <w:bCs w:val="0"/>
            </w:rPr>
            <w:fldChar w:fldCharType="separate"/>
          </w:r>
          <w:r>
            <w:rPr>
              <w:b/>
              <w:bCs w:val="0"/>
            </w:rPr>
            <w:t>18</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_Toc26728 </w:instrText>
          </w:r>
          <w:r>
            <w:rPr>
              <w:rFonts w:hint="eastAsia" w:ascii="宋体" w:hAnsi="宋体" w:eastAsia="宋体" w:cs="宋体"/>
              <w:b/>
              <w:bCs w:val="0"/>
              <w:szCs w:val="24"/>
              <w:highlight w:val="none"/>
            </w:rPr>
            <w:fldChar w:fldCharType="separate"/>
          </w:r>
          <w:r>
            <w:rPr>
              <w:rFonts w:hint="eastAsia" w:hAnsi="宋体" w:cs="宋体"/>
              <w:b/>
              <w:bCs w:val="0"/>
              <w:szCs w:val="28"/>
              <w:highlight w:val="none"/>
            </w:rPr>
            <w:t>格式2：开标一览表</w:t>
          </w:r>
          <w:r>
            <w:rPr>
              <w:b/>
              <w:bCs w:val="0"/>
            </w:rPr>
            <w:tab/>
          </w:r>
          <w:r>
            <w:rPr>
              <w:b/>
              <w:bCs w:val="0"/>
            </w:rPr>
            <w:fldChar w:fldCharType="begin"/>
          </w:r>
          <w:r>
            <w:rPr>
              <w:b/>
              <w:bCs w:val="0"/>
            </w:rPr>
            <w:instrText xml:space="preserve"> PAGEREF _Toc26728 </w:instrText>
          </w:r>
          <w:r>
            <w:rPr>
              <w:b/>
              <w:bCs w:val="0"/>
            </w:rPr>
            <w:fldChar w:fldCharType="separate"/>
          </w:r>
          <w:r>
            <w:rPr>
              <w:b/>
              <w:bCs w:val="0"/>
            </w:rPr>
            <w:t>19</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_Toc11233 </w:instrText>
          </w:r>
          <w:r>
            <w:rPr>
              <w:rFonts w:hint="eastAsia" w:ascii="宋体" w:hAnsi="宋体" w:eastAsia="宋体" w:cs="宋体"/>
              <w:b/>
              <w:bCs w:val="0"/>
              <w:szCs w:val="24"/>
              <w:highlight w:val="none"/>
            </w:rPr>
            <w:fldChar w:fldCharType="separate"/>
          </w:r>
          <w:r>
            <w:rPr>
              <w:rFonts w:hint="eastAsia" w:hAnsi="宋体" w:cs="宋体"/>
              <w:b/>
              <w:bCs w:val="0"/>
              <w:szCs w:val="24"/>
              <w:highlight w:val="none"/>
            </w:rPr>
            <w:t>格式</w:t>
          </w:r>
          <w:r>
            <w:rPr>
              <w:rFonts w:hint="eastAsia" w:hAnsi="宋体" w:cs="宋体"/>
              <w:b/>
              <w:bCs w:val="0"/>
              <w:szCs w:val="24"/>
              <w:highlight w:val="none"/>
              <w:lang w:val="en-US" w:eastAsia="zh-CN"/>
            </w:rPr>
            <w:t>3</w:t>
          </w:r>
          <w:r>
            <w:rPr>
              <w:rFonts w:hint="eastAsia" w:hAnsi="宋体" w:cs="宋体"/>
              <w:b/>
              <w:bCs w:val="0"/>
              <w:szCs w:val="24"/>
              <w:highlight w:val="none"/>
            </w:rPr>
            <w:t>：</w:t>
          </w:r>
          <w:r>
            <w:rPr>
              <w:rFonts w:hint="eastAsia" w:hAnsi="宋体" w:cs="宋体"/>
              <w:b/>
              <w:bCs w:val="0"/>
              <w:szCs w:val="24"/>
              <w:highlight w:val="none"/>
              <w:lang w:eastAsia="zh-CN"/>
            </w:rPr>
            <w:t>体检方案及</w:t>
          </w:r>
          <w:r>
            <w:rPr>
              <w:rFonts w:hint="eastAsia" w:hAnsi="宋体" w:cs="宋体"/>
              <w:b/>
              <w:bCs w:val="0"/>
              <w:szCs w:val="24"/>
              <w:highlight w:val="none"/>
            </w:rPr>
            <w:t>报价表</w:t>
          </w:r>
          <w:r>
            <w:rPr>
              <w:b/>
              <w:bCs w:val="0"/>
            </w:rPr>
            <w:tab/>
          </w:r>
          <w:r>
            <w:rPr>
              <w:b/>
              <w:bCs w:val="0"/>
            </w:rPr>
            <w:fldChar w:fldCharType="begin"/>
          </w:r>
          <w:r>
            <w:rPr>
              <w:b/>
              <w:bCs w:val="0"/>
            </w:rPr>
            <w:instrText xml:space="preserve"> PAGEREF _Toc11233 </w:instrText>
          </w:r>
          <w:r>
            <w:rPr>
              <w:b/>
              <w:bCs w:val="0"/>
            </w:rPr>
            <w:fldChar w:fldCharType="separate"/>
          </w:r>
          <w:r>
            <w:rPr>
              <w:b/>
              <w:bCs w:val="0"/>
            </w:rPr>
            <w:t>20</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_Toc32752 </w:instrText>
          </w:r>
          <w:r>
            <w:rPr>
              <w:rFonts w:hint="eastAsia" w:ascii="宋体" w:hAnsi="宋体" w:eastAsia="宋体" w:cs="宋体"/>
              <w:b/>
              <w:bCs w:val="0"/>
              <w:szCs w:val="24"/>
              <w:highlight w:val="none"/>
            </w:rPr>
            <w:fldChar w:fldCharType="separate"/>
          </w:r>
          <w:r>
            <w:rPr>
              <w:rFonts w:hint="eastAsia" w:hAnsi="宋体" w:cs="宋体"/>
              <w:b/>
              <w:bCs w:val="0"/>
              <w:szCs w:val="28"/>
              <w:highlight w:val="none"/>
              <w:lang w:val="zh-CN"/>
            </w:rPr>
            <w:t>格式</w:t>
          </w:r>
          <w:r>
            <w:rPr>
              <w:rFonts w:hint="eastAsia" w:hAnsi="宋体" w:cs="宋体"/>
              <w:b/>
              <w:bCs w:val="0"/>
              <w:szCs w:val="28"/>
              <w:highlight w:val="none"/>
              <w:lang w:val="en-US" w:eastAsia="zh-CN"/>
            </w:rPr>
            <w:t>4</w:t>
          </w:r>
          <w:r>
            <w:rPr>
              <w:rFonts w:hint="eastAsia" w:hAnsi="宋体" w:cs="宋体"/>
              <w:b/>
              <w:bCs w:val="0"/>
              <w:szCs w:val="28"/>
              <w:highlight w:val="none"/>
              <w:lang w:val="zh-CN"/>
            </w:rPr>
            <w:t>：承诺函</w:t>
          </w:r>
          <w:r>
            <w:rPr>
              <w:b/>
              <w:bCs w:val="0"/>
            </w:rPr>
            <w:tab/>
          </w:r>
          <w:r>
            <w:rPr>
              <w:b/>
              <w:bCs w:val="0"/>
            </w:rPr>
            <w:fldChar w:fldCharType="begin"/>
          </w:r>
          <w:r>
            <w:rPr>
              <w:b/>
              <w:bCs w:val="0"/>
            </w:rPr>
            <w:instrText xml:space="preserve"> PAGEREF _Toc32752 </w:instrText>
          </w:r>
          <w:r>
            <w:rPr>
              <w:b/>
              <w:bCs w:val="0"/>
            </w:rPr>
            <w:fldChar w:fldCharType="separate"/>
          </w:r>
          <w:r>
            <w:rPr>
              <w:b/>
              <w:bCs w:val="0"/>
            </w:rPr>
            <w:t>21</w:t>
          </w:r>
          <w:r>
            <w:rPr>
              <w:b/>
              <w:bCs w:val="0"/>
            </w:rPr>
            <w:fldChar w:fldCharType="end"/>
          </w:r>
          <w:r>
            <w:rPr>
              <w:rFonts w:hint="eastAsia" w:ascii="宋体" w:hAnsi="宋体" w:eastAsia="宋体" w:cs="宋体"/>
              <w:b/>
              <w:bCs w:val="0"/>
              <w:szCs w:val="24"/>
              <w:highlight w:val="none"/>
            </w:rPr>
            <w:fldChar w:fldCharType="end"/>
          </w:r>
        </w:p>
        <w:p>
          <w:pPr>
            <w:pStyle w:val="12"/>
            <w:spacing w:before="0" w:after="0" w:line="360" w:lineRule="exact"/>
            <w:ind w:firstLine="0" w:firstLineChars="0"/>
            <w:jc w:val="both"/>
            <w:outlineLvl w:val="9"/>
            <w:rPr>
              <w:rFonts w:ascii="宋体" w:hAnsi="宋体" w:cs="宋体"/>
              <w:b/>
              <w:bCs w:val="0"/>
              <w:sz w:val="24"/>
              <w:szCs w:val="24"/>
              <w:highlight w:val="none"/>
            </w:rPr>
          </w:pPr>
          <w:r>
            <w:rPr>
              <w:rFonts w:hint="eastAsia" w:ascii="宋体" w:hAnsi="宋体" w:eastAsia="宋体" w:cs="宋体"/>
              <w:b/>
              <w:bCs w:val="0"/>
              <w:szCs w:val="24"/>
              <w:highlight w:val="none"/>
            </w:rPr>
            <w:fldChar w:fldCharType="end"/>
          </w:r>
        </w:p>
      </w:sdtContent>
    </w:sdt>
    <w:p>
      <w:pPr>
        <w:widowControl/>
        <w:spacing w:beforeLines="30" w:line="360" w:lineRule="auto"/>
        <w:ind w:firstLine="442" w:firstLineChars="200"/>
        <w:jc w:val="left"/>
        <w:rPr>
          <w:rFonts w:asciiTheme="minorEastAsia" w:hAnsiTheme="minorEastAsia"/>
          <w:b/>
          <w:bCs w:val="0"/>
          <w:sz w:val="22"/>
          <w:highlight w:val="none"/>
        </w:rPr>
      </w:pPr>
    </w:p>
    <w:p>
      <w:pPr>
        <w:pStyle w:val="3"/>
        <w:spacing w:line="480" w:lineRule="exact"/>
        <w:jc w:val="center"/>
        <w:rPr>
          <w:rFonts w:hint="eastAsia" w:ascii="宋体" w:hAnsi="宋体" w:eastAsia="宋体" w:cs="宋体"/>
          <w:b/>
          <w:bCs w:val="0"/>
          <w:sz w:val="28"/>
          <w:szCs w:val="28"/>
          <w:highlight w:val="none"/>
        </w:rPr>
      </w:pPr>
      <w:bookmarkStart w:id="3" w:name="_Toc4395"/>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pStyle w:val="3"/>
        <w:spacing w:line="480" w:lineRule="exact"/>
        <w:jc w:val="center"/>
        <w:rPr>
          <w:rFonts w:hint="eastAsia" w:ascii="宋体" w:hAnsi="宋体" w:eastAsia="宋体" w:cs="宋体"/>
          <w:b/>
          <w:bCs w:val="0"/>
          <w:sz w:val="28"/>
          <w:szCs w:val="28"/>
          <w:highlight w:val="none"/>
        </w:rPr>
      </w:pPr>
    </w:p>
    <w:p>
      <w:pPr>
        <w:rPr>
          <w:rFonts w:hint="eastAsia"/>
          <w:b/>
          <w:bCs w:val="0"/>
          <w:highlight w:val="none"/>
        </w:rPr>
      </w:pPr>
    </w:p>
    <w:p>
      <w:pPr>
        <w:pStyle w:val="3"/>
        <w:spacing w:line="480" w:lineRule="exact"/>
        <w:jc w:val="center"/>
        <w:rPr>
          <w:rFonts w:hint="eastAsia" w:ascii="黑体" w:hAnsi="黑体" w:eastAsia="黑体" w:cs="黑体"/>
          <w:b/>
          <w:bCs w:val="0"/>
          <w:sz w:val="28"/>
          <w:szCs w:val="28"/>
          <w:highlight w:val="none"/>
        </w:rPr>
      </w:pPr>
      <w:bookmarkStart w:id="4" w:name="_Toc22082"/>
      <w:r>
        <w:rPr>
          <w:rFonts w:hint="eastAsia" w:ascii="黑体" w:hAnsi="黑体" w:eastAsia="黑体" w:cs="黑体"/>
          <w:b/>
          <w:bCs w:val="0"/>
          <w:sz w:val="28"/>
          <w:szCs w:val="28"/>
          <w:highlight w:val="none"/>
        </w:rPr>
        <w:t>第一章 项目概况</w:t>
      </w:r>
      <w:bookmarkEnd w:id="3"/>
      <w:bookmarkEnd w:id="4"/>
    </w:p>
    <w:p>
      <w:pPr>
        <w:pStyle w:val="4"/>
        <w:pageBreakBefore w:val="0"/>
        <w:kinsoku/>
        <w:wordWrap/>
        <w:overflowPunct/>
        <w:topLinePunct w:val="0"/>
        <w:autoSpaceDE/>
        <w:autoSpaceDN/>
        <w:bidi w:val="0"/>
        <w:spacing w:line="420" w:lineRule="exact"/>
        <w:ind w:firstLine="560"/>
        <w:textAlignment w:val="auto"/>
        <w:rPr>
          <w:b/>
          <w:bCs w:val="0"/>
          <w:highlight w:val="none"/>
          <w:lang w:val="zh-CN"/>
        </w:rPr>
      </w:pPr>
      <w:bookmarkStart w:id="5" w:name="_Toc19550"/>
      <w:r>
        <w:rPr>
          <w:rFonts w:hint="eastAsia"/>
          <w:b/>
          <w:bCs w:val="0"/>
          <w:highlight w:val="none"/>
          <w:lang w:val="zh-CN"/>
        </w:rPr>
        <w:t>一、项目名称</w:t>
      </w:r>
      <w:bookmarkEnd w:id="5"/>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kern w:val="2"/>
          <w:sz w:val="28"/>
          <w:szCs w:val="28"/>
          <w:highlight w:val="none"/>
          <w:lang w:val="zh-CN"/>
        </w:rPr>
      </w:pPr>
      <w:r>
        <w:rPr>
          <w:rFonts w:hint="eastAsia" w:hAnsi="宋体" w:cs="宋体"/>
          <w:b/>
          <w:bCs w:val="0"/>
          <w:kern w:val="2"/>
          <w:sz w:val="28"/>
          <w:szCs w:val="28"/>
          <w:highlight w:val="none"/>
          <w:lang w:val="zh-CN"/>
        </w:rPr>
        <w:t>深圳市鹏劳人力资源管理有限公司员工</w:t>
      </w:r>
      <w:r>
        <w:rPr>
          <w:rFonts w:hint="eastAsia" w:hAnsi="宋体" w:cs="宋体"/>
          <w:b/>
          <w:bCs w:val="0"/>
          <w:kern w:val="2"/>
          <w:sz w:val="28"/>
          <w:szCs w:val="28"/>
          <w:highlight w:val="none"/>
          <w:lang w:val="en-US" w:eastAsia="zh-CN"/>
        </w:rPr>
        <w:t>2021年度健康</w:t>
      </w:r>
      <w:r>
        <w:rPr>
          <w:rFonts w:hint="eastAsia" w:hAnsi="宋体" w:cs="宋体"/>
          <w:b/>
          <w:bCs w:val="0"/>
          <w:kern w:val="2"/>
          <w:sz w:val="28"/>
          <w:szCs w:val="28"/>
          <w:highlight w:val="none"/>
          <w:lang w:val="zh-CN"/>
        </w:rPr>
        <w:t>体检服务采购</w:t>
      </w:r>
    </w:p>
    <w:p>
      <w:pPr>
        <w:pStyle w:val="4"/>
        <w:pageBreakBefore w:val="0"/>
        <w:kinsoku/>
        <w:wordWrap/>
        <w:overflowPunct/>
        <w:topLinePunct w:val="0"/>
        <w:autoSpaceDE/>
        <w:autoSpaceDN/>
        <w:bidi w:val="0"/>
        <w:spacing w:line="420" w:lineRule="exact"/>
        <w:ind w:firstLine="560"/>
        <w:textAlignment w:val="auto"/>
        <w:rPr>
          <w:b/>
          <w:bCs w:val="0"/>
          <w:highlight w:val="none"/>
          <w:lang w:val="zh-CN"/>
        </w:rPr>
      </w:pPr>
      <w:bookmarkStart w:id="6" w:name="_Toc16912"/>
      <w:r>
        <w:rPr>
          <w:rFonts w:hint="eastAsia"/>
          <w:b/>
          <w:bCs w:val="0"/>
          <w:highlight w:val="none"/>
          <w:lang w:val="zh-CN"/>
        </w:rPr>
        <w:t>二、招标编号</w:t>
      </w:r>
      <w:bookmarkEnd w:id="6"/>
    </w:p>
    <w:p>
      <w:pPr>
        <w:pStyle w:val="7"/>
        <w:pageBreakBefore w:val="0"/>
        <w:tabs>
          <w:tab w:val="left" w:pos="7740"/>
        </w:tabs>
        <w:kinsoku/>
        <w:wordWrap/>
        <w:overflowPunct/>
        <w:topLinePunct w:val="0"/>
        <w:autoSpaceDE/>
        <w:autoSpaceDN/>
        <w:bidi w:val="0"/>
        <w:adjustRightInd w:val="0"/>
        <w:snapToGrid w:val="0"/>
        <w:spacing w:line="420" w:lineRule="exact"/>
        <w:ind w:firstLine="560" w:firstLineChars="0"/>
        <w:textAlignment w:val="auto"/>
        <w:rPr>
          <w:rFonts w:hint="default" w:hAnsi="宋体" w:eastAsia="宋体" w:cs="宋体"/>
          <w:b/>
          <w:bCs w:val="0"/>
          <w:kern w:val="2"/>
          <w:sz w:val="28"/>
          <w:szCs w:val="28"/>
          <w:highlight w:val="none"/>
          <w:lang w:val="en-US" w:eastAsia="zh-CN"/>
        </w:rPr>
      </w:pPr>
      <w:r>
        <w:rPr>
          <w:rFonts w:hint="eastAsia" w:hAnsi="宋体" w:cs="宋体"/>
          <w:b/>
          <w:bCs w:val="0"/>
          <w:kern w:val="2"/>
          <w:sz w:val="28"/>
          <w:szCs w:val="28"/>
          <w:highlight w:val="none"/>
        </w:rPr>
        <w:t>PLHR-ZB-FW-202</w:t>
      </w:r>
      <w:r>
        <w:rPr>
          <w:rFonts w:hint="eastAsia" w:hAnsi="宋体" w:cs="宋体"/>
          <w:b/>
          <w:bCs w:val="0"/>
          <w:kern w:val="2"/>
          <w:sz w:val="28"/>
          <w:szCs w:val="28"/>
          <w:highlight w:val="none"/>
          <w:lang w:val="en-US" w:eastAsia="zh-CN"/>
        </w:rPr>
        <w:t>107</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7" w:name="_Toc11485"/>
      <w:r>
        <w:rPr>
          <w:rFonts w:hint="eastAsia"/>
          <w:b/>
          <w:bCs w:val="0"/>
          <w:highlight w:val="none"/>
        </w:rPr>
        <w:t>三、投标人资质要求</w:t>
      </w:r>
      <w:bookmarkEnd w:id="7"/>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int="eastAsia" w:hAnsi="宋体" w:cs="宋体"/>
          <w:b/>
          <w:bCs w:val="0"/>
          <w:i w:val="0"/>
          <w:iCs w:val="0"/>
          <w:sz w:val="28"/>
          <w:szCs w:val="28"/>
          <w:highlight w:val="none"/>
        </w:rPr>
      </w:pPr>
      <w:r>
        <w:rPr>
          <w:rFonts w:hint="eastAsia" w:hAnsi="宋体" w:cs="宋体"/>
          <w:b/>
          <w:bCs w:val="0"/>
          <w:i w:val="0"/>
          <w:iCs w:val="0"/>
          <w:sz w:val="28"/>
          <w:szCs w:val="28"/>
          <w:highlight w:val="none"/>
        </w:rPr>
        <w:t>（一）投标人</w:t>
      </w:r>
      <w:r>
        <w:rPr>
          <w:rFonts w:hint="eastAsia" w:hAnsi="宋体" w:cs="宋体"/>
          <w:b/>
          <w:bCs w:val="0"/>
          <w:i w:val="0"/>
          <w:iCs w:val="0"/>
          <w:sz w:val="28"/>
          <w:szCs w:val="28"/>
          <w:highlight w:val="none"/>
          <w:lang w:eastAsia="zh-CN"/>
        </w:rPr>
        <w:t>应</w:t>
      </w:r>
      <w:r>
        <w:rPr>
          <w:rFonts w:hint="eastAsia" w:hAnsi="宋体" w:cs="宋体"/>
          <w:b/>
          <w:bCs w:val="0"/>
          <w:i w:val="0"/>
          <w:iCs w:val="0"/>
          <w:sz w:val="28"/>
          <w:szCs w:val="28"/>
          <w:highlight w:val="none"/>
        </w:rPr>
        <w:t>为国内</w:t>
      </w:r>
      <w:r>
        <w:rPr>
          <w:rFonts w:hint="eastAsia" w:hAnsi="宋体" w:cs="宋体"/>
          <w:b/>
          <w:bCs w:val="0"/>
          <w:i w:val="0"/>
          <w:iCs w:val="0"/>
          <w:sz w:val="28"/>
          <w:szCs w:val="28"/>
          <w:highlight w:val="none"/>
          <w:lang w:eastAsia="zh-CN"/>
        </w:rPr>
        <w:t>合法合规</w:t>
      </w:r>
      <w:r>
        <w:rPr>
          <w:rFonts w:hint="eastAsia" w:hAnsi="宋体" w:cs="宋体"/>
          <w:b/>
          <w:bCs w:val="0"/>
          <w:i w:val="0"/>
          <w:iCs w:val="0"/>
          <w:sz w:val="28"/>
          <w:szCs w:val="28"/>
          <w:highlight w:val="none"/>
        </w:rPr>
        <w:t>注册，具备</w:t>
      </w:r>
      <w:r>
        <w:rPr>
          <w:rFonts w:hint="eastAsia" w:hAnsi="宋体" w:cs="宋体"/>
          <w:b/>
          <w:bCs w:val="0"/>
          <w:i w:val="0"/>
          <w:iCs w:val="0"/>
          <w:sz w:val="28"/>
          <w:szCs w:val="28"/>
          <w:highlight w:val="none"/>
          <w:lang w:eastAsia="zh-CN"/>
        </w:rPr>
        <w:t>独立</w:t>
      </w:r>
      <w:r>
        <w:rPr>
          <w:rFonts w:hint="eastAsia" w:hAnsi="宋体" w:cs="宋体"/>
          <w:b/>
          <w:bCs w:val="0"/>
          <w:i w:val="0"/>
          <w:iCs w:val="0"/>
          <w:sz w:val="28"/>
          <w:szCs w:val="28"/>
          <w:highlight w:val="none"/>
        </w:rPr>
        <w:t>法人资格</w:t>
      </w:r>
      <w:r>
        <w:rPr>
          <w:rFonts w:hint="eastAsia" w:hAnsi="宋体" w:cs="宋体"/>
          <w:b/>
          <w:bCs w:val="0"/>
          <w:i w:val="0"/>
          <w:iCs w:val="0"/>
          <w:sz w:val="28"/>
          <w:szCs w:val="28"/>
          <w:highlight w:val="none"/>
          <w:lang w:eastAsia="zh-CN"/>
        </w:rPr>
        <w:t>，且根据国家《医院分级管理办法》评级达到三级甲等的</w:t>
      </w:r>
      <w:r>
        <w:rPr>
          <w:rFonts w:hint="eastAsia" w:hAnsi="宋体" w:cs="宋体"/>
          <w:b/>
          <w:bCs w:val="0"/>
          <w:i w:val="0"/>
          <w:iCs w:val="0"/>
          <w:sz w:val="28"/>
          <w:szCs w:val="28"/>
          <w:highlight w:val="none"/>
        </w:rPr>
        <w:t>医院；</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int="eastAsia" w:hAnsi="宋体" w:eastAsia="宋体" w:cs="宋体"/>
          <w:b/>
          <w:bCs w:val="0"/>
          <w:i w:val="0"/>
          <w:iCs w:val="0"/>
          <w:sz w:val="28"/>
          <w:szCs w:val="28"/>
          <w:highlight w:val="none"/>
          <w:lang w:eastAsia="zh-CN"/>
        </w:rPr>
      </w:pPr>
      <w:r>
        <w:rPr>
          <w:rFonts w:hint="eastAsia" w:hAnsi="宋体" w:cs="宋体"/>
          <w:b/>
          <w:bCs w:val="0"/>
          <w:i w:val="0"/>
          <w:iCs w:val="0"/>
          <w:sz w:val="28"/>
          <w:szCs w:val="28"/>
          <w:highlight w:val="none"/>
          <w:lang w:eastAsia="zh-CN"/>
        </w:rPr>
        <w:t>（二）投标人总部设立在罗湖区或福田区，或在前述区域内已设立具备公众体检服务接待能力的分支机构；</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sz w:val="28"/>
          <w:szCs w:val="28"/>
          <w:highlight w:val="none"/>
        </w:rPr>
      </w:pPr>
      <w:r>
        <w:rPr>
          <w:rFonts w:hint="eastAsia" w:hAnsi="宋体" w:cs="宋体"/>
          <w:b/>
          <w:bCs w:val="0"/>
          <w:i w:val="0"/>
          <w:iCs w:val="0"/>
          <w:sz w:val="28"/>
          <w:szCs w:val="28"/>
          <w:highlight w:val="none"/>
        </w:rPr>
        <w:t>（</w:t>
      </w:r>
      <w:r>
        <w:rPr>
          <w:rFonts w:hint="eastAsia" w:hAnsi="宋体" w:cs="宋体"/>
          <w:b/>
          <w:bCs w:val="0"/>
          <w:i w:val="0"/>
          <w:iCs w:val="0"/>
          <w:sz w:val="28"/>
          <w:szCs w:val="28"/>
          <w:highlight w:val="none"/>
          <w:lang w:eastAsia="zh-CN"/>
        </w:rPr>
        <w:t>三</w:t>
      </w:r>
      <w:r>
        <w:rPr>
          <w:rFonts w:hint="eastAsia" w:hAnsi="宋体" w:cs="宋体"/>
          <w:b/>
          <w:bCs w:val="0"/>
          <w:i w:val="0"/>
          <w:iCs w:val="0"/>
          <w:sz w:val="28"/>
          <w:szCs w:val="28"/>
          <w:highlight w:val="none"/>
        </w:rPr>
        <w:t>）投标人具有完全响应本项目</w:t>
      </w:r>
      <w:r>
        <w:rPr>
          <w:rFonts w:hint="eastAsia" w:hAnsi="宋体" w:cs="宋体"/>
          <w:b/>
          <w:bCs w:val="0"/>
          <w:i w:val="0"/>
          <w:iCs w:val="0"/>
          <w:sz w:val="28"/>
          <w:szCs w:val="28"/>
          <w:highlight w:val="none"/>
          <w:lang w:eastAsia="zh-CN"/>
        </w:rPr>
        <w:t>服务提供</w:t>
      </w:r>
      <w:r>
        <w:rPr>
          <w:rFonts w:hint="eastAsia" w:hAnsi="宋体" w:cs="宋体"/>
          <w:b/>
          <w:bCs w:val="0"/>
          <w:i w:val="0"/>
          <w:iCs w:val="0"/>
          <w:sz w:val="28"/>
          <w:szCs w:val="28"/>
          <w:highlight w:val="none"/>
        </w:rPr>
        <w:t>需求的能力</w:t>
      </w:r>
      <w:r>
        <w:rPr>
          <w:rFonts w:hint="eastAsia" w:hAnsi="宋体" w:cs="宋体"/>
          <w:b/>
          <w:bCs w:val="0"/>
          <w:i w:val="0"/>
          <w:iCs w:val="0"/>
          <w:sz w:val="28"/>
          <w:szCs w:val="28"/>
          <w:highlight w:val="none"/>
          <w:lang w:eastAsia="zh-CN"/>
        </w:rPr>
        <w:t>，</w:t>
      </w:r>
      <w:r>
        <w:rPr>
          <w:rFonts w:hint="eastAsia" w:hAnsi="宋体" w:cs="宋体"/>
          <w:b/>
          <w:bCs w:val="0"/>
          <w:i w:val="0"/>
          <w:iCs w:val="0"/>
          <w:sz w:val="28"/>
          <w:szCs w:val="28"/>
          <w:highlight w:val="none"/>
        </w:rPr>
        <w:t>能独立承担本招标文件所示民事等法律责任和合同义务。</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sz w:val="28"/>
          <w:szCs w:val="28"/>
          <w:highlight w:val="none"/>
        </w:rPr>
      </w:pPr>
      <w:r>
        <w:rPr>
          <w:rFonts w:hint="eastAsia" w:hAnsi="宋体" w:cs="宋体"/>
          <w:b/>
          <w:bCs w:val="0"/>
          <w:i w:val="0"/>
          <w:iCs w:val="0"/>
          <w:sz w:val="28"/>
          <w:szCs w:val="28"/>
          <w:highlight w:val="none"/>
        </w:rPr>
        <w:t>（</w:t>
      </w:r>
      <w:r>
        <w:rPr>
          <w:rFonts w:hint="eastAsia" w:hAnsi="宋体" w:cs="宋体"/>
          <w:b/>
          <w:bCs w:val="0"/>
          <w:i w:val="0"/>
          <w:iCs w:val="0"/>
          <w:sz w:val="28"/>
          <w:szCs w:val="28"/>
          <w:highlight w:val="none"/>
          <w:lang w:eastAsia="zh-CN"/>
        </w:rPr>
        <w:t>四</w:t>
      </w:r>
      <w:r>
        <w:rPr>
          <w:rFonts w:hint="eastAsia" w:hAnsi="宋体" w:cs="宋体"/>
          <w:b/>
          <w:bCs w:val="0"/>
          <w:i w:val="0"/>
          <w:iCs w:val="0"/>
          <w:sz w:val="28"/>
          <w:szCs w:val="28"/>
          <w:highlight w:val="none"/>
        </w:rPr>
        <w:t>）投标人无对在“信用中国”网站(www.creditchina.gov.cn)、中国政府采购网(www.ccgp.gov.cn)等渠道列入失信被执行人、重大税收违法案件当事人名单、政府采购严重违法失信行为记录名单的情况；</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sz w:val="28"/>
          <w:szCs w:val="28"/>
          <w:highlight w:val="none"/>
        </w:rPr>
      </w:pPr>
      <w:r>
        <w:rPr>
          <w:rFonts w:hint="eastAsia" w:hAnsi="宋体" w:cs="宋体"/>
          <w:b/>
          <w:bCs w:val="0"/>
          <w:i w:val="0"/>
          <w:iCs w:val="0"/>
          <w:sz w:val="28"/>
          <w:szCs w:val="28"/>
          <w:highlight w:val="none"/>
        </w:rPr>
        <w:t>（</w:t>
      </w:r>
      <w:r>
        <w:rPr>
          <w:rFonts w:hint="eastAsia" w:hAnsi="宋体" w:cs="宋体"/>
          <w:b/>
          <w:bCs w:val="0"/>
          <w:i w:val="0"/>
          <w:iCs w:val="0"/>
          <w:sz w:val="28"/>
          <w:szCs w:val="28"/>
          <w:highlight w:val="none"/>
          <w:lang w:eastAsia="zh-CN"/>
        </w:rPr>
        <w:t>五</w:t>
      </w:r>
      <w:r>
        <w:rPr>
          <w:rFonts w:hint="eastAsia" w:hAnsi="宋体" w:cs="宋体"/>
          <w:b/>
          <w:bCs w:val="0"/>
          <w:i w:val="0"/>
          <w:iCs w:val="0"/>
          <w:sz w:val="28"/>
          <w:szCs w:val="28"/>
          <w:highlight w:val="none"/>
        </w:rPr>
        <w:t>）投标人如为与招标人合作的既往供应商，需满足招标人关于供应商的管理规定，同时既往三年内无重大事故、服务投诉或质量不符合记录；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sz w:val="28"/>
          <w:szCs w:val="28"/>
          <w:highlight w:val="none"/>
        </w:rPr>
      </w:pPr>
      <w:r>
        <w:rPr>
          <w:rFonts w:hint="eastAsia" w:hAnsi="宋体" w:cs="宋体"/>
          <w:b/>
          <w:bCs w:val="0"/>
          <w:i w:val="0"/>
          <w:iCs w:val="0"/>
          <w:sz w:val="28"/>
          <w:szCs w:val="28"/>
          <w:highlight w:val="none"/>
        </w:rPr>
        <w:t>（</w:t>
      </w:r>
      <w:r>
        <w:rPr>
          <w:rFonts w:hint="eastAsia" w:hAnsi="宋体" w:cs="宋体"/>
          <w:b/>
          <w:bCs w:val="0"/>
          <w:i w:val="0"/>
          <w:iCs w:val="0"/>
          <w:sz w:val="28"/>
          <w:szCs w:val="28"/>
          <w:highlight w:val="none"/>
          <w:lang w:eastAsia="zh-CN"/>
        </w:rPr>
        <w:t>六</w:t>
      </w:r>
      <w:r>
        <w:rPr>
          <w:rFonts w:hint="eastAsia" w:hAnsi="宋体" w:cs="宋体"/>
          <w:b/>
          <w:bCs w:val="0"/>
          <w:i w:val="0"/>
          <w:iCs w:val="0"/>
          <w:sz w:val="28"/>
          <w:szCs w:val="28"/>
          <w:highlight w:val="none"/>
        </w:rPr>
        <w:t>）投标人能够开具符合国家法律法规规定</w:t>
      </w:r>
      <w:r>
        <w:rPr>
          <w:rFonts w:hint="eastAsia" w:hAnsi="宋体" w:cs="宋体"/>
          <w:b/>
          <w:bCs w:val="0"/>
          <w:i w:val="0"/>
          <w:iCs w:val="0"/>
          <w:sz w:val="28"/>
          <w:szCs w:val="28"/>
          <w:highlight w:val="none"/>
          <w:lang w:eastAsia="zh-CN"/>
        </w:rPr>
        <w:t>票据。</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kern w:val="2"/>
          <w:sz w:val="28"/>
          <w:szCs w:val="28"/>
          <w:highlight w:val="none"/>
        </w:rPr>
      </w:pPr>
      <w:r>
        <w:rPr>
          <w:rFonts w:hint="eastAsia" w:hAnsi="宋体" w:cs="宋体"/>
          <w:b/>
          <w:bCs w:val="0"/>
          <w:i w:val="0"/>
          <w:iCs w:val="0"/>
          <w:sz w:val="28"/>
          <w:szCs w:val="28"/>
          <w:highlight w:val="none"/>
        </w:rPr>
        <w:t>本项目不接受联合体竞标或分标段投标。</w:t>
      </w:r>
      <w:r>
        <w:rPr>
          <w:rFonts w:hint="eastAsia" w:hAnsi="宋体" w:cs="宋体"/>
          <w:b/>
          <w:bCs w:val="0"/>
          <w:i w:val="0"/>
          <w:iCs w:val="0"/>
          <w:kern w:val="2"/>
          <w:sz w:val="28"/>
          <w:szCs w:val="28"/>
          <w:highlight w:val="none"/>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420" w:lineRule="exact"/>
        <w:ind w:firstLine="560"/>
        <w:textAlignment w:val="auto"/>
        <w:rPr>
          <w:b/>
          <w:bCs w:val="0"/>
          <w:highlight w:val="none"/>
          <w:lang w:val="zh-CN"/>
        </w:rPr>
      </w:pPr>
      <w:bookmarkStart w:id="8" w:name="_Toc19708"/>
      <w:r>
        <w:rPr>
          <w:rFonts w:hint="eastAsia"/>
          <w:b/>
          <w:bCs w:val="0"/>
          <w:highlight w:val="none"/>
          <w:lang w:val="zh-CN"/>
        </w:rPr>
        <w:t>四、项目内容、服务需求及期限</w:t>
      </w:r>
      <w:bookmarkEnd w:id="8"/>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bookmarkStart w:id="9" w:name="_Toc15949_WPSOffice_Level2"/>
      <w:r>
        <w:rPr>
          <w:rFonts w:hint="eastAsia" w:ascii="宋体" w:hAnsi="宋体" w:eastAsia="宋体" w:cs="宋体"/>
          <w:b/>
          <w:bCs w:val="0"/>
          <w:sz w:val="28"/>
          <w:szCs w:val="28"/>
          <w:highlight w:val="none"/>
        </w:rPr>
        <w:t>（一）项目内容</w:t>
      </w:r>
      <w:bookmarkEnd w:id="9"/>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为招标人指定员工在招标人指定时间内提供健康体检服务，出具体检报告及健康管理建议。</w:t>
      </w:r>
    </w:p>
    <w:p>
      <w:pPr>
        <w:pageBreakBefore w:val="0"/>
        <w:widowControl/>
        <w:numPr>
          <w:ilvl w:val="0"/>
          <w:numId w:val="1"/>
        </w:numPr>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项目需求</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1.</w:t>
      </w:r>
      <w:r>
        <w:rPr>
          <w:rFonts w:hint="eastAsia" w:ascii="宋体" w:hAnsi="宋体" w:eastAsia="宋体" w:cs="宋体"/>
          <w:b/>
          <w:bCs w:val="0"/>
          <w:sz w:val="28"/>
          <w:szCs w:val="28"/>
          <w:highlight w:val="none"/>
        </w:rPr>
        <w:t>投标人应为招标人员工提供便利的线上、线下体检预约渠道，同时设置合理体检服务期限，</w:t>
      </w:r>
      <w:r>
        <w:rPr>
          <w:rFonts w:hint="eastAsia" w:ascii="宋体" w:hAnsi="宋体" w:eastAsia="宋体" w:cs="宋体"/>
          <w:b/>
          <w:bCs w:val="0"/>
          <w:sz w:val="28"/>
          <w:szCs w:val="28"/>
          <w:highlight w:val="none"/>
          <w:lang w:eastAsia="zh-CN"/>
        </w:rPr>
        <w:t>在招标人员工集中预约的体检高峰期内预留企业专用通道，</w:t>
      </w:r>
      <w:r>
        <w:rPr>
          <w:rFonts w:hint="eastAsia" w:ascii="宋体" w:hAnsi="宋体" w:eastAsia="宋体" w:cs="宋体"/>
          <w:b/>
          <w:bCs w:val="0"/>
          <w:sz w:val="28"/>
          <w:szCs w:val="28"/>
          <w:highlight w:val="none"/>
        </w:rPr>
        <w:t>同时为逾期未能参加综合专场体检服务</w:t>
      </w:r>
      <w:r>
        <w:rPr>
          <w:rFonts w:hint="eastAsia" w:ascii="宋体" w:hAnsi="宋体" w:eastAsia="宋体" w:cs="宋体"/>
          <w:b/>
          <w:bCs w:val="0"/>
          <w:sz w:val="28"/>
          <w:szCs w:val="28"/>
          <w:highlight w:val="none"/>
          <w:lang w:eastAsia="zh-CN"/>
        </w:rPr>
        <w:t>的</w:t>
      </w:r>
      <w:r>
        <w:rPr>
          <w:rFonts w:hint="eastAsia" w:ascii="宋体" w:hAnsi="宋体" w:eastAsia="宋体" w:cs="宋体"/>
          <w:b/>
          <w:bCs w:val="0"/>
          <w:sz w:val="28"/>
          <w:szCs w:val="28"/>
          <w:highlight w:val="none"/>
        </w:rPr>
        <w:t>员工提供灵活、机动、合理的体检服务补检；</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2</w:t>
      </w:r>
      <w:r>
        <w:rPr>
          <w:rFonts w:hint="eastAsia" w:ascii="宋体" w:hAnsi="宋体" w:eastAsia="宋体" w:cs="宋体"/>
          <w:b/>
          <w:bCs w:val="0"/>
          <w:sz w:val="28"/>
          <w:szCs w:val="28"/>
          <w:highlight w:val="none"/>
        </w:rPr>
        <w:t>.投标人应为招标人</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提供至少包含以下内容的随附服务：</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(1)</w:t>
      </w:r>
      <w:r>
        <w:rPr>
          <w:rFonts w:hint="eastAsia" w:ascii="宋体" w:hAnsi="宋体" w:eastAsia="宋体" w:cs="宋体"/>
          <w:b/>
          <w:bCs w:val="0"/>
          <w:sz w:val="28"/>
          <w:szCs w:val="28"/>
          <w:highlight w:val="none"/>
        </w:rPr>
        <w:t>个人纸质及电子版体检报告</w:t>
      </w:r>
      <w:r>
        <w:rPr>
          <w:rFonts w:hint="eastAsia" w:ascii="宋体" w:hAnsi="宋体" w:eastAsia="宋体" w:cs="宋体"/>
          <w:b/>
          <w:bCs w:val="0"/>
          <w:sz w:val="28"/>
          <w:szCs w:val="28"/>
          <w:highlight w:val="none"/>
          <w:lang w:eastAsia="zh-CN"/>
        </w:rPr>
        <w:t>以及基于体检结果的个人健康咨询解读</w:t>
      </w:r>
      <w:r>
        <w:rPr>
          <w:rFonts w:hint="eastAsia" w:ascii="宋体" w:hAnsi="宋体" w:eastAsia="宋体" w:cs="宋体"/>
          <w:b/>
          <w:bCs w:val="0"/>
          <w:sz w:val="28"/>
          <w:szCs w:val="28"/>
          <w:highlight w:val="none"/>
        </w:rPr>
        <w:t>；</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w:t>
      </w:r>
      <w:r>
        <w:rPr>
          <w:rFonts w:hint="eastAsia" w:ascii="宋体" w:hAnsi="宋体" w:eastAsia="宋体" w:cs="宋体"/>
          <w:b/>
          <w:bCs w:val="0"/>
          <w:sz w:val="28"/>
          <w:szCs w:val="28"/>
          <w:highlight w:val="none"/>
          <w:lang w:val="en-US" w:eastAsia="zh-CN"/>
        </w:rPr>
        <w:t>2</w:t>
      </w:r>
      <w:r>
        <w:rPr>
          <w:rFonts w:hint="eastAsia" w:ascii="宋体" w:hAnsi="宋体" w:eastAsia="宋体" w:cs="宋体"/>
          <w:b/>
          <w:bCs w:val="0"/>
          <w:sz w:val="28"/>
          <w:szCs w:val="28"/>
          <w:highlight w:val="none"/>
        </w:rPr>
        <w:t>)体检当日营养早餐；</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yellow"/>
        </w:rPr>
        <w:t>(</w:t>
      </w:r>
      <w:r>
        <w:rPr>
          <w:rFonts w:hint="eastAsia" w:ascii="宋体" w:hAnsi="宋体" w:eastAsia="宋体" w:cs="宋体"/>
          <w:b/>
          <w:bCs w:val="0"/>
          <w:sz w:val="28"/>
          <w:szCs w:val="28"/>
          <w:highlight w:val="yellow"/>
          <w:lang w:val="en-US" w:eastAsia="zh-CN"/>
        </w:rPr>
        <w:t>4</w:t>
      </w:r>
      <w:r>
        <w:rPr>
          <w:rFonts w:hint="eastAsia" w:ascii="宋体" w:hAnsi="宋体" w:eastAsia="宋体" w:cs="宋体"/>
          <w:b/>
          <w:bCs w:val="0"/>
          <w:sz w:val="28"/>
          <w:szCs w:val="28"/>
          <w:highlight w:val="yellow"/>
        </w:rPr>
        <w:t>)肿瘤标志物异常30个工作日内免费复查</w:t>
      </w:r>
      <w:r>
        <w:rPr>
          <w:rFonts w:hint="eastAsia" w:ascii="宋体" w:hAnsi="宋体" w:eastAsia="宋体" w:cs="宋体"/>
          <w:b/>
          <w:bCs w:val="0"/>
          <w:sz w:val="28"/>
          <w:szCs w:val="28"/>
          <w:highlight w:val="none"/>
          <w:lang w:eastAsia="zh-CN"/>
        </w:rPr>
        <w:t>。</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.投标人应为招标人提供</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团体体检汇总报告</w:t>
      </w:r>
      <w:r>
        <w:rPr>
          <w:rFonts w:hint="eastAsia" w:ascii="宋体" w:hAnsi="宋体" w:eastAsia="宋体" w:cs="宋体"/>
          <w:b/>
          <w:bCs w:val="0"/>
          <w:sz w:val="28"/>
          <w:szCs w:val="28"/>
          <w:highlight w:val="none"/>
          <w:lang w:eastAsia="zh-CN"/>
        </w:rPr>
        <w:t>；</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val="en-US" w:eastAsia="zh-CN"/>
        </w:rPr>
        <w:t>4.</w:t>
      </w:r>
      <w:r>
        <w:rPr>
          <w:rFonts w:hint="eastAsia" w:ascii="宋体" w:hAnsi="宋体" w:eastAsia="宋体" w:cs="宋体"/>
          <w:b/>
          <w:bCs w:val="0"/>
          <w:sz w:val="28"/>
          <w:szCs w:val="28"/>
          <w:highlight w:val="none"/>
        </w:rPr>
        <w:t>在满足以上服务需求的同时，投标人需根据招标文件所示限价情况</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lang w:eastAsia="zh-CN"/>
        </w:rPr>
        <w:t>根据邀请投标公告附件</w:t>
      </w:r>
      <w:r>
        <w:rPr>
          <w:rFonts w:hint="eastAsia" w:ascii="宋体" w:hAnsi="宋体" w:eastAsia="宋体" w:cs="宋体"/>
          <w:b/>
          <w:bCs w:val="0"/>
          <w:sz w:val="28"/>
          <w:szCs w:val="28"/>
          <w:highlight w:val="none"/>
          <w:lang w:val="en-US" w:eastAsia="zh-CN"/>
        </w:rPr>
        <w:t>2《体检方案及报价表》</w:t>
      </w:r>
      <w:r>
        <w:rPr>
          <w:rFonts w:hint="eastAsia" w:ascii="宋体" w:hAnsi="宋体" w:eastAsia="宋体" w:cs="宋体"/>
          <w:b/>
          <w:bCs w:val="0"/>
          <w:sz w:val="28"/>
          <w:szCs w:val="28"/>
          <w:highlight w:val="none"/>
        </w:rPr>
        <w:t>所示</w:t>
      </w:r>
      <w:r>
        <w:rPr>
          <w:rFonts w:hint="eastAsia" w:ascii="宋体" w:hAnsi="宋体" w:eastAsia="宋体" w:cs="宋体"/>
          <w:b/>
          <w:bCs w:val="0"/>
          <w:sz w:val="28"/>
          <w:szCs w:val="28"/>
          <w:highlight w:val="none"/>
          <w:lang w:eastAsia="zh-CN"/>
        </w:rPr>
        <w:t>体检</w:t>
      </w:r>
      <w:r>
        <w:rPr>
          <w:rFonts w:hint="eastAsia" w:ascii="宋体" w:hAnsi="宋体" w:eastAsia="宋体" w:cs="宋体"/>
          <w:b/>
          <w:bCs w:val="0"/>
          <w:sz w:val="28"/>
          <w:szCs w:val="28"/>
          <w:highlight w:val="none"/>
        </w:rPr>
        <w:t>项目基础上自行增加</w:t>
      </w:r>
      <w:r>
        <w:rPr>
          <w:rFonts w:hint="eastAsia" w:ascii="宋体" w:hAnsi="宋体" w:eastAsia="宋体" w:cs="宋体"/>
          <w:b/>
          <w:bCs w:val="0"/>
          <w:sz w:val="28"/>
          <w:szCs w:val="28"/>
          <w:highlight w:val="none"/>
          <w:lang w:eastAsia="zh-CN"/>
        </w:rPr>
        <w:t>体检科目</w:t>
      </w:r>
      <w:r>
        <w:rPr>
          <w:rFonts w:hint="eastAsia" w:ascii="宋体" w:hAnsi="宋体" w:eastAsia="宋体" w:cs="宋体"/>
          <w:b/>
          <w:bCs w:val="0"/>
          <w:sz w:val="28"/>
          <w:szCs w:val="28"/>
          <w:highlight w:val="none"/>
        </w:rPr>
        <w:t>或提出更优方案并</w:t>
      </w:r>
      <w:r>
        <w:rPr>
          <w:rFonts w:hint="eastAsia" w:ascii="宋体" w:hAnsi="宋体" w:eastAsia="宋体" w:cs="宋体"/>
          <w:b/>
          <w:bCs w:val="0"/>
          <w:sz w:val="28"/>
          <w:szCs w:val="28"/>
          <w:highlight w:val="none"/>
          <w:lang w:eastAsia="zh-CN"/>
        </w:rPr>
        <w:t>按该表格式</w:t>
      </w:r>
      <w:r>
        <w:rPr>
          <w:rFonts w:hint="eastAsia" w:ascii="宋体" w:hAnsi="宋体" w:eastAsia="宋体" w:cs="宋体"/>
          <w:b/>
          <w:bCs w:val="0"/>
          <w:sz w:val="28"/>
          <w:szCs w:val="28"/>
          <w:highlight w:val="none"/>
        </w:rPr>
        <w:t>出具报价，不得减少基准项目或降低标准，低于</w:t>
      </w:r>
      <w:r>
        <w:rPr>
          <w:rFonts w:hint="eastAsia" w:ascii="宋体" w:hAnsi="宋体" w:eastAsia="宋体" w:cs="宋体"/>
          <w:b/>
          <w:bCs w:val="0"/>
          <w:sz w:val="28"/>
          <w:szCs w:val="28"/>
          <w:highlight w:val="none"/>
          <w:lang w:eastAsia="zh-CN"/>
        </w:rPr>
        <w:t>报价表所示体检</w:t>
      </w:r>
      <w:r>
        <w:rPr>
          <w:rFonts w:hint="eastAsia" w:ascii="宋体" w:hAnsi="宋体" w:eastAsia="宋体" w:cs="宋体"/>
          <w:b/>
          <w:bCs w:val="0"/>
          <w:sz w:val="28"/>
          <w:szCs w:val="28"/>
          <w:highlight w:val="none"/>
        </w:rPr>
        <w:t>标准</w:t>
      </w:r>
      <w:r>
        <w:rPr>
          <w:rFonts w:hint="eastAsia" w:ascii="宋体" w:hAnsi="宋体" w:eastAsia="宋体" w:cs="宋体"/>
          <w:b/>
          <w:bCs w:val="0"/>
          <w:sz w:val="28"/>
          <w:szCs w:val="28"/>
          <w:highlight w:val="none"/>
          <w:lang w:eastAsia="zh-CN"/>
        </w:rPr>
        <w:t>的</w:t>
      </w:r>
      <w:r>
        <w:rPr>
          <w:rFonts w:hint="eastAsia" w:ascii="宋体" w:hAnsi="宋体" w:eastAsia="宋体" w:cs="宋体"/>
          <w:b/>
          <w:bCs w:val="0"/>
          <w:sz w:val="28"/>
          <w:szCs w:val="28"/>
          <w:highlight w:val="none"/>
        </w:rPr>
        <w:t>报价文件</w:t>
      </w:r>
      <w:r>
        <w:rPr>
          <w:rFonts w:hint="eastAsia" w:ascii="宋体" w:hAnsi="宋体" w:eastAsia="宋体" w:cs="宋体"/>
          <w:b/>
          <w:bCs w:val="0"/>
          <w:sz w:val="28"/>
          <w:szCs w:val="28"/>
          <w:highlight w:val="none"/>
          <w:lang w:eastAsia="zh-CN"/>
        </w:rPr>
        <w:t>视为投标无效。</w:t>
      </w:r>
    </w:p>
    <w:p>
      <w:pPr>
        <w:pageBreakBefore w:val="0"/>
        <w:widowControl/>
        <w:kinsoku/>
        <w:wordWrap/>
        <w:overflowPunct/>
        <w:topLinePunct w:val="0"/>
        <w:autoSpaceDE/>
        <w:autoSpaceDN/>
        <w:bidi w:val="0"/>
        <w:snapToGrid w:val="0"/>
        <w:spacing w:line="420" w:lineRule="exact"/>
        <w:ind w:left="473" w:leftChars="225"/>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（三）项目期限</w:t>
      </w:r>
    </w:p>
    <w:p>
      <w:pPr>
        <w:pageBreakBefore w:val="0"/>
        <w:widowControl/>
        <w:kinsoku/>
        <w:wordWrap/>
        <w:overflowPunct/>
        <w:topLinePunct w:val="0"/>
        <w:autoSpaceDE/>
        <w:autoSpaceDN/>
        <w:bidi w:val="0"/>
        <w:snapToGrid w:val="0"/>
        <w:spacing w:line="420" w:lineRule="exact"/>
        <w:ind w:firstLine="543" w:firstLineChars="193"/>
        <w:jc w:val="left"/>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rPr>
        <w:t>本项目期限为订立合同之日起至招标人指定</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年度</w:t>
      </w:r>
      <w:r>
        <w:rPr>
          <w:rFonts w:hint="eastAsia" w:ascii="宋体" w:hAnsi="宋体" w:eastAsia="宋体" w:cs="宋体"/>
          <w:b/>
          <w:bCs w:val="0"/>
          <w:sz w:val="28"/>
          <w:szCs w:val="28"/>
          <w:highlight w:val="none"/>
          <w:lang w:eastAsia="zh-CN"/>
        </w:rPr>
        <w:t>健康</w:t>
      </w:r>
      <w:r>
        <w:rPr>
          <w:rFonts w:hint="eastAsia" w:ascii="宋体" w:hAnsi="宋体" w:eastAsia="宋体" w:cs="宋体"/>
          <w:b/>
          <w:bCs w:val="0"/>
          <w:sz w:val="28"/>
          <w:szCs w:val="28"/>
          <w:highlight w:val="none"/>
        </w:rPr>
        <w:t>体检全部完成</w:t>
      </w:r>
      <w:r>
        <w:rPr>
          <w:rFonts w:hint="eastAsia" w:ascii="宋体" w:hAnsi="宋体" w:eastAsia="宋体" w:cs="宋体"/>
          <w:b/>
          <w:bCs w:val="0"/>
          <w:sz w:val="28"/>
          <w:szCs w:val="28"/>
          <w:highlight w:val="none"/>
          <w:lang w:eastAsia="zh-CN"/>
        </w:rPr>
        <w:t>，招标人员工自行放弃体检的情况除外。</w:t>
      </w:r>
    </w:p>
    <w:p>
      <w:pPr>
        <w:pStyle w:val="4"/>
        <w:pageBreakBefore w:val="0"/>
        <w:kinsoku/>
        <w:wordWrap/>
        <w:overflowPunct/>
        <w:topLinePunct w:val="0"/>
        <w:autoSpaceDE/>
        <w:autoSpaceDN/>
        <w:bidi w:val="0"/>
        <w:spacing w:line="420" w:lineRule="exact"/>
        <w:ind w:firstLine="560"/>
        <w:textAlignment w:val="auto"/>
        <w:rPr>
          <w:rFonts w:hint="eastAsia" w:eastAsia="宋体"/>
          <w:b/>
          <w:bCs w:val="0"/>
          <w:highlight w:val="none"/>
          <w:lang w:eastAsia="zh-CN"/>
        </w:rPr>
      </w:pPr>
      <w:bookmarkStart w:id="10" w:name="_Toc15995"/>
      <w:r>
        <w:rPr>
          <w:rFonts w:hint="eastAsia"/>
          <w:b/>
          <w:bCs w:val="0"/>
          <w:highlight w:val="none"/>
        </w:rPr>
        <w:t>五、项目总限价</w:t>
      </w:r>
      <w:r>
        <w:rPr>
          <w:rFonts w:hint="eastAsia"/>
          <w:b/>
          <w:bCs w:val="0"/>
          <w:highlight w:val="none"/>
          <w:lang w:eastAsia="zh-CN"/>
        </w:rPr>
        <w:t>及预估体检人数</w:t>
      </w:r>
      <w:bookmarkEnd w:id="10"/>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1.本项目总限价为人民币</w:t>
      </w:r>
      <w:r>
        <w:rPr>
          <w:rFonts w:hint="eastAsia" w:ascii="宋体" w:hAnsi="宋体" w:eastAsia="宋体" w:cs="宋体"/>
          <w:b/>
          <w:bCs w:val="0"/>
          <w:sz w:val="28"/>
          <w:szCs w:val="28"/>
          <w:highlight w:val="none"/>
          <w:lang w:val="en-US" w:eastAsia="zh-CN"/>
        </w:rPr>
        <w:t xml:space="preserve"> 25万</w:t>
      </w:r>
      <w:r>
        <w:rPr>
          <w:rFonts w:hint="eastAsia" w:ascii="宋体" w:hAnsi="宋体" w:eastAsia="宋体" w:cs="宋体"/>
          <w:b/>
          <w:bCs w:val="0"/>
          <w:sz w:val="28"/>
          <w:szCs w:val="28"/>
          <w:highlight w:val="none"/>
        </w:rPr>
        <w:t>元；</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2.本项目预估体检人数约为134人，该数据仅作为投标人投标的参照因素，不作为招标人对中标人的合同承诺，实际到检人数根据投标人员工个人意愿、身体状况及其他客观因素影响可能存在变化。</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投标人应于报价文件中明确列示各</w:t>
      </w:r>
      <w:r>
        <w:rPr>
          <w:rFonts w:hint="eastAsia" w:ascii="宋体" w:hAnsi="宋体" w:eastAsia="宋体" w:cs="宋体"/>
          <w:b/>
          <w:bCs w:val="0"/>
          <w:sz w:val="28"/>
          <w:szCs w:val="28"/>
          <w:highlight w:val="none"/>
          <w:lang w:eastAsia="zh-CN"/>
        </w:rPr>
        <w:t>体检项目</w:t>
      </w:r>
      <w:r>
        <w:rPr>
          <w:rFonts w:hint="eastAsia" w:ascii="宋体" w:hAnsi="宋体" w:eastAsia="宋体" w:cs="宋体"/>
          <w:b/>
          <w:bCs w:val="0"/>
          <w:sz w:val="28"/>
          <w:szCs w:val="28"/>
          <w:highlight w:val="none"/>
        </w:rPr>
        <w:t>单价</w:t>
      </w:r>
      <w:r>
        <w:rPr>
          <w:rFonts w:hint="eastAsia" w:ascii="宋体" w:hAnsi="宋体" w:eastAsia="宋体" w:cs="宋体"/>
          <w:b/>
          <w:bCs w:val="0"/>
          <w:sz w:val="28"/>
          <w:szCs w:val="28"/>
          <w:highlight w:val="none"/>
          <w:lang w:eastAsia="zh-CN"/>
        </w:rPr>
        <w:t>，并根据预估人数计算得出</w:t>
      </w:r>
      <w:r>
        <w:rPr>
          <w:rFonts w:hint="eastAsia" w:ascii="宋体" w:hAnsi="宋体" w:eastAsia="宋体" w:cs="宋体"/>
          <w:b/>
          <w:bCs w:val="0"/>
          <w:sz w:val="28"/>
          <w:szCs w:val="28"/>
          <w:highlight w:val="none"/>
        </w:rPr>
        <w:t>项目总价，总价超出</w:t>
      </w:r>
      <w:r>
        <w:rPr>
          <w:rFonts w:hint="eastAsia" w:ascii="宋体" w:hAnsi="宋体" w:eastAsia="宋体" w:cs="宋体"/>
          <w:b/>
          <w:bCs w:val="0"/>
          <w:sz w:val="28"/>
          <w:szCs w:val="28"/>
          <w:highlight w:val="none"/>
          <w:lang w:eastAsia="zh-CN"/>
        </w:rPr>
        <w:t>项目总限价金额将导致投标无效</w:t>
      </w:r>
      <w:r>
        <w:rPr>
          <w:rFonts w:hint="eastAsia" w:ascii="宋体" w:hAnsi="宋体" w:eastAsia="宋体" w:cs="宋体"/>
          <w:b/>
          <w:bCs w:val="0"/>
          <w:sz w:val="28"/>
          <w:szCs w:val="28"/>
          <w:highlight w:val="none"/>
        </w:rPr>
        <w:t>。</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1" w:name="_Toc23062"/>
      <w:r>
        <w:rPr>
          <w:rFonts w:hint="eastAsia"/>
          <w:b/>
          <w:bCs w:val="0"/>
          <w:highlight w:val="none"/>
        </w:rPr>
        <w:t>六、投标文件要求</w:t>
      </w:r>
      <w:bookmarkEnd w:id="11"/>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（一）投标文件构成</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1.唱标信封及开标一览表</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(1)唱标信封</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用以密封开标一览表，信封格式见“招标文件 第四章 投标文件格式 格式1 唱标信封”；</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(2)开标一览表</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用唱标信封单独封装，与投标文件一并递交，一览表指定格式见“第四章 投标文件格式 格式2 开标一览表</w:t>
      </w:r>
      <w:r>
        <w:rPr>
          <w:rFonts w:ascii="宋体" w:hAnsi="宋体" w:eastAsia="宋体" w:cs="宋体"/>
          <w:b/>
          <w:bCs w:val="0"/>
          <w:sz w:val="28"/>
          <w:szCs w:val="28"/>
          <w:highlight w:val="none"/>
        </w:rPr>
        <w:t>”</w:t>
      </w:r>
      <w:r>
        <w:rPr>
          <w:rFonts w:hint="eastAsia" w:ascii="宋体" w:hAnsi="宋体" w:eastAsia="宋体" w:cs="宋体"/>
          <w:b/>
          <w:bCs w:val="0"/>
          <w:sz w:val="28"/>
          <w:szCs w:val="28"/>
          <w:highlight w:val="none"/>
        </w:rPr>
        <w:t>。</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2.投标文件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(1)资质证明文件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投标人资质证明文件应按以下顺序排序：</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事业单位法人证书</w:t>
      </w:r>
      <w:r>
        <w:rPr>
          <w:rFonts w:hint="eastAsia" w:ascii="宋体" w:hAnsi="宋体" w:eastAsia="宋体" w:cs="宋体"/>
          <w:b/>
          <w:bCs w:val="0"/>
          <w:sz w:val="28"/>
          <w:szCs w:val="28"/>
          <w:highlight w:val="none"/>
        </w:rPr>
        <w:t>（加盖公章）</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中华人民共和国医疗经营许可证</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三级甲等医院资质证明</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法人授权委托书原件或同等效力的授权证明文件（加盖公章）</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被委托人身份证复印件（加盖公章）</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(2)价格文件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格式参见本文件“</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第四章 投标文件格式 格式</w:t>
      </w:r>
      <w:r>
        <w:rPr>
          <w:rFonts w:hint="eastAsia" w:ascii="宋体" w:hAnsi="宋体" w:eastAsia="宋体" w:cs="宋体"/>
          <w:b/>
          <w:bCs w:val="0"/>
          <w:sz w:val="28"/>
          <w:szCs w:val="28"/>
          <w:highlight w:val="none"/>
          <w:lang w:val="en-US" w:eastAsia="zh-CN"/>
        </w:rPr>
        <w:t>4</w:t>
      </w:r>
      <w:r>
        <w:rPr>
          <w:rFonts w:hint="eastAsia" w:ascii="宋体" w:hAnsi="宋体" w:eastAsia="宋体" w:cs="宋体"/>
          <w:b/>
          <w:bCs w:val="0"/>
          <w:sz w:val="28"/>
          <w:szCs w:val="28"/>
          <w:highlight w:val="none"/>
        </w:rPr>
        <w:t xml:space="preserve"> 报价表”。</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(3)商务技术文件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1)评标标准及细则内要求提供的证明文件（按“</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第二章 评标程序及标准”内各评分项列示顺序排序并加盖公章）；</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2)服务方案</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服务方案应包括以下内容：</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A.与报价表</w:t>
      </w:r>
      <w:r>
        <w:rPr>
          <w:rFonts w:hint="eastAsia" w:ascii="宋体" w:hAnsi="宋体" w:eastAsia="宋体" w:cs="宋体"/>
          <w:b/>
          <w:bCs w:val="0"/>
          <w:sz w:val="28"/>
          <w:szCs w:val="28"/>
          <w:highlight w:val="none"/>
          <w:lang w:eastAsia="zh-CN"/>
        </w:rPr>
        <w:t>格式</w:t>
      </w:r>
      <w:r>
        <w:rPr>
          <w:rFonts w:hint="eastAsia" w:ascii="宋体" w:hAnsi="宋体" w:eastAsia="宋体" w:cs="宋体"/>
          <w:b/>
          <w:bCs w:val="0"/>
          <w:sz w:val="28"/>
          <w:szCs w:val="28"/>
          <w:highlight w:val="none"/>
        </w:rPr>
        <w:t>体检项目清单，格式参见“</w:t>
      </w:r>
      <w:r>
        <w:rPr>
          <w:rFonts w:hint="eastAsia" w:ascii="宋体" w:hAnsi="宋体" w:eastAsia="宋体" w:cs="宋体"/>
          <w:b/>
          <w:bCs w:val="0"/>
          <w:sz w:val="28"/>
          <w:szCs w:val="28"/>
          <w:highlight w:val="none"/>
          <w:lang w:eastAsia="zh-CN"/>
        </w:rPr>
        <w:t>邀请投标公告附件</w:t>
      </w:r>
      <w:r>
        <w:rPr>
          <w:rFonts w:hint="eastAsia" w:ascii="宋体" w:hAnsi="宋体" w:eastAsia="宋体" w:cs="宋体"/>
          <w:b/>
          <w:bCs w:val="0"/>
          <w:sz w:val="28"/>
          <w:szCs w:val="28"/>
          <w:highlight w:val="none"/>
          <w:lang w:val="en-US" w:eastAsia="zh-CN"/>
        </w:rPr>
        <w:t>2《体检方案及报价表》”</w:t>
      </w:r>
      <w:r>
        <w:rPr>
          <w:rFonts w:hint="eastAsia" w:ascii="宋体" w:hAnsi="宋体" w:eastAsia="宋体" w:cs="宋体"/>
          <w:b/>
          <w:bCs w:val="0"/>
          <w:sz w:val="28"/>
          <w:szCs w:val="28"/>
          <w:highlight w:val="none"/>
        </w:rPr>
        <w:t>，投标人在基准项目要求上另行增加体检项目或随附服务的，</w:t>
      </w:r>
      <w:r>
        <w:rPr>
          <w:rFonts w:hint="eastAsia" w:ascii="宋体" w:hAnsi="宋体" w:eastAsia="宋体" w:cs="宋体"/>
          <w:b/>
          <w:bCs w:val="0"/>
          <w:sz w:val="28"/>
          <w:szCs w:val="28"/>
          <w:highlight w:val="none"/>
          <w:lang w:eastAsia="zh-CN"/>
        </w:rPr>
        <w:t>表内列</w:t>
      </w:r>
      <w:r>
        <w:rPr>
          <w:rFonts w:hint="eastAsia" w:ascii="宋体" w:hAnsi="宋体" w:eastAsia="宋体" w:cs="宋体"/>
          <w:b/>
          <w:bCs w:val="0"/>
          <w:sz w:val="28"/>
          <w:szCs w:val="28"/>
          <w:highlight w:val="none"/>
        </w:rPr>
        <w:t>示说明；</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B.除招标文件要求外，投标人另行承诺的</w:t>
      </w:r>
      <w:r>
        <w:rPr>
          <w:rFonts w:hint="eastAsia" w:ascii="宋体" w:hAnsi="宋体" w:eastAsia="宋体" w:cs="宋体"/>
          <w:b/>
          <w:bCs w:val="0"/>
          <w:sz w:val="28"/>
          <w:szCs w:val="28"/>
          <w:highlight w:val="none"/>
          <w:lang w:eastAsia="zh-CN"/>
        </w:rPr>
        <w:t>增值</w:t>
      </w:r>
      <w:r>
        <w:rPr>
          <w:rFonts w:hint="eastAsia" w:ascii="宋体" w:hAnsi="宋体" w:eastAsia="宋体" w:cs="宋体"/>
          <w:b/>
          <w:bCs w:val="0"/>
          <w:sz w:val="28"/>
          <w:szCs w:val="28"/>
          <w:highlight w:val="none"/>
        </w:rPr>
        <w:t>服务；</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C.服务有效期；</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D.其他投标人认为需要说明的事项；</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3)商务技术要求响应清单</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投标人应制作与服务方案一致，按照“</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第四章 投标文件格式 格式</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 xml:space="preserve"> 商务技术要求响应清单”模板填列的商务技术要素响应情况，注明相关商务技术要求响应的服务承诺及投标文件对应页数。</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(4)承诺函</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承诺函格式参见“</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第四章 投标文件格式 格式</w:t>
      </w:r>
      <w:r>
        <w:rPr>
          <w:rFonts w:hint="eastAsia" w:ascii="宋体" w:hAnsi="宋体" w:eastAsia="宋体" w:cs="宋体"/>
          <w:b/>
          <w:bCs w:val="0"/>
          <w:sz w:val="28"/>
          <w:szCs w:val="28"/>
          <w:highlight w:val="none"/>
          <w:lang w:val="en-US" w:eastAsia="zh-CN"/>
        </w:rPr>
        <w:t>5</w:t>
      </w:r>
      <w:r>
        <w:rPr>
          <w:rFonts w:hint="eastAsia" w:ascii="宋体" w:hAnsi="宋体" w:eastAsia="宋体" w:cs="宋体"/>
          <w:b/>
          <w:bCs w:val="0"/>
          <w:sz w:val="28"/>
          <w:szCs w:val="28"/>
          <w:highlight w:val="none"/>
        </w:rPr>
        <w:t xml:space="preserve"> 承诺函</w:t>
      </w:r>
      <w:r>
        <w:rPr>
          <w:rFonts w:ascii="宋体" w:hAnsi="宋体" w:eastAsia="宋体" w:cs="宋体"/>
          <w:b/>
          <w:bCs w:val="0"/>
          <w:sz w:val="28"/>
          <w:szCs w:val="28"/>
          <w:highlight w:val="none"/>
        </w:rPr>
        <w:t>”</w:t>
      </w:r>
      <w:r>
        <w:rPr>
          <w:rFonts w:hint="eastAsia" w:ascii="宋体" w:hAnsi="宋体" w:eastAsia="宋体" w:cs="宋体"/>
          <w:b/>
          <w:bCs w:val="0"/>
          <w:sz w:val="28"/>
          <w:szCs w:val="28"/>
          <w:highlight w:val="none"/>
        </w:rPr>
        <w:t>。</w:t>
      </w:r>
    </w:p>
    <w:p>
      <w:pPr>
        <w:pageBreakBefore w:val="0"/>
        <w:widowControl/>
        <w:numPr>
          <w:ilvl w:val="0"/>
          <w:numId w:val="3"/>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投标文件标注及封装</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投标人应将投标文件严格按以下要求进行标注、封装，并就封装做出清晰标注：</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1.开标一览表单独用唱标信封封装；</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2.投标文件汇编成册，形成正本1份，正本每页均需加盖公章，并盖骑缝章；</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3.正本应与和其内容一致的投标文件电子文本的U盘共同封装至一个信封内；</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4.投标文件应同时形成副本4份，副本可为正本的复印件，封装至一个信封内；</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5.</w:t>
      </w:r>
      <w:r>
        <w:rPr>
          <w:rFonts w:ascii="宋体" w:hAnsi="宋体" w:eastAsia="宋体" w:cs="宋体"/>
          <w:b/>
          <w:bCs w:val="0"/>
          <w:sz w:val="28"/>
          <w:szCs w:val="28"/>
          <w:highlight w:val="none"/>
        </w:rPr>
        <w:t>正副本封面</w:t>
      </w:r>
      <w:r>
        <w:rPr>
          <w:rFonts w:hint="eastAsia" w:ascii="宋体" w:hAnsi="宋体" w:eastAsia="宋体" w:cs="宋体"/>
          <w:b/>
          <w:bCs w:val="0"/>
          <w:sz w:val="28"/>
          <w:szCs w:val="28"/>
          <w:highlight w:val="none"/>
        </w:rPr>
        <w:t>及封装信封均应</w:t>
      </w:r>
      <w:r>
        <w:rPr>
          <w:rFonts w:ascii="宋体" w:hAnsi="宋体" w:eastAsia="宋体" w:cs="宋体"/>
          <w:b/>
          <w:bCs w:val="0"/>
          <w:sz w:val="28"/>
          <w:szCs w:val="28"/>
          <w:highlight w:val="none"/>
        </w:rPr>
        <w:t>注明投标项目</w:t>
      </w:r>
      <w:r>
        <w:rPr>
          <w:rFonts w:hint="eastAsia" w:ascii="宋体" w:hAnsi="宋体" w:eastAsia="宋体" w:cs="宋体"/>
          <w:b/>
          <w:bCs w:val="0"/>
          <w:sz w:val="28"/>
          <w:szCs w:val="28"/>
          <w:highlight w:val="none"/>
        </w:rPr>
        <w:t>、招标编码、</w:t>
      </w:r>
      <w:r>
        <w:rPr>
          <w:rFonts w:ascii="宋体" w:hAnsi="宋体" w:eastAsia="宋体" w:cs="宋体"/>
          <w:b/>
          <w:bCs w:val="0"/>
          <w:sz w:val="28"/>
          <w:szCs w:val="28"/>
          <w:highlight w:val="none"/>
        </w:rPr>
        <w:t>投标单位全称</w:t>
      </w:r>
      <w:r>
        <w:rPr>
          <w:rFonts w:hint="eastAsia" w:ascii="宋体" w:hAnsi="宋体" w:eastAsia="宋体" w:cs="宋体"/>
          <w:b/>
          <w:bCs w:val="0"/>
          <w:sz w:val="28"/>
          <w:szCs w:val="28"/>
          <w:highlight w:val="none"/>
        </w:rPr>
        <w:t>、正/副本性质，</w:t>
      </w:r>
      <w:r>
        <w:rPr>
          <w:rFonts w:ascii="宋体" w:hAnsi="宋体" w:eastAsia="宋体" w:cs="宋体"/>
          <w:b/>
          <w:bCs w:val="0"/>
          <w:sz w:val="28"/>
          <w:szCs w:val="28"/>
          <w:highlight w:val="none"/>
        </w:rPr>
        <w:t>装于</w:t>
      </w:r>
      <w:r>
        <w:rPr>
          <w:rFonts w:hint="eastAsia" w:ascii="宋体" w:hAnsi="宋体" w:eastAsia="宋体" w:cs="宋体"/>
          <w:b/>
          <w:bCs w:val="0"/>
          <w:sz w:val="28"/>
          <w:szCs w:val="28"/>
          <w:highlight w:val="none"/>
        </w:rPr>
        <w:t>一个</w:t>
      </w:r>
      <w:r>
        <w:rPr>
          <w:rFonts w:ascii="宋体" w:hAnsi="宋体" w:eastAsia="宋体" w:cs="宋体"/>
          <w:b/>
          <w:bCs w:val="0"/>
          <w:sz w:val="28"/>
          <w:szCs w:val="28"/>
          <w:highlight w:val="none"/>
        </w:rPr>
        <w:t>信封内密封</w:t>
      </w:r>
      <w:r>
        <w:rPr>
          <w:rFonts w:hint="eastAsia" w:ascii="宋体" w:hAnsi="宋体" w:eastAsia="宋体" w:cs="宋体"/>
          <w:b/>
          <w:bCs w:val="0"/>
          <w:sz w:val="28"/>
          <w:szCs w:val="28"/>
          <w:highlight w:val="none"/>
        </w:rPr>
        <w:t>；</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6.封装信封除以上信息外，还应标注内件正/副本性质、份数，密封处</w:t>
      </w:r>
      <w:r>
        <w:rPr>
          <w:rFonts w:ascii="宋体" w:hAnsi="宋体" w:eastAsia="宋体" w:cs="宋体"/>
          <w:b/>
          <w:bCs w:val="0"/>
          <w:sz w:val="28"/>
          <w:szCs w:val="28"/>
          <w:highlight w:val="none"/>
        </w:rPr>
        <w:t>加盖</w:t>
      </w:r>
      <w:r>
        <w:rPr>
          <w:rFonts w:hint="eastAsia" w:ascii="宋体" w:hAnsi="宋体" w:eastAsia="宋体" w:cs="宋体"/>
          <w:b/>
          <w:bCs w:val="0"/>
          <w:sz w:val="28"/>
          <w:szCs w:val="28"/>
          <w:highlight w:val="none"/>
        </w:rPr>
        <w:t>公章。</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投标人未按照招标文件要求进行排序、标注或封装导致招标人提前拆开或错误拆开投标文件造成废标的，由投标人自行承担不利后果。</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2" w:name="_Toc17905"/>
      <w:r>
        <w:rPr>
          <w:rFonts w:hint="eastAsia"/>
          <w:b/>
          <w:bCs w:val="0"/>
          <w:highlight w:val="none"/>
        </w:rPr>
        <w:t>七、投标人须知</w:t>
      </w:r>
      <w:bookmarkEnd w:id="12"/>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（一） 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（二）投标人对招标文件有任何疑问的，可在2021年9月18日11</w:t>
      </w:r>
      <w:r>
        <w:rPr>
          <w:rFonts w:hint="eastAsia" w:ascii="宋体" w:hAnsi="宋体" w:eastAsia="宋体" w:cs="宋体"/>
          <w:b/>
          <w:bCs w:val="0"/>
          <w:color w:val="auto"/>
          <w:sz w:val="28"/>
          <w:szCs w:val="28"/>
          <w:highlight w:val="none"/>
          <w:u w:val="none"/>
          <w:lang w:val="en-US" w:eastAsia="zh-CN"/>
        </w:rPr>
        <w:t>时前内向本项目邀请投标公告列示的联系邮箱（cn@plhr.cn）发送书面答疑请求，未在规定时间或未按指定方式提出的，视为对招标文件及程序的认可，不得再以任何理由提出答疑，招标人将于2021年9月18</w:t>
      </w:r>
      <w:r>
        <w:rPr>
          <w:rFonts w:hint="eastAsia" w:ascii="宋体" w:hAnsi="宋体" w:eastAsia="宋体" w:cs="宋体"/>
          <w:b/>
          <w:bCs w:val="0"/>
          <w:sz w:val="28"/>
          <w:szCs w:val="28"/>
          <w:highlight w:val="none"/>
          <w:lang w:val="en-US" w:eastAsia="zh-CN"/>
        </w:rPr>
        <w:t>日17时前进</w:t>
      </w:r>
      <w:r>
        <w:rPr>
          <w:rFonts w:hint="eastAsia" w:ascii="宋体" w:hAnsi="宋体" w:eastAsia="宋体" w:cs="宋体"/>
          <w:b/>
          <w:bCs w:val="0"/>
          <w:sz w:val="28"/>
          <w:szCs w:val="28"/>
          <w:highlight w:val="none"/>
        </w:rPr>
        <w:t>行统一答疑。</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（三）投标人提出的报价应为已包括项目成本、依法应纳税金、履行服务所必要的随附工作所产生的其他费用等。</w:t>
      </w:r>
      <w:r>
        <w:rPr>
          <w:rFonts w:hint="eastAsia" w:ascii="宋体" w:hAnsi="宋体" w:eastAsia="宋体" w:cs="宋体"/>
          <w:b/>
          <w:bCs w:val="0"/>
          <w:sz w:val="28"/>
          <w:szCs w:val="28"/>
          <w:highlight w:val="none"/>
          <w:lang w:eastAsia="zh-CN"/>
        </w:rPr>
        <w:t>报价单</w:t>
      </w:r>
      <w:r>
        <w:rPr>
          <w:rFonts w:hint="eastAsia" w:ascii="宋体" w:hAnsi="宋体" w:eastAsia="宋体" w:cs="宋体"/>
          <w:b/>
          <w:bCs w:val="0"/>
          <w:sz w:val="28"/>
          <w:szCs w:val="28"/>
          <w:highlight w:val="none"/>
        </w:rPr>
        <w:t>只允许有一个以各体检项目单价</w:t>
      </w:r>
      <w:r>
        <w:rPr>
          <w:rFonts w:hint="eastAsia" w:ascii="宋体" w:hAnsi="宋体" w:eastAsia="宋体" w:cs="宋体"/>
          <w:b/>
          <w:bCs w:val="0"/>
          <w:sz w:val="28"/>
          <w:szCs w:val="28"/>
          <w:highlight w:val="none"/>
          <w:lang w:eastAsia="zh-CN"/>
        </w:rPr>
        <w:t>、预期体检人数（以招标人提供的预计数为准）与项目总价</w:t>
      </w:r>
      <w:r>
        <w:rPr>
          <w:rFonts w:hint="eastAsia" w:ascii="宋体" w:hAnsi="宋体" w:eastAsia="宋体" w:cs="宋体"/>
          <w:b/>
          <w:bCs w:val="0"/>
          <w:sz w:val="28"/>
          <w:szCs w:val="28"/>
          <w:highlight w:val="none"/>
        </w:rPr>
        <w:t>构成的报价文件，任何需要由招标人进行条件选择的非唯一报价将不予接受。</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（四）定标完成后，招标人将在公司官网（www.plhr.cn）发布预中标结果公示，公示期为3个自然日。</w:t>
      </w:r>
      <w:r>
        <w:rPr>
          <w:rFonts w:hint="eastAsia" w:ascii="宋体" w:hAnsi="宋体" w:eastAsia="宋体" w:cs="宋体"/>
          <w:b/>
          <w:bCs w:val="0"/>
          <w:sz w:val="28"/>
          <w:szCs w:val="28"/>
          <w:highlight w:val="none"/>
          <w:lang w:eastAsia="zh-CN"/>
        </w:rPr>
        <w:t>至</w:t>
      </w:r>
      <w:r>
        <w:rPr>
          <w:rFonts w:hint="eastAsia" w:ascii="宋体" w:hAnsi="宋体" w:eastAsia="宋体" w:cs="宋体"/>
          <w:b/>
          <w:bCs w:val="0"/>
          <w:sz w:val="28"/>
          <w:szCs w:val="28"/>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宋体" w:hAnsi="宋体" w:eastAsia="宋体" w:cs="宋体"/>
          <w:b/>
          <w:bCs w:val="0"/>
          <w:sz w:val="28"/>
          <w:szCs w:val="28"/>
          <w:highlight w:val="none"/>
          <w:lang w:eastAsia="zh-CN"/>
        </w:rPr>
        <w:t>采购响应</w:t>
      </w:r>
      <w:r>
        <w:rPr>
          <w:rFonts w:hint="eastAsia" w:ascii="宋体" w:hAnsi="宋体" w:eastAsia="宋体" w:cs="宋体"/>
          <w:b/>
          <w:bCs w:val="0"/>
          <w:sz w:val="28"/>
          <w:szCs w:val="28"/>
          <w:highlight w:val="none"/>
        </w:rPr>
        <w:t>。</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（五）若接受邀请、递交投标文件或投标文件符合性审查阶段中任一阶段的有效投标人数量不足 3 家，招标人有权根据经营管理需要转为竞争性谈判</w:t>
      </w:r>
      <w:r>
        <w:rPr>
          <w:rFonts w:hint="eastAsia" w:ascii="宋体" w:hAnsi="宋体" w:eastAsia="宋体" w:cs="宋体"/>
          <w:b/>
          <w:bCs w:val="0"/>
          <w:sz w:val="28"/>
          <w:szCs w:val="28"/>
          <w:highlight w:val="none"/>
          <w:lang w:eastAsia="zh-CN"/>
        </w:rPr>
        <w:t>或单一来源采购</w:t>
      </w:r>
      <w:r>
        <w:rPr>
          <w:rFonts w:hint="eastAsia" w:ascii="宋体" w:hAnsi="宋体" w:eastAsia="宋体" w:cs="宋体"/>
          <w:b/>
          <w:bCs w:val="0"/>
          <w:sz w:val="28"/>
          <w:szCs w:val="28"/>
          <w:highlight w:val="none"/>
        </w:rPr>
        <w:t>，</w:t>
      </w:r>
      <w:r>
        <w:rPr>
          <w:rFonts w:hint="eastAsia" w:ascii="宋体" w:hAnsi="宋体" w:eastAsia="宋体" w:cs="宋体"/>
          <w:b/>
          <w:bCs w:val="0"/>
          <w:sz w:val="28"/>
          <w:szCs w:val="28"/>
          <w:highlight w:val="none"/>
          <w:lang w:eastAsia="zh-CN"/>
        </w:rPr>
        <w:t>本投标文件转为谈判基准文件，</w:t>
      </w:r>
      <w:r>
        <w:rPr>
          <w:rFonts w:hint="eastAsia" w:ascii="宋体" w:hAnsi="宋体" w:eastAsia="宋体" w:cs="宋体"/>
          <w:b/>
          <w:bCs w:val="0"/>
          <w:sz w:val="28"/>
          <w:szCs w:val="28"/>
          <w:highlight w:val="none"/>
        </w:rPr>
        <w:t>招标人不承担因招标失败给投标人造成的损失。</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（六）本项目采用综合评标法，招标人不承诺投标价格最低的投标人中标。</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（十）投标人有义务在整个招标工作开展期间自行留意招标人官方网站（www.plhr.cn）发布的公告通知，所有在该网站发布的公告、通知均视为有效送达。因投标人疏于浏览而导致的不利后果由投标人自行承担。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3" w:name="_Toc22927"/>
      <w:r>
        <w:rPr>
          <w:rFonts w:hint="eastAsia"/>
          <w:b/>
          <w:bCs w:val="0"/>
          <w:highlight w:val="none"/>
        </w:rPr>
        <w:t>八、投标文件作废</w:t>
      </w:r>
      <w:bookmarkEnd w:id="13"/>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投标人在投标过程中存在以下任一行为的，投标文件作废，取消投标资格：</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(一)未按照投标邀请函示要求提交答复函、报名表及随附材料；</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(二)投标人在投标、评标、定标期间存在企图影响招标结果、泄密、违反《承诺函》函示内容等不公平竞争行为；</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(三)未按照招标文件要求制作投标文件；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(四)未经招标方同意擅自改动招标文件内容；</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(五)投标文件递交超过截止时限或未能递交投标文件；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(六)在邀请投标及后续谈判的任意环节中提供虚假材料及信息；</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(七)本文件中规定的其它按废标处理的情形。</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4" w:name="_Toc8088"/>
      <w:r>
        <w:rPr>
          <w:rFonts w:hint="eastAsia"/>
          <w:b/>
          <w:bCs w:val="0"/>
          <w:highlight w:val="none"/>
        </w:rPr>
        <w:t>九、其他要求</w:t>
      </w:r>
      <w:bookmarkEnd w:id="14"/>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(二)对恶意投标、中标后不能按照本招标文件“</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(三)不论投标结果如何，投标人的投标文件均不退回，且不对未中标单位作任何解释。投标人因投标产生的一切费用不管投标结果如何，均由投标人承担。</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(四)投标人不得相互串通投标报价，不得排挤其他投标人的公平竞争。一经发现违规行为，招标人有权立即终止采购活动并取消违反规定的投标人资格。</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5" w:name="_Toc30595"/>
      <w:r>
        <w:rPr>
          <w:rFonts w:hint="eastAsia"/>
          <w:b/>
          <w:bCs w:val="0"/>
          <w:highlight w:val="none"/>
        </w:rPr>
        <w:t>十、投标文件递交</w:t>
      </w:r>
      <w:bookmarkEnd w:id="15"/>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1.递交方式</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现场递交。</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hAnsi="宋体" w:cs="宋体" w:eastAsiaTheme="minorEastAsia"/>
          <w:b/>
          <w:bCs w:val="0"/>
          <w:sz w:val="28"/>
          <w:szCs w:val="28"/>
          <w:highlight w:val="none"/>
          <w:lang w:eastAsia="zh-CN"/>
        </w:rPr>
      </w:pPr>
      <w:r>
        <w:rPr>
          <w:rFonts w:hint="eastAsia" w:ascii="宋体" w:hAnsi="宋体" w:eastAsia="宋体" w:cs="宋体"/>
          <w:b/>
          <w:bCs w:val="0"/>
          <w:sz w:val="28"/>
          <w:szCs w:val="28"/>
          <w:highlight w:val="none"/>
        </w:rPr>
        <w:t>2.递交</w:t>
      </w:r>
      <w:r>
        <w:rPr>
          <w:rFonts w:hint="eastAsia" w:ascii="宋体" w:hAnsi="宋体" w:eastAsia="宋体" w:cs="宋体"/>
          <w:b/>
          <w:bCs w:val="0"/>
          <w:sz w:val="28"/>
          <w:szCs w:val="28"/>
          <w:highlight w:val="none"/>
          <w:lang w:val="en-US" w:eastAsia="zh-CN"/>
        </w:rPr>
        <w:t>截止时间：</w:t>
      </w:r>
      <w:r>
        <w:rPr>
          <w:rFonts w:hint="eastAsia" w:ascii="宋体" w:hAnsi="宋体" w:eastAsia="宋体" w:cs="宋体"/>
          <w:b/>
          <w:bCs w:val="0"/>
          <w:kern w:val="0"/>
          <w:sz w:val="28"/>
          <w:szCs w:val="28"/>
          <w:highlight w:val="none"/>
          <w:lang w:val="en-US" w:eastAsia="zh-CN" w:bidi="ar-SA"/>
        </w:rPr>
        <w:t>2021年9月26日14时。</w:t>
      </w:r>
    </w:p>
    <w:p>
      <w:pPr>
        <w:pStyle w:val="7"/>
        <w:pageBreakBefore w:val="0"/>
        <w:tabs>
          <w:tab w:val="left" w:pos="7740"/>
        </w:tabs>
        <w:kinsoku/>
        <w:wordWrap/>
        <w:overflowPunct/>
        <w:topLinePunct w:val="0"/>
        <w:autoSpaceDE/>
        <w:autoSpaceDN/>
        <w:bidi w:val="0"/>
        <w:adjustRightInd w:val="0"/>
        <w:snapToGrid w:val="0"/>
        <w:spacing w:line="420" w:lineRule="exact"/>
        <w:ind w:firstLine="492" w:firstLineChars="175"/>
        <w:textAlignment w:val="auto"/>
        <w:rPr>
          <w:rFonts w:hAnsi="宋体" w:cs="宋体"/>
          <w:b/>
          <w:bCs w:val="0"/>
          <w:sz w:val="28"/>
          <w:szCs w:val="28"/>
          <w:highlight w:val="none"/>
        </w:rPr>
      </w:pPr>
      <w:r>
        <w:rPr>
          <w:rFonts w:hint="eastAsia" w:hAnsi="宋体" w:cs="宋体"/>
          <w:b/>
          <w:bCs w:val="0"/>
          <w:sz w:val="28"/>
          <w:szCs w:val="28"/>
          <w:highlight w:val="none"/>
        </w:rPr>
        <w:t>3.递交地址</w:t>
      </w:r>
      <w:r>
        <w:rPr>
          <w:rFonts w:hint="eastAsia" w:hAnsi="宋体" w:cs="宋体"/>
          <w:b/>
          <w:bCs w:val="0"/>
          <w:sz w:val="28"/>
          <w:szCs w:val="28"/>
          <w:highlight w:val="none"/>
          <w:lang w:eastAsia="zh-CN"/>
        </w:rPr>
        <w:t>：</w:t>
      </w:r>
      <w:r>
        <w:rPr>
          <w:rFonts w:hint="eastAsia" w:hAnsi="宋体" w:cs="宋体"/>
          <w:b/>
          <w:bCs w:val="0"/>
          <w:sz w:val="28"/>
          <w:szCs w:val="28"/>
          <w:highlight w:val="none"/>
        </w:rPr>
        <w:t>广东省深圳市罗湖区桂园路红围街19号深圳市鹏劳人力资源管理有限公司一楼会议室。</w:t>
      </w:r>
      <w:bookmarkStart w:id="51" w:name="_GoBack"/>
      <w:bookmarkEnd w:id="51"/>
    </w:p>
    <w:p>
      <w:pPr>
        <w:pStyle w:val="7"/>
        <w:pageBreakBefore w:val="0"/>
        <w:tabs>
          <w:tab w:val="left" w:pos="7740"/>
        </w:tabs>
        <w:kinsoku/>
        <w:wordWrap/>
        <w:overflowPunct/>
        <w:topLinePunct w:val="0"/>
        <w:autoSpaceDE/>
        <w:autoSpaceDN/>
        <w:bidi w:val="0"/>
        <w:adjustRightInd w:val="0"/>
        <w:snapToGrid w:val="0"/>
        <w:spacing w:line="420" w:lineRule="exact"/>
        <w:ind w:firstLine="492" w:firstLineChars="175"/>
        <w:textAlignment w:val="auto"/>
        <w:rPr>
          <w:rFonts w:hAnsi="宋体" w:cs="宋体"/>
          <w:b/>
          <w:bCs w:val="0"/>
          <w:sz w:val="28"/>
          <w:szCs w:val="28"/>
          <w:highlight w:val="none"/>
        </w:rPr>
      </w:pPr>
      <w:r>
        <w:rPr>
          <w:rFonts w:hint="eastAsia" w:hAnsi="宋体" w:cs="宋体"/>
          <w:b/>
          <w:bCs w:val="0"/>
          <w:sz w:val="28"/>
          <w:szCs w:val="28"/>
          <w:highlight w:val="none"/>
        </w:rPr>
        <w:t>4.递交要求</w:t>
      </w:r>
      <w:r>
        <w:rPr>
          <w:rFonts w:hint="eastAsia" w:hAnsi="宋体" w:cs="宋体"/>
          <w:b/>
          <w:bCs w:val="0"/>
          <w:sz w:val="28"/>
          <w:szCs w:val="28"/>
          <w:highlight w:val="none"/>
          <w:lang w:eastAsia="zh-CN"/>
        </w:rPr>
        <w:t>：</w:t>
      </w:r>
      <w:r>
        <w:rPr>
          <w:rFonts w:hint="eastAsia" w:hAnsi="宋体" w:cs="宋体"/>
          <w:b/>
          <w:bCs w:val="0"/>
          <w:sz w:val="28"/>
          <w:szCs w:val="28"/>
          <w:highlight w:val="none"/>
        </w:rPr>
        <w:t>所有投标文件由投标人按照招标文件指定格式与方式逐一进场递交。</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6" w:name="_Toc11169"/>
      <w:r>
        <w:rPr>
          <w:rFonts w:hint="eastAsia"/>
          <w:b/>
          <w:bCs w:val="0"/>
          <w:highlight w:val="none"/>
        </w:rPr>
        <w:t>十</w:t>
      </w:r>
      <w:r>
        <w:rPr>
          <w:rFonts w:hint="eastAsia"/>
          <w:b/>
          <w:bCs w:val="0"/>
          <w:highlight w:val="none"/>
          <w:lang w:eastAsia="zh-CN"/>
        </w:rPr>
        <w:t>一</w:t>
      </w:r>
      <w:r>
        <w:rPr>
          <w:rFonts w:hint="eastAsia"/>
          <w:b/>
          <w:bCs w:val="0"/>
          <w:highlight w:val="none"/>
        </w:rPr>
        <w:t>、开标</w:t>
      </w:r>
      <w:bookmarkEnd w:id="16"/>
    </w:p>
    <w:p>
      <w:pPr>
        <w:pStyle w:val="7"/>
        <w:pageBreakBefore w:val="0"/>
        <w:tabs>
          <w:tab w:val="left" w:pos="7740"/>
        </w:tabs>
        <w:kinsoku/>
        <w:wordWrap/>
        <w:overflowPunct/>
        <w:topLinePunct w:val="0"/>
        <w:autoSpaceDE/>
        <w:autoSpaceDN/>
        <w:bidi w:val="0"/>
        <w:adjustRightInd w:val="0"/>
        <w:snapToGrid w:val="0"/>
        <w:spacing w:line="420" w:lineRule="exact"/>
        <w:ind w:left="19" w:firstLine="621" w:firstLineChars="221"/>
        <w:jc w:val="left"/>
        <w:textAlignment w:val="auto"/>
        <w:rPr>
          <w:rFonts w:hAnsi="宋体" w:cs="宋体"/>
          <w:b/>
          <w:bCs w:val="0"/>
          <w:sz w:val="28"/>
          <w:szCs w:val="28"/>
          <w:highlight w:val="none"/>
        </w:rPr>
      </w:pPr>
      <w:r>
        <w:rPr>
          <w:rFonts w:hint="eastAsia" w:hAnsi="宋体" w:cs="宋体"/>
          <w:b/>
          <w:bCs w:val="0"/>
          <w:sz w:val="28"/>
          <w:szCs w:val="28"/>
          <w:highlight w:val="none"/>
        </w:rPr>
        <w:t>1.开标时间：202</w:t>
      </w:r>
      <w:r>
        <w:rPr>
          <w:rFonts w:hint="eastAsia" w:hAnsi="宋体" w:cs="宋体"/>
          <w:b/>
          <w:bCs w:val="0"/>
          <w:sz w:val="28"/>
          <w:szCs w:val="28"/>
          <w:highlight w:val="none"/>
          <w:lang w:val="en-US" w:eastAsia="zh-CN"/>
        </w:rPr>
        <w:t>1</w:t>
      </w:r>
      <w:r>
        <w:rPr>
          <w:rFonts w:hint="eastAsia" w:hAnsi="宋体" w:cs="宋体"/>
          <w:b/>
          <w:bCs w:val="0"/>
          <w:sz w:val="28"/>
          <w:szCs w:val="28"/>
          <w:highlight w:val="none"/>
        </w:rPr>
        <w:t>年</w:t>
      </w:r>
      <w:r>
        <w:rPr>
          <w:rFonts w:hint="eastAsia" w:hAnsi="宋体" w:cs="宋体"/>
          <w:b/>
          <w:bCs w:val="0"/>
          <w:sz w:val="28"/>
          <w:szCs w:val="28"/>
          <w:highlight w:val="none"/>
          <w:lang w:val="en-US" w:eastAsia="zh-CN"/>
        </w:rPr>
        <w:t>9</w:t>
      </w:r>
      <w:r>
        <w:rPr>
          <w:rFonts w:hint="eastAsia" w:hAnsi="宋体" w:cs="宋体"/>
          <w:b/>
          <w:bCs w:val="0"/>
          <w:sz w:val="28"/>
          <w:szCs w:val="28"/>
          <w:highlight w:val="none"/>
        </w:rPr>
        <w:t>月</w:t>
      </w:r>
      <w:r>
        <w:rPr>
          <w:rFonts w:hint="eastAsia" w:hAnsi="宋体" w:cs="宋体"/>
          <w:b/>
          <w:bCs w:val="0"/>
          <w:sz w:val="28"/>
          <w:szCs w:val="28"/>
          <w:highlight w:val="none"/>
          <w:lang w:val="en-US" w:eastAsia="zh-CN"/>
        </w:rPr>
        <w:t>26</w:t>
      </w:r>
      <w:r>
        <w:rPr>
          <w:rFonts w:hint="eastAsia" w:hAnsi="宋体" w:cs="宋体"/>
          <w:b/>
          <w:bCs w:val="0"/>
          <w:sz w:val="28"/>
          <w:szCs w:val="28"/>
          <w:highlight w:val="none"/>
        </w:rPr>
        <w:t>日</w:t>
      </w:r>
      <w:r>
        <w:rPr>
          <w:rFonts w:hint="eastAsia" w:hAnsi="宋体" w:cs="宋体"/>
          <w:b/>
          <w:bCs w:val="0"/>
          <w:sz w:val="28"/>
          <w:szCs w:val="28"/>
          <w:highlight w:val="none"/>
          <w:lang w:val="en-US" w:eastAsia="zh-CN"/>
        </w:rPr>
        <w:t>14</w:t>
      </w:r>
      <w:r>
        <w:rPr>
          <w:rFonts w:hint="eastAsia" w:hAnsi="宋体" w:cs="宋体"/>
          <w:b/>
          <w:bCs w:val="0"/>
          <w:sz w:val="28"/>
          <w:szCs w:val="28"/>
          <w:highlight w:val="none"/>
        </w:rPr>
        <w:t>时</w:t>
      </w:r>
      <w:r>
        <w:rPr>
          <w:rFonts w:hint="eastAsia" w:hAnsi="宋体" w:cs="宋体"/>
          <w:b/>
          <w:bCs w:val="0"/>
          <w:sz w:val="28"/>
          <w:szCs w:val="28"/>
          <w:highlight w:val="none"/>
          <w:lang w:val="en-US" w:eastAsia="zh-CN"/>
        </w:rPr>
        <w:t>30</w:t>
      </w:r>
      <w:r>
        <w:rPr>
          <w:rFonts w:hint="eastAsia" w:hAnsi="宋体" w:cs="宋体"/>
          <w:b/>
          <w:bCs w:val="0"/>
          <w:sz w:val="28"/>
          <w:szCs w:val="28"/>
          <w:highlight w:val="none"/>
        </w:rPr>
        <w:t>分。</w:t>
      </w:r>
    </w:p>
    <w:p>
      <w:pPr>
        <w:pStyle w:val="7"/>
        <w:pageBreakBefore w:val="0"/>
        <w:tabs>
          <w:tab w:val="left" w:pos="7740"/>
        </w:tabs>
        <w:kinsoku/>
        <w:wordWrap/>
        <w:overflowPunct/>
        <w:topLinePunct w:val="0"/>
        <w:autoSpaceDE/>
        <w:autoSpaceDN/>
        <w:bidi w:val="0"/>
        <w:adjustRightInd w:val="0"/>
        <w:snapToGrid w:val="0"/>
        <w:spacing w:line="420" w:lineRule="exact"/>
        <w:ind w:left="19" w:firstLine="621" w:firstLineChars="221"/>
        <w:jc w:val="left"/>
        <w:textAlignment w:val="auto"/>
        <w:rPr>
          <w:rFonts w:hAnsi="宋体" w:cs="宋体"/>
          <w:b/>
          <w:bCs w:val="0"/>
          <w:sz w:val="28"/>
          <w:szCs w:val="28"/>
          <w:highlight w:val="none"/>
        </w:rPr>
      </w:pPr>
      <w:r>
        <w:rPr>
          <w:rFonts w:hint="eastAsia" w:hAnsi="宋体" w:cs="宋体"/>
          <w:b/>
          <w:bCs w:val="0"/>
          <w:sz w:val="28"/>
          <w:szCs w:val="28"/>
          <w:highlight w:val="none"/>
        </w:rPr>
        <w:t>2.开标方式:现场开标。</w:t>
      </w:r>
    </w:p>
    <w:p>
      <w:pPr>
        <w:pStyle w:val="7"/>
        <w:pageBreakBefore w:val="0"/>
        <w:tabs>
          <w:tab w:val="left" w:pos="7740"/>
        </w:tabs>
        <w:kinsoku/>
        <w:wordWrap/>
        <w:overflowPunct/>
        <w:topLinePunct w:val="0"/>
        <w:autoSpaceDE/>
        <w:autoSpaceDN/>
        <w:bidi w:val="0"/>
        <w:adjustRightInd w:val="0"/>
        <w:snapToGrid w:val="0"/>
        <w:spacing w:line="420" w:lineRule="exact"/>
        <w:ind w:left="19" w:firstLine="621" w:firstLineChars="221"/>
        <w:jc w:val="left"/>
        <w:textAlignment w:val="auto"/>
        <w:rPr>
          <w:rFonts w:hAnsi="宋体" w:cs="宋体"/>
          <w:b/>
          <w:bCs w:val="0"/>
          <w:sz w:val="28"/>
          <w:szCs w:val="28"/>
          <w:highlight w:val="none"/>
        </w:rPr>
      </w:pPr>
      <w:r>
        <w:rPr>
          <w:rFonts w:hint="eastAsia" w:hAnsi="宋体" w:cs="宋体"/>
          <w:b/>
          <w:bCs w:val="0"/>
          <w:sz w:val="28"/>
          <w:szCs w:val="28"/>
          <w:highlight w:val="none"/>
        </w:rPr>
        <w:t>3.开标地点：广东省深圳市罗湖区桂园路红围街19号深圳市鹏劳人力资源管理有限公司一楼会议室。</w:t>
      </w:r>
    </w:p>
    <w:p>
      <w:pPr>
        <w:pStyle w:val="7"/>
        <w:pageBreakBefore w:val="0"/>
        <w:tabs>
          <w:tab w:val="left" w:pos="7740"/>
        </w:tabs>
        <w:kinsoku/>
        <w:wordWrap/>
        <w:overflowPunct/>
        <w:topLinePunct w:val="0"/>
        <w:autoSpaceDE/>
        <w:autoSpaceDN/>
        <w:bidi w:val="0"/>
        <w:adjustRightInd w:val="0"/>
        <w:snapToGrid w:val="0"/>
        <w:spacing w:line="420" w:lineRule="exact"/>
        <w:ind w:left="619" w:firstLine="0" w:firstLineChars="0"/>
        <w:jc w:val="left"/>
        <w:textAlignment w:val="auto"/>
        <w:rPr>
          <w:rFonts w:hAnsi="宋体" w:cs="宋体"/>
          <w:b/>
          <w:bCs w:val="0"/>
          <w:sz w:val="28"/>
          <w:szCs w:val="28"/>
          <w:highlight w:val="none"/>
        </w:rPr>
      </w:pPr>
      <w:r>
        <w:rPr>
          <w:rFonts w:hint="eastAsia" w:hAnsi="宋体" w:cs="宋体"/>
          <w:b/>
          <w:bCs w:val="0"/>
          <w:sz w:val="28"/>
          <w:szCs w:val="28"/>
          <w:highlight w:val="none"/>
        </w:rPr>
        <w:t>4.开标程序</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(1)招标人工作组进场；</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(2)招标人监督员、投标人代表检查投标文件密封情况并向工作组组长通报加密情况；</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(3)招标人工作组组长宣布开标；</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(4)招标人工作组成员逐一拆开唱标信封，现场唱标并形成《开标记录表》；</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(5)投标人代表确认开标记录，签字确认并离场。</w:t>
      </w:r>
    </w:p>
    <w:p>
      <w:pPr>
        <w:pStyle w:val="7"/>
        <w:pageBreakBefore w:val="0"/>
        <w:tabs>
          <w:tab w:val="left" w:pos="7740"/>
        </w:tabs>
        <w:kinsoku/>
        <w:wordWrap/>
        <w:overflowPunct/>
        <w:topLinePunct w:val="0"/>
        <w:autoSpaceDE/>
        <w:autoSpaceDN/>
        <w:bidi w:val="0"/>
        <w:adjustRightInd w:val="0"/>
        <w:snapToGrid w:val="0"/>
        <w:spacing w:line="420" w:lineRule="exact"/>
        <w:ind w:left="619" w:firstLine="0" w:firstLineChars="0"/>
        <w:jc w:val="left"/>
        <w:textAlignment w:val="auto"/>
        <w:rPr>
          <w:rFonts w:hAnsi="宋体" w:cs="宋体"/>
          <w:b/>
          <w:bCs w:val="0"/>
          <w:sz w:val="28"/>
          <w:szCs w:val="28"/>
          <w:highlight w:val="none"/>
        </w:rPr>
      </w:pPr>
      <w:r>
        <w:rPr>
          <w:rFonts w:hint="eastAsia" w:hAnsi="宋体" w:cs="宋体"/>
          <w:b/>
          <w:bCs w:val="0"/>
          <w:sz w:val="28"/>
          <w:szCs w:val="28"/>
          <w:highlight w:val="none"/>
        </w:rPr>
        <w:t>5.注意事项</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Ansi="宋体" w:cs="宋体"/>
          <w:b/>
          <w:bCs w:val="0"/>
          <w:sz w:val="28"/>
          <w:szCs w:val="28"/>
          <w:highlight w:val="none"/>
        </w:rPr>
      </w:pPr>
      <w:r>
        <w:rPr>
          <w:rFonts w:hint="eastAsia" w:hAnsi="宋体" w:cs="宋体"/>
          <w:b/>
          <w:bCs w:val="0"/>
          <w:sz w:val="28"/>
          <w:szCs w:val="28"/>
          <w:highlight w:val="none"/>
        </w:rPr>
        <w:t>(1)开标全程由投标人代表、招标人派员监督；</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Ansi="宋体" w:cs="宋体"/>
          <w:b/>
          <w:bCs w:val="0"/>
          <w:sz w:val="28"/>
          <w:szCs w:val="28"/>
          <w:highlight w:val="none"/>
        </w:rPr>
      </w:pPr>
      <w:r>
        <w:rPr>
          <w:rFonts w:hint="eastAsia" w:hAnsi="宋体" w:cs="宋体"/>
          <w:b/>
          <w:bCs w:val="0"/>
          <w:sz w:val="28"/>
          <w:szCs w:val="28"/>
          <w:highlight w:val="none"/>
        </w:rPr>
        <w:t>(2)开标会议全程录音录像；</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int="eastAsia" w:hAnsi="宋体" w:cs="宋体"/>
          <w:b/>
          <w:bCs w:val="0"/>
          <w:sz w:val="28"/>
          <w:szCs w:val="28"/>
          <w:highlight w:val="none"/>
        </w:rPr>
      </w:pPr>
      <w:r>
        <w:rPr>
          <w:rFonts w:hint="eastAsia" w:hAnsi="宋体" w:cs="宋体"/>
          <w:b/>
          <w:bCs w:val="0"/>
          <w:sz w:val="28"/>
          <w:szCs w:val="28"/>
          <w:highlight w:val="none"/>
        </w:rPr>
        <w:t>(3)投标人代表因故未能到场，或到场后中途离场的，视同为投标人主动放弃监督权利且投标人对开标结果完全认可，投标人不得再就此提出质疑或投诉。</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int="default" w:hAnsi="宋体" w:eastAsia="宋体" w:cs="宋体"/>
          <w:b/>
          <w:bCs w:val="0"/>
          <w:sz w:val="28"/>
          <w:szCs w:val="28"/>
          <w:highlight w:val="none"/>
          <w:lang w:val="en-US" w:eastAsia="zh-CN"/>
        </w:rPr>
      </w:pPr>
      <w:r>
        <w:rPr>
          <w:rFonts w:hint="eastAsia" w:hAnsi="宋体" w:cs="宋体"/>
          <w:b/>
          <w:bCs w:val="0"/>
          <w:sz w:val="28"/>
          <w:szCs w:val="28"/>
          <w:highlight w:val="none"/>
          <w:lang w:val="en-US" w:eastAsia="zh-CN"/>
        </w:rPr>
        <w:t>(4)实质性响应投标人少于3家的，不予开标，根据招标人经营管理需要转其他采购方式。</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7" w:name="_Toc28122"/>
      <w:r>
        <w:rPr>
          <w:rFonts w:hint="eastAsia"/>
          <w:b/>
          <w:bCs w:val="0"/>
          <w:highlight w:val="none"/>
        </w:rPr>
        <w:t>十</w:t>
      </w:r>
      <w:r>
        <w:rPr>
          <w:rFonts w:hint="eastAsia"/>
          <w:b/>
          <w:bCs w:val="0"/>
          <w:highlight w:val="none"/>
          <w:lang w:eastAsia="zh-CN"/>
        </w:rPr>
        <w:t>二</w:t>
      </w:r>
      <w:r>
        <w:rPr>
          <w:rFonts w:hint="eastAsia"/>
          <w:b/>
          <w:bCs w:val="0"/>
          <w:highlight w:val="none"/>
        </w:rPr>
        <w:t>、评标</w:t>
      </w:r>
      <w:bookmarkEnd w:id="17"/>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1.评标方法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本项目采用综合评标法。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2.评标细则及标准（见“</w:t>
      </w:r>
      <w:r>
        <w:rPr>
          <w:rFonts w:hint="eastAsia" w:hAnsi="宋体" w:cs="宋体"/>
          <w:b/>
          <w:bCs w:val="0"/>
          <w:sz w:val="28"/>
          <w:szCs w:val="28"/>
          <w:highlight w:val="none"/>
          <w:lang w:eastAsia="zh-CN"/>
        </w:rPr>
        <w:t>招标文件</w:t>
      </w:r>
      <w:r>
        <w:rPr>
          <w:rFonts w:hint="eastAsia" w:hAnsi="宋体" w:cs="宋体"/>
          <w:b/>
          <w:bCs w:val="0"/>
          <w:sz w:val="28"/>
          <w:szCs w:val="28"/>
          <w:highlight w:val="none"/>
        </w:rPr>
        <w:t xml:space="preserve"> 第二章 评标程序及标准”）</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8" w:name="_Toc5346"/>
      <w:r>
        <w:rPr>
          <w:rFonts w:hint="eastAsia"/>
          <w:b/>
          <w:bCs w:val="0"/>
          <w:highlight w:val="none"/>
        </w:rPr>
        <w:t>十</w:t>
      </w:r>
      <w:r>
        <w:rPr>
          <w:rFonts w:hint="eastAsia"/>
          <w:b/>
          <w:bCs w:val="0"/>
          <w:highlight w:val="none"/>
          <w:lang w:eastAsia="zh-CN"/>
        </w:rPr>
        <w:t>三</w:t>
      </w:r>
      <w:r>
        <w:rPr>
          <w:rFonts w:hint="eastAsia"/>
          <w:b/>
          <w:bCs w:val="0"/>
          <w:highlight w:val="none"/>
        </w:rPr>
        <w:t>、定标</w:t>
      </w:r>
      <w:bookmarkEnd w:id="18"/>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由招标人招标决策委员会依据评标报告综合评价定标。</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9" w:name="_Toc31323"/>
      <w:r>
        <w:rPr>
          <w:rFonts w:hint="eastAsia"/>
          <w:b/>
          <w:bCs w:val="0"/>
          <w:highlight w:val="none"/>
        </w:rPr>
        <w:t>十</w:t>
      </w:r>
      <w:r>
        <w:rPr>
          <w:rFonts w:hint="eastAsia"/>
          <w:b/>
          <w:bCs w:val="0"/>
          <w:highlight w:val="none"/>
          <w:lang w:eastAsia="zh-CN"/>
        </w:rPr>
        <w:t>四</w:t>
      </w:r>
      <w:r>
        <w:rPr>
          <w:rFonts w:hint="eastAsia"/>
          <w:b/>
          <w:bCs w:val="0"/>
          <w:highlight w:val="none"/>
        </w:rPr>
        <w:t>、结算方式</w:t>
      </w:r>
      <w:bookmarkEnd w:id="19"/>
    </w:p>
    <w:p>
      <w:pPr>
        <w:pStyle w:val="7"/>
        <w:pageBreakBefore w:val="0"/>
        <w:tabs>
          <w:tab w:val="left" w:pos="7740"/>
        </w:tabs>
        <w:kinsoku/>
        <w:wordWrap/>
        <w:overflowPunct/>
        <w:topLinePunct w:val="0"/>
        <w:autoSpaceDE/>
        <w:autoSpaceDN/>
        <w:bidi w:val="0"/>
        <w:adjustRightInd w:val="0"/>
        <w:snapToGrid w:val="0"/>
        <w:spacing w:line="420" w:lineRule="exact"/>
        <w:ind w:firstLine="560" w:firstLineChars="0"/>
        <w:textAlignment w:val="auto"/>
        <w:rPr>
          <w:rFonts w:hAnsi="宋体" w:cs="宋体"/>
          <w:b/>
          <w:bCs w:val="0"/>
          <w:sz w:val="28"/>
          <w:szCs w:val="28"/>
          <w:highlight w:val="none"/>
        </w:rPr>
      </w:pPr>
      <w:r>
        <w:rPr>
          <w:rFonts w:hint="eastAsia" w:hAnsi="宋体" w:cs="宋体"/>
          <w:b/>
          <w:bCs w:val="0"/>
          <w:sz w:val="28"/>
          <w:szCs w:val="28"/>
          <w:highlight w:val="none"/>
        </w:rPr>
        <w:t>按本文件“</w:t>
      </w:r>
      <w:r>
        <w:rPr>
          <w:rFonts w:hint="eastAsia" w:hAnsi="宋体" w:cs="宋体"/>
          <w:b/>
          <w:bCs w:val="0"/>
          <w:sz w:val="28"/>
          <w:szCs w:val="28"/>
          <w:highlight w:val="none"/>
          <w:lang w:eastAsia="zh-CN"/>
        </w:rPr>
        <w:t>招标文件</w:t>
      </w:r>
      <w:r>
        <w:rPr>
          <w:rFonts w:hint="eastAsia" w:hAnsi="宋体" w:cs="宋体"/>
          <w:b/>
          <w:bCs w:val="0"/>
          <w:sz w:val="28"/>
          <w:szCs w:val="28"/>
          <w:highlight w:val="none"/>
        </w:rPr>
        <w:t xml:space="preserve"> 第三章 合同条款”约定的结算方式执行。</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20" w:name="_Toc3888"/>
      <w:r>
        <w:rPr>
          <w:rFonts w:hint="eastAsia"/>
          <w:b/>
          <w:bCs w:val="0"/>
          <w:highlight w:val="none"/>
        </w:rPr>
        <w:t>十</w:t>
      </w:r>
      <w:r>
        <w:rPr>
          <w:rFonts w:hint="eastAsia"/>
          <w:b/>
          <w:bCs w:val="0"/>
          <w:highlight w:val="none"/>
          <w:lang w:eastAsia="zh-CN"/>
        </w:rPr>
        <w:t>五</w:t>
      </w:r>
      <w:r>
        <w:rPr>
          <w:rFonts w:hint="eastAsia"/>
          <w:b/>
          <w:bCs w:val="0"/>
          <w:highlight w:val="none"/>
        </w:rPr>
        <w:t>、解释权</w:t>
      </w:r>
      <w:bookmarkEnd w:id="20"/>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招标文件解释权归深圳市鹏劳人力资源管理有限公司招标决策委员会所有。</w:t>
      </w:r>
    </w:p>
    <w:p>
      <w:pPr>
        <w:pStyle w:val="12"/>
        <w:spacing w:line="480" w:lineRule="exact"/>
        <w:ind w:firstLine="0" w:firstLineChars="0"/>
        <w:outlineLvl w:val="9"/>
        <w:rPr>
          <w:rFonts w:ascii="宋体" w:hAnsi="宋体"/>
          <w:b/>
          <w:bCs w:val="0"/>
          <w:highlight w:val="none"/>
        </w:rPr>
      </w:pPr>
      <w:r>
        <w:rPr>
          <w:rFonts w:hint="eastAsia" w:ascii="宋体" w:hAnsi="宋体" w:cs="宋体"/>
          <w:b/>
          <w:bCs w:val="0"/>
          <w:sz w:val="28"/>
          <w:szCs w:val="28"/>
          <w:highlight w:val="none"/>
        </w:rPr>
        <w:br w:type="page"/>
      </w:r>
    </w:p>
    <w:p>
      <w:pPr>
        <w:pStyle w:val="3"/>
        <w:spacing w:line="480" w:lineRule="exact"/>
        <w:jc w:val="center"/>
        <w:rPr>
          <w:rFonts w:ascii="宋体" w:hAnsi="宋体" w:eastAsia="宋体" w:cs="宋体"/>
          <w:b/>
          <w:bCs w:val="0"/>
          <w:sz w:val="28"/>
          <w:szCs w:val="28"/>
          <w:highlight w:val="none"/>
        </w:rPr>
      </w:pPr>
      <w:bookmarkStart w:id="21" w:name="_Toc25565"/>
      <w:bookmarkStart w:id="22" w:name="_Toc16932"/>
      <w:r>
        <w:rPr>
          <w:rFonts w:hint="eastAsia" w:ascii="宋体" w:hAnsi="宋体" w:eastAsia="宋体" w:cs="宋体"/>
          <w:b/>
          <w:bCs w:val="0"/>
          <w:sz w:val="28"/>
          <w:szCs w:val="28"/>
          <w:highlight w:val="none"/>
        </w:rPr>
        <w:t xml:space="preserve">第二章 </w:t>
      </w:r>
      <w:bookmarkEnd w:id="21"/>
      <w:r>
        <w:rPr>
          <w:rFonts w:hint="eastAsia" w:ascii="宋体" w:hAnsi="宋体" w:eastAsia="宋体" w:cs="宋体"/>
          <w:b/>
          <w:bCs w:val="0"/>
          <w:sz w:val="28"/>
          <w:szCs w:val="28"/>
          <w:highlight w:val="none"/>
        </w:rPr>
        <w:t>评标程序及标准</w:t>
      </w:r>
      <w:bookmarkEnd w:id="22"/>
    </w:p>
    <w:p>
      <w:pPr>
        <w:widowControl/>
        <w:jc w:val="left"/>
        <w:rPr>
          <w:rFonts w:ascii="宋体" w:hAnsi="宋体" w:cs="宋体"/>
          <w:b/>
          <w:bCs w:val="0"/>
          <w:highlight w:val="none"/>
        </w:rPr>
      </w:pP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spacing w:line="480" w:lineRule="exact"/>
        <w:ind w:firstLine="641" w:firstLineChars="228"/>
        <w:rPr>
          <w:rFonts w:ascii="宋体" w:hAnsi="宋体" w:eastAsia="宋体" w:cs="宋体"/>
          <w:b/>
          <w:bCs w:val="0"/>
          <w:sz w:val="28"/>
          <w:szCs w:val="28"/>
          <w:highlight w:val="none"/>
        </w:rPr>
      </w:pPr>
      <w:bookmarkStart w:id="23" w:name="_Toc532127158"/>
      <w:bookmarkStart w:id="24" w:name="_Toc40445480"/>
      <w:r>
        <w:rPr>
          <w:rFonts w:hint="eastAsia" w:ascii="宋体" w:hAnsi="宋体" w:eastAsia="宋体" w:cs="宋体"/>
          <w:b/>
          <w:bCs w:val="0"/>
          <w:sz w:val="28"/>
          <w:szCs w:val="28"/>
          <w:highlight w:val="none"/>
        </w:rPr>
        <w:t>（一）初步评审</w:t>
      </w:r>
      <w:bookmarkEnd w:id="23"/>
      <w:bookmarkEnd w:id="24"/>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评标专家组根据投标人</w:t>
      </w:r>
      <w:r>
        <w:rPr>
          <w:rFonts w:hint="eastAsia" w:ascii="宋体" w:hAnsi="宋体" w:eastAsia="宋体" w:cs="宋体"/>
          <w:b/>
          <w:bCs w:val="0"/>
          <w:sz w:val="28"/>
          <w:szCs w:val="28"/>
          <w:highlight w:val="none"/>
          <w:lang w:eastAsia="zh-CN"/>
        </w:rPr>
        <w:t>投标文件</w:t>
      </w:r>
      <w:r>
        <w:rPr>
          <w:rFonts w:hint="eastAsia" w:ascii="宋体" w:hAnsi="宋体" w:eastAsia="宋体" w:cs="宋体"/>
          <w:b/>
          <w:bCs w:val="0"/>
          <w:sz w:val="28"/>
          <w:szCs w:val="28"/>
          <w:highlight w:val="none"/>
        </w:rPr>
        <w:t>进行</w:t>
      </w:r>
      <w:r>
        <w:rPr>
          <w:rFonts w:hint="eastAsia" w:ascii="宋体" w:hAnsi="宋体" w:eastAsia="宋体" w:cs="宋体"/>
          <w:b/>
          <w:bCs w:val="0"/>
          <w:sz w:val="28"/>
          <w:szCs w:val="28"/>
          <w:highlight w:val="none"/>
          <w:lang w:eastAsia="zh-CN"/>
        </w:rPr>
        <w:t>资质</w:t>
      </w:r>
      <w:r>
        <w:rPr>
          <w:rFonts w:hint="eastAsia" w:ascii="宋体" w:hAnsi="宋体" w:eastAsia="宋体" w:cs="宋体"/>
          <w:b/>
          <w:bCs w:val="0"/>
          <w:sz w:val="28"/>
          <w:szCs w:val="28"/>
          <w:highlight w:val="none"/>
        </w:rPr>
        <w:t>核验。有一项不符合评审标准的，评标专家组应否决其投标。</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初步评审的结论是“通过”或“不通过”，只有结论为“通过”的投标方能进入下一阶段的评标，否则其投标将按无</w:t>
      </w:r>
      <w:r>
        <w:rPr>
          <w:rFonts w:hint="eastAsia" w:ascii="宋体" w:hAnsi="宋体" w:eastAsia="宋体" w:cs="宋体"/>
          <w:b/>
          <w:bCs w:val="0"/>
          <w:sz w:val="28"/>
          <w:szCs w:val="28"/>
          <w:highlight w:val="none"/>
          <w:lang w:eastAsia="zh-CN"/>
        </w:rPr>
        <w:t>投标无效</w:t>
      </w:r>
      <w:r>
        <w:rPr>
          <w:rFonts w:hint="eastAsia" w:ascii="宋体" w:hAnsi="宋体" w:eastAsia="宋体" w:cs="宋体"/>
          <w:b/>
          <w:bCs w:val="0"/>
          <w:sz w:val="28"/>
          <w:szCs w:val="28"/>
          <w:highlight w:val="none"/>
        </w:rPr>
        <w:t>处理。</w:t>
      </w:r>
    </w:p>
    <w:p>
      <w:pPr>
        <w:spacing w:line="480" w:lineRule="exact"/>
        <w:ind w:firstLine="641" w:firstLineChars="228"/>
        <w:rPr>
          <w:rFonts w:ascii="宋体" w:hAnsi="宋体" w:eastAsia="宋体" w:cs="宋体"/>
          <w:b/>
          <w:bCs w:val="0"/>
          <w:sz w:val="28"/>
          <w:szCs w:val="28"/>
          <w:highlight w:val="none"/>
        </w:rPr>
      </w:pPr>
      <w:bookmarkStart w:id="25" w:name="_bookmark89"/>
      <w:bookmarkEnd w:id="25"/>
      <w:bookmarkStart w:id="26" w:name="_Toc40445481"/>
      <w:bookmarkStart w:id="27" w:name="_Toc532127159"/>
      <w:r>
        <w:rPr>
          <w:rFonts w:hint="eastAsia" w:ascii="宋体" w:hAnsi="宋体" w:eastAsia="宋体" w:cs="宋体"/>
          <w:b/>
          <w:bCs w:val="0"/>
          <w:sz w:val="28"/>
          <w:szCs w:val="28"/>
          <w:highlight w:val="none"/>
        </w:rPr>
        <w:t>（二）详细评审</w:t>
      </w:r>
      <w:bookmarkEnd w:id="26"/>
      <w:bookmarkEnd w:id="27"/>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 评标专家组按本章规定的量化因素和分值进行打分并计算出综合评估得分。</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（1）按本章商务技术标评分标准规定的评审因素和权重对应分值对商务部分计算出得分A；</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（2）按本章价格标评分方法规定的评审因素和权重对应分值对投标报价计算出得分B；</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评分分值计算保留小数点后两位，小数点后第三位“四舍五入”。</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（3）投标人得分=A+B。</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4）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spacing w:line="480" w:lineRule="exact"/>
        <w:ind w:firstLine="641" w:firstLineChars="228"/>
        <w:rPr>
          <w:rFonts w:ascii="宋体" w:hAnsi="宋体" w:eastAsia="宋体" w:cs="宋体"/>
          <w:b/>
          <w:bCs w:val="0"/>
          <w:sz w:val="28"/>
          <w:szCs w:val="28"/>
          <w:highlight w:val="none"/>
        </w:rPr>
      </w:pPr>
      <w:bookmarkStart w:id="28" w:name="_Toc532127160"/>
      <w:bookmarkStart w:id="29" w:name="_Toc40445482"/>
      <w:r>
        <w:rPr>
          <w:rFonts w:hint="eastAsia" w:ascii="宋体" w:hAnsi="宋体" w:eastAsia="宋体" w:cs="宋体"/>
          <w:b/>
          <w:bCs w:val="0"/>
          <w:sz w:val="28"/>
          <w:szCs w:val="28"/>
          <w:highlight w:val="none"/>
        </w:rPr>
        <w:t>（三）投标文件的澄清</w:t>
      </w:r>
      <w:bookmarkEnd w:id="28"/>
      <w:bookmarkEnd w:id="29"/>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 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 澄清、说明或补正不得超出投标文件的范围且不得改变投标文件的实质性内容，并构成投标文件的组成部分。</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3.评标专家组对投标人提交的澄清、说明或补正有疑问的，可以要求投标人进一步澄清、说明或补正，直至满足评标专家组的要求。</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4.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0" w:name="_Toc532127161"/>
    </w:p>
    <w:p>
      <w:pPr>
        <w:spacing w:line="480" w:lineRule="exact"/>
        <w:ind w:firstLine="641" w:firstLineChars="228"/>
        <w:rPr>
          <w:rFonts w:ascii="宋体" w:hAnsi="宋体" w:eastAsia="宋体" w:cs="宋体"/>
          <w:b/>
          <w:bCs w:val="0"/>
          <w:sz w:val="28"/>
          <w:szCs w:val="28"/>
          <w:highlight w:val="none"/>
        </w:rPr>
      </w:pPr>
      <w:bookmarkStart w:id="31" w:name="_Toc40445483"/>
      <w:r>
        <w:rPr>
          <w:rFonts w:hint="eastAsia" w:ascii="宋体" w:hAnsi="宋体" w:eastAsia="宋体" w:cs="宋体"/>
          <w:b/>
          <w:bCs w:val="0"/>
          <w:sz w:val="28"/>
          <w:szCs w:val="28"/>
          <w:highlight w:val="none"/>
        </w:rPr>
        <w:t>(四）评标结果</w:t>
      </w:r>
      <w:bookmarkEnd w:id="30"/>
      <w:bookmarkEnd w:id="31"/>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1.评标专家组按照评审分数由低到高的顺序推荐中标候选人，并标明排序。</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2.评标专家组完成评标后，应当向招标决策委员会提交书面评标报告和中标候选人名单。</w:t>
      </w:r>
      <w:bookmarkStart w:id="32" w:name="_Toc532127162"/>
      <w:r>
        <w:rPr>
          <w:rFonts w:hint="eastAsia" w:ascii="宋体" w:hAnsi="宋体" w:eastAsia="宋体" w:cs="宋体"/>
          <w:b/>
          <w:bCs w:val="0"/>
          <w:sz w:val="28"/>
          <w:szCs w:val="28"/>
          <w:highlight w:val="none"/>
        </w:rPr>
        <w:t>具体程序如下:</w:t>
      </w:r>
    </w:p>
    <w:bookmarkEnd w:id="32"/>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 按评审综合得分从高至低的顺序进行排序，向招标人决策委员会推荐评审总得分排名靠前的投标人为中标候选人，推荐数为2家。</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 若出现评审综合得分相同的情形，按投标报价由低到高顺序排列；得分且投标报价相同的，按商务技术标得分顺序排列；如商务技术标得分仍然相同，则采用抽签的方法确定中标候选人的排序。</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（五）转为竞争性谈判的程序</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按照</w:t>
      </w:r>
      <w:r>
        <w:rPr>
          <w:rFonts w:hint="eastAsia" w:ascii="宋体" w:hAnsi="宋体" w:eastAsia="宋体" w:cs="宋体"/>
          <w:b/>
          <w:bCs w:val="0"/>
          <w:sz w:val="28"/>
          <w:szCs w:val="28"/>
          <w:highlight w:val="none"/>
        </w:rPr>
        <w:t>法律法规规定执行。</w:t>
      </w:r>
    </w:p>
    <w:p>
      <w:pPr>
        <w:spacing w:line="480" w:lineRule="exact"/>
        <w:ind w:firstLine="641" w:firstLineChars="228"/>
        <w:rPr>
          <w:rFonts w:ascii="宋体" w:hAnsi="宋体" w:eastAsia="宋体" w:cs="宋体"/>
          <w:b/>
          <w:bCs w:val="0"/>
          <w:sz w:val="28"/>
          <w:szCs w:val="28"/>
          <w:highlight w:val="none"/>
        </w:rPr>
      </w:pPr>
      <w:bookmarkStart w:id="33" w:name="_Toc532127163"/>
      <w:bookmarkStart w:id="34" w:name="_Toc40445485"/>
      <w:r>
        <w:rPr>
          <w:rFonts w:hint="eastAsia" w:ascii="宋体" w:hAnsi="宋体" w:eastAsia="宋体" w:cs="宋体"/>
          <w:b/>
          <w:bCs w:val="0"/>
          <w:sz w:val="28"/>
          <w:szCs w:val="28"/>
          <w:highlight w:val="none"/>
        </w:rPr>
        <w:t>3.附表</w:t>
      </w:r>
      <w:bookmarkEnd w:id="33"/>
      <w:bookmarkEnd w:id="34"/>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附表1-1《商务技术标评审标准》</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附表2-1《价格标评分方法》</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附表3-1《商务技术标、价格标权重表》</w:t>
      </w:r>
    </w:p>
    <w:p>
      <w:pPr>
        <w:keepNext/>
        <w:keepLines/>
        <w:widowControl/>
        <w:numPr>
          <w:ilvl w:val="3"/>
          <w:numId w:val="0"/>
        </w:numPr>
        <w:adjustRightInd w:val="0"/>
        <w:snapToGrid w:val="0"/>
        <w:spacing w:line="360" w:lineRule="auto"/>
        <w:ind w:firstLine="562" w:firstLineChars="200"/>
        <w:outlineLvl w:val="3"/>
        <w:rPr>
          <w:rFonts w:ascii="Times New Roman" w:hAnsi="Times New Roman" w:eastAsia="宋体" w:cs="Times New Roman"/>
          <w:b/>
          <w:bCs w:val="0"/>
          <w:sz w:val="22"/>
          <w:szCs w:val="24"/>
          <w:highlight w:val="none"/>
        </w:rPr>
      </w:pPr>
      <w:bookmarkStart w:id="35" w:name="_bookmark91"/>
      <w:bookmarkEnd w:id="35"/>
      <w:bookmarkStart w:id="36" w:name="_bookmark90"/>
      <w:bookmarkEnd w:id="36"/>
      <w:r>
        <w:rPr>
          <w:rFonts w:ascii="Arial" w:hAnsi="Arial" w:eastAsia="黑体" w:cs="Times New Roman"/>
          <w:b/>
          <w:bCs w:val="0"/>
          <w:sz w:val="28"/>
          <w:szCs w:val="28"/>
          <w:highlight w:val="none"/>
        </w:rPr>
        <w:br w:type="page"/>
      </w:r>
      <w:r>
        <w:rPr>
          <w:rFonts w:hint="eastAsia" w:ascii="Times New Roman" w:hAnsi="Times New Roman" w:eastAsia="宋体" w:cs="Times New Roman"/>
          <w:b/>
          <w:bCs w:val="0"/>
          <w:sz w:val="22"/>
          <w:szCs w:val="24"/>
          <w:highlight w:val="none"/>
        </w:rPr>
        <w:t>附表1-1 商务技术标评审标准</w:t>
      </w:r>
    </w:p>
    <w:p>
      <w:pPr>
        <w:widowControl/>
        <w:adjustRightInd w:val="0"/>
        <w:snapToGrid w:val="0"/>
        <w:spacing w:line="360" w:lineRule="auto"/>
        <w:jc w:val="center"/>
        <w:rPr>
          <w:rFonts w:ascii="Times New Roman" w:hAnsi="Times New Roman" w:eastAsia="宋体" w:cs="Times New Roman"/>
          <w:b/>
          <w:bCs w:val="0"/>
          <w:sz w:val="22"/>
          <w:highlight w:val="none"/>
        </w:rPr>
      </w:pPr>
      <w:r>
        <w:rPr>
          <w:rFonts w:hint="eastAsia" w:ascii="Times New Roman" w:hAnsi="Times New Roman" w:eastAsia="宋体" w:cs="Times New Roman"/>
          <w:b/>
          <w:bCs w:val="0"/>
          <w:sz w:val="24"/>
          <w:szCs w:val="28"/>
          <w:highlight w:val="none"/>
        </w:rPr>
        <w:t>商务技术标评审标准</w:t>
      </w:r>
    </w:p>
    <w:tbl>
      <w:tblPr>
        <w:tblStyle w:val="14"/>
        <w:tblW w:w="48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211"/>
        <w:gridCol w:w="5846"/>
        <w:gridCol w:w="1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57" w:type="pct"/>
            <w:tcBorders>
              <w:tl2br w:val="nil"/>
              <w:tr2bl w:val="nil"/>
            </w:tcBorders>
            <w:shd w:val="clear" w:color="auto" w:fill="FFFFFF" w:themeFill="background1"/>
            <w:vAlign w:val="center"/>
          </w:tcPr>
          <w:p>
            <w:pPr>
              <w:widowControl/>
              <w:adjustRightInd w:val="0"/>
              <w:snapToGrid w:val="0"/>
              <w:spacing w:line="360" w:lineRule="auto"/>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序号</w:t>
            </w:r>
          </w:p>
        </w:tc>
        <w:tc>
          <w:tcPr>
            <w:tcW w:w="655"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评分因素</w:t>
            </w:r>
          </w:p>
        </w:tc>
        <w:tc>
          <w:tcPr>
            <w:tcW w:w="3163"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评分准则</w:t>
            </w:r>
          </w:p>
        </w:tc>
        <w:tc>
          <w:tcPr>
            <w:tcW w:w="824"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57" w:type="pct"/>
            <w:tcBorders>
              <w:tl2br w:val="nil"/>
              <w:tr2bl w:val="nil"/>
            </w:tcBorders>
            <w:vAlign w:val="center"/>
          </w:tcPr>
          <w:p>
            <w:pPr>
              <w:widowControl/>
              <w:adjustRightInd w:val="0"/>
              <w:snapToGrid w:val="0"/>
              <w:spacing w:line="280" w:lineRule="exact"/>
              <w:jc w:val="center"/>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1</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
                <w:bCs w:val="0"/>
                <w:szCs w:val="21"/>
                <w:highlight w:val="none"/>
                <w:lang w:eastAsia="zh-CN"/>
              </w:rPr>
            </w:pPr>
            <w:r>
              <w:rPr>
                <w:rFonts w:hint="eastAsia" w:ascii="宋体" w:hAnsi="宋体" w:eastAsia="宋体" w:cs="Times New Roman"/>
                <w:b/>
                <w:bCs w:val="0"/>
                <w:szCs w:val="21"/>
                <w:highlight w:val="none"/>
                <w:lang w:eastAsia="zh-CN"/>
              </w:rPr>
              <w:t>体检项目全面性</w:t>
            </w:r>
            <w:r>
              <w:rPr>
                <w:rFonts w:hint="eastAsia" w:ascii="宋体" w:hAnsi="宋体" w:eastAsia="宋体" w:cs="Times New Roman"/>
                <w:b/>
                <w:bCs w:val="0"/>
                <w:szCs w:val="21"/>
                <w:highlight w:val="none"/>
                <w:lang w:val="en-US" w:eastAsia="zh-CN"/>
              </w:rPr>
              <w:t xml:space="preserve">  </w:t>
            </w:r>
            <w:r>
              <w:rPr>
                <w:rFonts w:hint="eastAsia" w:ascii="宋体" w:hAnsi="宋体" w:eastAsia="宋体" w:cs="Times New Roman"/>
                <w:b/>
                <w:bCs w:val="0"/>
                <w:szCs w:val="21"/>
                <w:highlight w:val="none"/>
                <w:lang w:eastAsia="zh-CN"/>
              </w:rPr>
              <w:t>评价</w:t>
            </w:r>
          </w:p>
        </w:tc>
        <w:tc>
          <w:tcPr>
            <w:tcW w:w="3163" w:type="pct"/>
            <w:tcBorders>
              <w:tl2br w:val="nil"/>
              <w:tr2bl w:val="nil"/>
            </w:tcBorders>
            <w:vAlign w:val="center"/>
          </w:tcPr>
          <w:p>
            <w:pPr>
              <w:widowControl/>
              <w:shd w:val="clear" w:color="auto" w:fill="FFFFFF"/>
              <w:spacing w:line="280" w:lineRule="exact"/>
              <w:jc w:val="left"/>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eastAsia="zh-CN"/>
              </w:rPr>
              <w:t>体检项目全面性评分：能够满足附表</w:t>
            </w:r>
            <w:r>
              <w:rPr>
                <w:rFonts w:hint="eastAsia" w:ascii="宋体" w:hAnsi="宋体" w:eastAsia="宋体" w:cs="Times New Roman"/>
                <w:b/>
                <w:bCs w:val="0"/>
                <w:szCs w:val="21"/>
                <w:highlight w:val="none"/>
                <w:lang w:val="en-US" w:eastAsia="zh-CN"/>
              </w:rPr>
              <w:t>2基准体检科目，本评分项得基础分20分，每增加1项加3分，最高不超过30分；</w:t>
            </w:r>
          </w:p>
        </w:tc>
        <w:tc>
          <w:tcPr>
            <w:tcW w:w="824" w:type="pct"/>
            <w:tcBorders>
              <w:tl2br w:val="nil"/>
              <w:tr2bl w:val="nil"/>
            </w:tcBorders>
            <w:vAlign w:val="center"/>
          </w:tcPr>
          <w:p>
            <w:pPr>
              <w:adjustRightInd w:val="0"/>
              <w:snapToGrid w:val="0"/>
              <w:spacing w:line="280" w:lineRule="exact"/>
              <w:jc w:val="center"/>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357" w:type="pct"/>
            <w:tcBorders>
              <w:tl2br w:val="nil"/>
              <w:tr2bl w:val="nil"/>
            </w:tcBorders>
            <w:vAlign w:val="center"/>
          </w:tcPr>
          <w:p>
            <w:pPr>
              <w:widowControl/>
              <w:adjustRightInd w:val="0"/>
              <w:snapToGrid w:val="0"/>
              <w:spacing w:line="280" w:lineRule="exact"/>
              <w:jc w:val="center"/>
              <w:rPr>
                <w:rFonts w:hint="eastAsia"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2</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
                <w:bCs w:val="0"/>
                <w:szCs w:val="21"/>
                <w:highlight w:val="none"/>
                <w:lang w:eastAsia="zh-CN"/>
              </w:rPr>
            </w:pPr>
            <w:r>
              <w:rPr>
                <w:rFonts w:hint="eastAsia" w:ascii="宋体" w:hAnsi="宋体" w:eastAsia="宋体" w:cs="Times New Roman"/>
                <w:b/>
                <w:bCs w:val="0"/>
                <w:szCs w:val="21"/>
                <w:highlight w:val="none"/>
                <w:lang w:eastAsia="zh-CN"/>
              </w:rPr>
              <w:t>检测技术先进性</w:t>
            </w:r>
            <w:r>
              <w:rPr>
                <w:rFonts w:hint="eastAsia" w:ascii="宋体" w:hAnsi="宋体" w:eastAsia="宋体" w:cs="Times New Roman"/>
                <w:b/>
                <w:bCs w:val="0"/>
                <w:szCs w:val="21"/>
                <w:highlight w:val="none"/>
                <w:lang w:val="en-US" w:eastAsia="zh-CN"/>
              </w:rPr>
              <w:t xml:space="preserve">  </w:t>
            </w:r>
            <w:r>
              <w:rPr>
                <w:rFonts w:hint="eastAsia" w:ascii="宋体" w:hAnsi="宋体" w:eastAsia="宋体" w:cs="Times New Roman"/>
                <w:b/>
                <w:bCs w:val="0"/>
                <w:szCs w:val="21"/>
                <w:highlight w:val="none"/>
                <w:lang w:eastAsia="zh-CN"/>
              </w:rPr>
              <w:t>评价</w:t>
            </w:r>
          </w:p>
        </w:tc>
        <w:tc>
          <w:tcPr>
            <w:tcW w:w="3163" w:type="pct"/>
            <w:tcBorders>
              <w:tl2br w:val="nil"/>
              <w:tr2bl w:val="nil"/>
            </w:tcBorders>
            <w:vAlign w:val="center"/>
          </w:tcPr>
          <w:p>
            <w:pPr>
              <w:widowControl/>
              <w:jc w:val="left"/>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eastAsia="zh-CN"/>
              </w:rPr>
              <w:t>检测技术先进性评分：同样检查科目，以普通仪器或检测手段进行检测的，得基础分</w:t>
            </w:r>
            <w:r>
              <w:rPr>
                <w:rFonts w:hint="eastAsia" w:ascii="宋体" w:hAnsi="宋体" w:eastAsia="宋体" w:cs="Times New Roman"/>
                <w:b/>
                <w:bCs w:val="0"/>
                <w:szCs w:val="21"/>
                <w:highlight w:val="none"/>
                <w:lang w:val="en-US" w:eastAsia="zh-CN"/>
              </w:rPr>
              <w:t>20分，如以新技术、新材料、新方法进行检测的，每1项加3分，最高不超过30分；</w:t>
            </w:r>
          </w:p>
        </w:tc>
        <w:tc>
          <w:tcPr>
            <w:tcW w:w="824" w:type="pct"/>
            <w:tcBorders>
              <w:tl2br w:val="nil"/>
              <w:tr2bl w:val="nil"/>
            </w:tcBorders>
            <w:vAlign w:val="center"/>
          </w:tcPr>
          <w:p>
            <w:pPr>
              <w:adjustRightInd w:val="0"/>
              <w:snapToGrid w:val="0"/>
              <w:spacing w:line="280" w:lineRule="exact"/>
              <w:jc w:val="center"/>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357" w:type="pct"/>
            <w:tcBorders>
              <w:tl2br w:val="nil"/>
              <w:tr2bl w:val="nil"/>
            </w:tcBorders>
            <w:vAlign w:val="center"/>
          </w:tcPr>
          <w:p>
            <w:pPr>
              <w:widowControl/>
              <w:adjustRightInd w:val="0"/>
              <w:snapToGrid w:val="0"/>
              <w:spacing w:line="280" w:lineRule="exact"/>
              <w:jc w:val="center"/>
              <w:rPr>
                <w:rFonts w:hint="eastAsia" w:ascii="宋体" w:hAnsi="宋体" w:eastAsia="宋体" w:cs="Times New Roman"/>
                <w:b/>
                <w:bCs w:val="0"/>
                <w:szCs w:val="21"/>
                <w:highlight w:val="none"/>
                <w:lang w:eastAsia="zh-CN"/>
              </w:rPr>
            </w:pPr>
            <w:r>
              <w:rPr>
                <w:rFonts w:hint="eastAsia" w:ascii="宋体" w:hAnsi="宋体" w:eastAsia="宋体" w:cs="Times New Roman"/>
                <w:b/>
                <w:bCs w:val="0"/>
                <w:szCs w:val="21"/>
                <w:highlight w:val="none"/>
                <w:lang w:val="en-US" w:eastAsia="zh-CN"/>
              </w:rPr>
              <w:t>3</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
                <w:bCs w:val="0"/>
                <w:szCs w:val="21"/>
                <w:highlight w:val="none"/>
              </w:rPr>
            </w:pPr>
            <w:r>
              <w:rPr>
                <w:rFonts w:hint="eastAsia" w:ascii="宋体" w:hAnsi="宋体" w:eastAsia="宋体" w:cs="Times New Roman"/>
                <w:b/>
                <w:bCs w:val="0"/>
                <w:szCs w:val="21"/>
                <w:highlight w:val="none"/>
              </w:rPr>
              <w:t>信息系统建设、健康档案管理与检后</w:t>
            </w:r>
          </w:p>
          <w:p>
            <w:pPr>
              <w:snapToGrid w:val="0"/>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服务</w:t>
            </w:r>
          </w:p>
        </w:tc>
        <w:tc>
          <w:tcPr>
            <w:tcW w:w="3163" w:type="pct"/>
            <w:tcBorders>
              <w:tl2br w:val="nil"/>
              <w:tr2bl w:val="nil"/>
            </w:tcBorders>
            <w:vAlign w:val="center"/>
          </w:tcPr>
          <w:p>
            <w:pPr>
              <w:widowControl/>
              <w:shd w:val="clear" w:color="auto" w:fill="FFFFFF"/>
              <w:spacing w:line="280" w:lineRule="exact"/>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rPr>
              <w:t>(1)具有手机端健康体检软件或微信小程序</w:t>
            </w:r>
            <w:r>
              <w:rPr>
                <w:rFonts w:hint="eastAsia" w:ascii="宋体" w:hAnsi="宋体" w:eastAsia="宋体" w:cs="Times New Roman"/>
                <w:b/>
                <w:bCs w:val="0"/>
                <w:szCs w:val="21"/>
                <w:highlight w:val="none"/>
                <w:lang w:eastAsia="zh-CN"/>
              </w:rPr>
              <w:t>、服务号</w:t>
            </w:r>
            <w:r>
              <w:rPr>
                <w:rFonts w:hint="eastAsia" w:ascii="宋体" w:hAnsi="宋体" w:eastAsia="宋体" w:cs="Times New Roman"/>
                <w:b/>
                <w:bCs w:val="0"/>
                <w:szCs w:val="21"/>
                <w:highlight w:val="none"/>
              </w:rPr>
              <w:t>可用于健康体 检线上预约，可随时提供预约服务的，本项得2分</w:t>
            </w:r>
          </w:p>
          <w:p>
            <w:pPr>
              <w:widowControl/>
              <w:shd w:val="clear" w:color="auto" w:fill="FFFFFF"/>
              <w:spacing w:line="280" w:lineRule="exact"/>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rPr>
              <w:t>(2)具有线上电子健康档案信息与体检报告数据查询功能的本项得2分；</w:t>
            </w:r>
          </w:p>
          <w:p>
            <w:pPr>
              <w:widowControl/>
              <w:shd w:val="clear" w:color="auto" w:fill="FFFFFF"/>
              <w:spacing w:line="280" w:lineRule="exact"/>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rPr>
              <w:t>(3)提供固定客服电话，有专业医务人员提供检后咨询解答服务的，本项得1分。</w:t>
            </w:r>
          </w:p>
        </w:tc>
        <w:tc>
          <w:tcPr>
            <w:tcW w:w="824" w:type="pct"/>
            <w:tcBorders>
              <w:tl2br w:val="nil"/>
              <w:tr2bl w:val="nil"/>
            </w:tcBorders>
            <w:vAlign w:val="center"/>
          </w:tcPr>
          <w:p>
            <w:pPr>
              <w:adjustRightInd w:val="0"/>
              <w:snapToGrid w:val="0"/>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lang w:val="en-US" w:eastAsia="zh-CN"/>
              </w:rPr>
              <w:t>2</w:t>
            </w:r>
            <w:r>
              <w:rPr>
                <w:rFonts w:hint="eastAsia" w:ascii="宋体" w:hAnsi="宋体" w:eastAsia="宋体" w:cs="Times New Roman"/>
                <w:b/>
                <w:bCs w:val="0"/>
                <w:szCs w:val="21"/>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357" w:type="pct"/>
            <w:tcBorders>
              <w:tl2br w:val="nil"/>
              <w:tr2bl w:val="nil"/>
            </w:tcBorders>
            <w:vAlign w:val="center"/>
          </w:tcPr>
          <w:p>
            <w:pPr>
              <w:widowControl/>
              <w:adjustRightInd w:val="0"/>
              <w:snapToGrid w:val="0"/>
              <w:spacing w:line="360" w:lineRule="auto"/>
              <w:jc w:val="center"/>
              <w:rPr>
                <w:rFonts w:hint="eastAsia" w:ascii="宋体" w:hAnsi="宋体" w:eastAsia="宋体" w:cs="Times New Roman"/>
                <w:b/>
                <w:bCs w:val="0"/>
                <w:szCs w:val="21"/>
                <w:highlight w:val="none"/>
                <w:lang w:eastAsia="zh-CN"/>
              </w:rPr>
            </w:pPr>
            <w:r>
              <w:rPr>
                <w:rFonts w:hint="eastAsia" w:ascii="宋体" w:hAnsi="宋体" w:eastAsia="宋体" w:cs="Times New Roman"/>
                <w:b/>
                <w:bCs w:val="0"/>
                <w:szCs w:val="21"/>
                <w:highlight w:val="none"/>
                <w:lang w:val="en-US" w:eastAsia="zh-CN"/>
              </w:rPr>
              <w:t>4</w:t>
            </w:r>
          </w:p>
        </w:tc>
        <w:tc>
          <w:tcPr>
            <w:tcW w:w="655" w:type="pct"/>
            <w:tcBorders>
              <w:tl2br w:val="nil"/>
              <w:tr2bl w:val="nil"/>
            </w:tcBorders>
            <w:vAlign w:val="center"/>
          </w:tcPr>
          <w:p>
            <w:pPr>
              <w:snapToGrid w:val="0"/>
              <w:spacing w:line="280" w:lineRule="exact"/>
              <w:jc w:val="center"/>
              <w:rPr>
                <w:rStyle w:val="19"/>
                <w:rFonts w:ascii="宋体" w:hAnsi="宋体" w:eastAsia="宋体" w:cs="Times New Roman"/>
                <w:b/>
                <w:bCs w:val="0"/>
                <w:szCs w:val="21"/>
                <w:highlight w:val="none"/>
              </w:rPr>
            </w:pPr>
            <w:r>
              <w:rPr>
                <w:rStyle w:val="19"/>
                <w:rFonts w:hint="eastAsia" w:ascii="宋体" w:hAnsi="宋体" w:eastAsia="宋体" w:cs="Times New Roman"/>
                <w:b/>
                <w:bCs w:val="0"/>
                <w:szCs w:val="21"/>
                <w:highlight w:val="none"/>
              </w:rPr>
              <w:t>员工</w:t>
            </w:r>
            <w:r>
              <w:rPr>
                <w:rStyle w:val="19"/>
                <w:rFonts w:hint="eastAsia" w:ascii="宋体" w:hAnsi="宋体" w:eastAsia="宋体" w:cs="Times New Roman"/>
                <w:b/>
                <w:bCs w:val="0"/>
                <w:szCs w:val="21"/>
                <w:highlight w:val="none"/>
                <w:lang w:eastAsia="zh-CN"/>
              </w:rPr>
              <w:t>自费检查</w:t>
            </w:r>
            <w:r>
              <w:rPr>
                <w:rStyle w:val="19"/>
                <w:rFonts w:hint="eastAsia" w:ascii="宋体" w:hAnsi="宋体" w:eastAsia="宋体" w:cs="Times New Roman"/>
                <w:b/>
                <w:bCs w:val="0"/>
                <w:szCs w:val="21"/>
                <w:highlight w:val="none"/>
              </w:rPr>
              <w:t>优惠服务</w:t>
            </w:r>
          </w:p>
        </w:tc>
        <w:tc>
          <w:tcPr>
            <w:tcW w:w="3163" w:type="pct"/>
            <w:tcBorders>
              <w:tl2br w:val="nil"/>
              <w:tr2bl w:val="nil"/>
            </w:tcBorders>
            <w:vAlign w:val="center"/>
          </w:tcPr>
          <w:p>
            <w:pPr>
              <w:widowControl/>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lang w:eastAsia="zh-CN"/>
              </w:rPr>
              <w:t>招标人员工自费加检非医保项目，按照投标人个人体检门市价给予</w:t>
            </w:r>
            <w:r>
              <w:rPr>
                <w:rFonts w:hint="eastAsia" w:ascii="宋体" w:hAnsi="宋体" w:eastAsia="宋体" w:cs="Times New Roman"/>
                <w:b/>
                <w:bCs w:val="0"/>
                <w:szCs w:val="21"/>
                <w:highlight w:val="none"/>
              </w:rPr>
              <w:t>折扣，</w:t>
            </w:r>
            <w:r>
              <w:rPr>
                <w:rFonts w:hint="eastAsia" w:ascii="宋体" w:hAnsi="宋体" w:eastAsia="宋体" w:cs="Times New Roman"/>
                <w:b/>
                <w:bCs w:val="0"/>
                <w:szCs w:val="21"/>
                <w:highlight w:val="none"/>
                <w:lang w:eastAsia="zh-CN"/>
              </w:rPr>
              <w:t>折扣比例最高的得满分</w:t>
            </w:r>
            <w:r>
              <w:rPr>
                <w:rFonts w:hint="eastAsia" w:ascii="宋体" w:hAnsi="宋体" w:eastAsia="宋体" w:cs="Times New Roman"/>
                <w:b/>
                <w:bCs w:val="0"/>
                <w:szCs w:val="21"/>
                <w:highlight w:val="none"/>
              </w:rPr>
              <w:t>，排名每后退1名扣</w:t>
            </w:r>
            <w:r>
              <w:rPr>
                <w:rFonts w:hint="eastAsia" w:ascii="宋体" w:hAnsi="宋体" w:eastAsia="宋体" w:cs="Times New Roman"/>
                <w:b/>
                <w:bCs w:val="0"/>
                <w:szCs w:val="21"/>
                <w:highlight w:val="none"/>
                <w:lang w:val="en-US" w:eastAsia="zh-CN"/>
              </w:rPr>
              <w:t>5</w:t>
            </w:r>
            <w:r>
              <w:rPr>
                <w:rFonts w:hint="eastAsia" w:ascii="宋体" w:hAnsi="宋体" w:eastAsia="宋体" w:cs="Times New Roman"/>
                <w:b/>
                <w:bCs w:val="0"/>
                <w:szCs w:val="21"/>
                <w:highlight w:val="none"/>
              </w:rPr>
              <w:t>分。</w:t>
            </w:r>
          </w:p>
        </w:tc>
        <w:tc>
          <w:tcPr>
            <w:tcW w:w="824" w:type="pct"/>
            <w:tcBorders>
              <w:tl2br w:val="nil"/>
              <w:tr2bl w:val="nil"/>
            </w:tcBorders>
            <w:vAlign w:val="center"/>
          </w:tcPr>
          <w:p>
            <w:pPr>
              <w:adjustRightInd w:val="0"/>
              <w:snapToGrid w:val="0"/>
              <w:spacing w:line="360" w:lineRule="auto"/>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lang w:val="en-US" w:eastAsia="zh-CN"/>
              </w:rPr>
              <w:t>2</w:t>
            </w:r>
            <w:r>
              <w:rPr>
                <w:rFonts w:hint="eastAsia" w:ascii="宋体" w:hAnsi="宋体" w:eastAsia="宋体" w:cs="Times New Roman"/>
                <w:b/>
                <w:bCs w:val="0"/>
                <w:szCs w:val="21"/>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75" w:type="pct"/>
            <w:gridSpan w:val="3"/>
            <w:tcBorders>
              <w:tl2br w:val="nil"/>
              <w:tr2bl w:val="nil"/>
            </w:tcBorders>
            <w:vAlign w:val="center"/>
          </w:tcPr>
          <w:p>
            <w:pPr>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合计</w:t>
            </w:r>
          </w:p>
        </w:tc>
        <w:tc>
          <w:tcPr>
            <w:tcW w:w="824" w:type="pct"/>
            <w:tcBorders>
              <w:tl2br w:val="nil"/>
              <w:tr2bl w:val="nil"/>
            </w:tcBorders>
            <w:vAlign w:val="center"/>
          </w:tcPr>
          <w:p>
            <w:pPr>
              <w:widowControl/>
              <w:adjustRightInd w:val="0"/>
              <w:snapToGrid w:val="0"/>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100分</w:t>
            </w:r>
          </w:p>
        </w:tc>
      </w:tr>
    </w:tbl>
    <w:p>
      <w:pPr>
        <w:widowControl/>
        <w:adjustRightInd w:val="0"/>
        <w:snapToGrid w:val="0"/>
        <w:spacing w:line="360" w:lineRule="auto"/>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说明：</w:t>
      </w:r>
    </w:p>
    <w:p>
      <w:pPr>
        <w:widowControl/>
        <w:adjustRightInd w:val="0"/>
        <w:snapToGrid w:val="0"/>
        <w:spacing w:line="32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1.本表评审依据要求的各项证明文件须编入投标文件，复印件加盖投标人公章。</w:t>
      </w:r>
    </w:p>
    <w:p>
      <w:pPr>
        <w:widowControl/>
        <w:adjustRightInd w:val="0"/>
        <w:snapToGrid w:val="0"/>
        <w:spacing w:line="32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widowControl/>
        <w:adjustRightInd w:val="0"/>
        <w:snapToGrid w:val="0"/>
        <w:spacing w:line="360" w:lineRule="auto"/>
        <w:rPr>
          <w:rFonts w:ascii="Times New Roman" w:hAnsi="Times New Roman" w:eastAsia="宋体" w:cs="Times New Roman"/>
          <w:b/>
          <w:bCs w:val="0"/>
          <w:szCs w:val="21"/>
          <w:highlight w:val="none"/>
        </w:rPr>
      </w:pPr>
    </w:p>
    <w:p>
      <w:pPr>
        <w:keepNext/>
        <w:keepLines/>
        <w:widowControl/>
        <w:numPr>
          <w:ilvl w:val="3"/>
          <w:numId w:val="0"/>
        </w:numPr>
        <w:adjustRightInd w:val="0"/>
        <w:snapToGrid w:val="0"/>
        <w:spacing w:line="360" w:lineRule="auto"/>
        <w:ind w:firstLine="562" w:firstLineChars="200"/>
        <w:jc w:val="left"/>
        <w:outlineLvl w:val="3"/>
        <w:rPr>
          <w:rFonts w:ascii="Times New Roman" w:hAnsi="Times New Roman" w:eastAsia="宋体" w:cs="Times New Roman"/>
          <w:b/>
          <w:bCs w:val="0"/>
          <w:szCs w:val="21"/>
          <w:highlight w:val="none"/>
        </w:rPr>
      </w:pPr>
      <w:r>
        <w:rPr>
          <w:rFonts w:ascii="Arial" w:hAnsi="Arial" w:eastAsia="黑体" w:cs="Times New Roman"/>
          <w:b/>
          <w:bCs w:val="0"/>
          <w:sz w:val="28"/>
          <w:szCs w:val="28"/>
          <w:highlight w:val="none"/>
        </w:rPr>
        <w:br w:type="page"/>
      </w:r>
      <w:r>
        <w:rPr>
          <w:rFonts w:hint="eastAsia" w:ascii="Times New Roman" w:hAnsi="Times New Roman" w:eastAsia="宋体" w:cs="Times New Roman"/>
          <w:b/>
          <w:bCs w:val="0"/>
          <w:szCs w:val="21"/>
          <w:highlight w:val="none"/>
        </w:rPr>
        <w:t xml:space="preserve"> </w:t>
      </w:r>
    </w:p>
    <w:p>
      <w:pPr>
        <w:keepNext/>
        <w:keepLines/>
        <w:widowControl/>
        <w:numPr>
          <w:ilvl w:val="3"/>
          <w:numId w:val="0"/>
        </w:numPr>
        <w:adjustRightInd w:val="0"/>
        <w:snapToGrid w:val="0"/>
        <w:spacing w:line="360" w:lineRule="auto"/>
        <w:ind w:firstLine="442" w:firstLineChars="200"/>
        <w:jc w:val="left"/>
        <w:outlineLvl w:val="3"/>
        <w:rPr>
          <w:rFonts w:ascii="Arial" w:hAnsi="Arial" w:eastAsia="黑体" w:cs="Times New Roman"/>
          <w:b/>
          <w:bCs w:val="0"/>
          <w:sz w:val="28"/>
          <w:szCs w:val="28"/>
          <w:highlight w:val="none"/>
        </w:rPr>
      </w:pPr>
      <w:r>
        <w:rPr>
          <w:rFonts w:hint="eastAsia" w:ascii="Times New Roman" w:hAnsi="Times New Roman" w:eastAsia="宋体" w:cs="Times New Roman"/>
          <w:b/>
          <w:bCs w:val="0"/>
          <w:sz w:val="22"/>
          <w:szCs w:val="24"/>
          <w:highlight w:val="none"/>
        </w:rPr>
        <w:t>附表2-1 《价格标评分方法》</w:t>
      </w:r>
    </w:p>
    <w:p>
      <w:pPr>
        <w:widowControl/>
        <w:adjustRightInd w:val="0"/>
        <w:snapToGrid w:val="0"/>
        <w:spacing w:line="360" w:lineRule="auto"/>
        <w:jc w:val="center"/>
        <w:rPr>
          <w:rFonts w:ascii="Times New Roman" w:hAnsi="Times New Roman" w:eastAsia="宋体" w:cs="Times New Roman"/>
          <w:b/>
          <w:bCs w:val="0"/>
          <w:sz w:val="28"/>
          <w:szCs w:val="36"/>
          <w:highlight w:val="none"/>
        </w:rPr>
      </w:pPr>
      <w:r>
        <w:rPr>
          <w:rFonts w:hint="eastAsia" w:ascii="Times New Roman" w:hAnsi="Times New Roman" w:eastAsia="宋体" w:cs="Times New Roman"/>
          <w:b/>
          <w:bCs w:val="0"/>
          <w:sz w:val="28"/>
          <w:szCs w:val="36"/>
          <w:highlight w:val="none"/>
        </w:rPr>
        <w:t>价格标评分方法</w:t>
      </w:r>
    </w:p>
    <w:tbl>
      <w:tblPr>
        <w:tblStyle w:val="14"/>
        <w:tblW w:w="5099" w:type="pct"/>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6"/>
        <w:gridCol w:w="2547"/>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6" w:type="pct"/>
            <w:tcBorders>
              <w:tl2br w:val="nil"/>
              <w:tr2bl w:val="nil"/>
            </w:tcBorders>
            <w:vAlign w:val="center"/>
          </w:tcPr>
          <w:p>
            <w:pPr>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序号</w:t>
            </w:r>
          </w:p>
        </w:tc>
        <w:tc>
          <w:tcPr>
            <w:tcW w:w="819" w:type="pct"/>
            <w:tcBorders>
              <w:tl2br w:val="nil"/>
              <w:tr2bl w:val="nil"/>
            </w:tcBorders>
            <w:vAlign w:val="center"/>
          </w:tcPr>
          <w:p>
            <w:pPr>
              <w:widowControl/>
              <w:adjustRightInd w:val="0"/>
              <w:snapToGrid w:val="0"/>
              <w:spacing w:line="360" w:lineRule="auto"/>
              <w:ind w:firstLine="211" w:firstLineChars="100"/>
              <w:rPr>
                <w:rFonts w:ascii="宋体" w:hAnsi="宋体" w:eastAsia="宋体" w:cs="Times New Roman"/>
                <w:b/>
                <w:bCs w:val="0"/>
                <w:szCs w:val="21"/>
                <w:highlight w:val="none"/>
              </w:rPr>
            </w:pPr>
            <w:r>
              <w:rPr>
                <w:rFonts w:hint="eastAsia" w:ascii="Times New Roman" w:hAnsi="Times New Roman" w:eastAsia="宋体" w:cs="Times New Roman"/>
                <w:b/>
                <w:bCs w:val="0"/>
                <w:szCs w:val="21"/>
                <w:highlight w:val="none"/>
              </w:rPr>
              <w:t>评分因素</w:t>
            </w:r>
          </w:p>
        </w:tc>
        <w:tc>
          <w:tcPr>
            <w:tcW w:w="1323" w:type="pct"/>
            <w:tcBorders>
              <w:tl2br w:val="nil"/>
              <w:tr2bl w:val="nil"/>
            </w:tcBorders>
            <w:vAlign w:val="center"/>
          </w:tcPr>
          <w:p>
            <w:pPr>
              <w:widowControl/>
              <w:adjustRightInd w:val="0"/>
              <w:snapToGrid w:val="0"/>
              <w:spacing w:line="360" w:lineRule="auto"/>
              <w:jc w:val="center"/>
              <w:rPr>
                <w:rFonts w:ascii="宋体" w:hAnsi="宋体" w:eastAsia="宋体" w:cs="Times New Roman"/>
                <w:b/>
                <w:bCs w:val="0"/>
                <w:szCs w:val="21"/>
                <w:highlight w:val="none"/>
              </w:rPr>
            </w:pPr>
            <w:r>
              <w:rPr>
                <w:rFonts w:hint="eastAsia" w:ascii="Times New Roman" w:hAnsi="Times New Roman" w:eastAsia="宋体" w:cs="Times New Roman"/>
                <w:b/>
                <w:bCs w:val="0"/>
                <w:szCs w:val="21"/>
                <w:highlight w:val="none"/>
              </w:rPr>
              <w:t>评分准则</w:t>
            </w:r>
          </w:p>
        </w:tc>
        <w:tc>
          <w:tcPr>
            <w:tcW w:w="472" w:type="pct"/>
            <w:tcBorders>
              <w:tl2br w:val="nil"/>
              <w:tr2bl w:val="nil"/>
            </w:tcBorders>
            <w:vAlign w:val="center"/>
          </w:tcPr>
          <w:p>
            <w:pPr>
              <w:widowControl/>
              <w:adjustRightInd w:val="0"/>
              <w:snapToGrid w:val="0"/>
              <w:spacing w:line="360" w:lineRule="auto"/>
              <w:jc w:val="center"/>
              <w:rPr>
                <w:rFonts w:ascii="宋体" w:hAnsi="宋体" w:eastAsia="宋体" w:cs="Times New Roman"/>
                <w:b/>
                <w:bCs w:val="0"/>
                <w:szCs w:val="21"/>
                <w:highlight w:val="none"/>
              </w:rPr>
            </w:pPr>
            <w:r>
              <w:rPr>
                <w:rFonts w:hint="eastAsia" w:ascii="Times New Roman" w:hAnsi="Times New Roman" w:eastAsia="宋体" w:cs="Times New Roman"/>
                <w:b/>
                <w:bCs w:val="0"/>
                <w:szCs w:val="21"/>
                <w:highlight w:val="none"/>
              </w:rPr>
              <w:t>分值</w:t>
            </w:r>
          </w:p>
        </w:tc>
        <w:tc>
          <w:tcPr>
            <w:tcW w:w="1988" w:type="pct"/>
            <w:tcBorders>
              <w:tl2br w:val="nil"/>
              <w:tr2bl w:val="nil"/>
            </w:tcBorders>
            <w:vAlign w:val="center"/>
          </w:tcPr>
          <w:p>
            <w:pPr>
              <w:widowControl/>
              <w:adjustRightInd w:val="0"/>
              <w:snapToGrid w:val="0"/>
              <w:spacing w:line="360" w:lineRule="auto"/>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396" w:type="pct"/>
            <w:tcBorders>
              <w:tl2br w:val="nil"/>
              <w:tr2bl w:val="nil"/>
            </w:tcBorders>
            <w:vAlign w:val="center"/>
          </w:tcPr>
          <w:p>
            <w:pPr>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1</w:t>
            </w:r>
          </w:p>
        </w:tc>
        <w:tc>
          <w:tcPr>
            <w:tcW w:w="819" w:type="pct"/>
            <w:tcBorders>
              <w:tl2br w:val="nil"/>
              <w:tr2bl w:val="nil"/>
            </w:tcBorders>
            <w:vAlign w:val="center"/>
          </w:tcPr>
          <w:p>
            <w:pPr>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项目总报价</w:t>
            </w:r>
          </w:p>
        </w:tc>
        <w:tc>
          <w:tcPr>
            <w:tcW w:w="1323" w:type="pct"/>
            <w:tcBorders>
              <w:tl2br w:val="nil"/>
              <w:tr2bl w:val="nil"/>
            </w:tcBorders>
            <w:vAlign w:val="center"/>
          </w:tcPr>
          <w:p>
            <w:pPr>
              <w:spacing w:line="280" w:lineRule="exact"/>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rPr>
              <w:t>在商务技术满足基准要求的前提下，项目总报价最低的投标人得满分，第二名得分</w:t>
            </w:r>
            <w:r>
              <w:rPr>
                <w:rFonts w:hint="eastAsia" w:ascii="宋体" w:hAnsi="宋体" w:eastAsia="宋体" w:cs="Times New Roman"/>
                <w:b/>
                <w:bCs w:val="0"/>
                <w:szCs w:val="21"/>
                <w:highlight w:val="none"/>
                <w:lang w:val="en-US" w:eastAsia="zh-CN"/>
              </w:rPr>
              <w:t>80</w:t>
            </w:r>
            <w:r>
              <w:rPr>
                <w:rFonts w:hint="eastAsia" w:ascii="宋体" w:hAnsi="宋体" w:eastAsia="宋体" w:cs="Times New Roman"/>
                <w:b/>
                <w:bCs w:val="0"/>
                <w:szCs w:val="21"/>
                <w:highlight w:val="none"/>
              </w:rPr>
              <w:t>分，第三名得分60分，以此类推。</w:t>
            </w:r>
          </w:p>
        </w:tc>
        <w:tc>
          <w:tcPr>
            <w:tcW w:w="472" w:type="pct"/>
            <w:tcBorders>
              <w:tl2br w:val="nil"/>
              <w:tr2bl w:val="nil"/>
            </w:tcBorders>
            <w:vAlign w:val="center"/>
          </w:tcPr>
          <w:p>
            <w:pPr>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100分</w:t>
            </w:r>
          </w:p>
        </w:tc>
        <w:tc>
          <w:tcPr>
            <w:tcW w:w="1988" w:type="pct"/>
            <w:tcBorders>
              <w:tl2br w:val="nil"/>
              <w:tr2bl w:val="nil"/>
            </w:tcBorders>
            <w:vAlign w:val="center"/>
          </w:tcPr>
          <w:p>
            <w:pPr>
              <w:spacing w:line="280" w:lineRule="exact"/>
              <w:jc w:val="center"/>
              <w:rPr>
                <w:rFonts w:ascii="宋体" w:hAnsi="宋体" w:eastAsia="宋体" w:cs="Times New Roman"/>
                <w:b/>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9" w:type="pct"/>
            <w:gridSpan w:val="3"/>
            <w:tcBorders>
              <w:tl2br w:val="nil"/>
              <w:tr2bl w:val="nil"/>
            </w:tcBorders>
            <w:vAlign w:val="center"/>
          </w:tcPr>
          <w:p>
            <w:pPr>
              <w:widowControl/>
              <w:spacing w:line="400" w:lineRule="exact"/>
              <w:jc w:val="center"/>
              <w:rPr>
                <w:rFonts w:ascii="宋体" w:hAnsi="宋体" w:eastAsia="宋体" w:cs="Arial"/>
                <w:b/>
                <w:bCs w:val="0"/>
                <w:kern w:val="0"/>
                <w:szCs w:val="21"/>
                <w:highlight w:val="none"/>
              </w:rPr>
            </w:pPr>
            <w:r>
              <w:rPr>
                <w:rFonts w:hint="eastAsia" w:ascii="宋体" w:hAnsi="宋体" w:eastAsia="宋体" w:cs="Arial"/>
                <w:b/>
                <w:bCs w:val="0"/>
                <w:kern w:val="0"/>
                <w:szCs w:val="21"/>
                <w:highlight w:val="none"/>
              </w:rPr>
              <w:t>合计</w:t>
            </w:r>
          </w:p>
        </w:tc>
        <w:tc>
          <w:tcPr>
            <w:tcW w:w="472" w:type="pct"/>
            <w:tcBorders>
              <w:tl2br w:val="nil"/>
              <w:tr2bl w:val="nil"/>
            </w:tcBorders>
            <w:vAlign w:val="center"/>
          </w:tcPr>
          <w:p>
            <w:pPr>
              <w:widowControl/>
              <w:spacing w:line="400" w:lineRule="exact"/>
              <w:jc w:val="center"/>
              <w:rPr>
                <w:rFonts w:ascii="宋体" w:hAnsi="宋体" w:eastAsia="宋体" w:cs="Arial"/>
                <w:b/>
                <w:bCs w:val="0"/>
                <w:kern w:val="0"/>
                <w:szCs w:val="21"/>
                <w:highlight w:val="none"/>
              </w:rPr>
            </w:pPr>
            <w:r>
              <w:rPr>
                <w:rFonts w:hint="eastAsia" w:ascii="宋体" w:hAnsi="宋体" w:eastAsia="宋体" w:cs="Arial"/>
                <w:b/>
                <w:bCs w:val="0"/>
                <w:kern w:val="0"/>
                <w:szCs w:val="21"/>
                <w:highlight w:val="none"/>
              </w:rPr>
              <w:t>100分</w:t>
            </w:r>
          </w:p>
        </w:tc>
        <w:tc>
          <w:tcPr>
            <w:tcW w:w="1988" w:type="pct"/>
            <w:tcBorders>
              <w:tl2br w:val="nil"/>
              <w:tr2bl w:val="nil"/>
            </w:tcBorders>
            <w:vAlign w:val="center"/>
          </w:tcPr>
          <w:p>
            <w:pPr>
              <w:widowControl/>
              <w:spacing w:line="400" w:lineRule="exact"/>
              <w:jc w:val="center"/>
              <w:rPr>
                <w:rFonts w:ascii="宋体" w:hAnsi="宋体" w:eastAsia="宋体" w:cs="Arial"/>
                <w:b/>
                <w:bCs w:val="0"/>
                <w:kern w:val="0"/>
                <w:szCs w:val="21"/>
                <w:highlight w:val="none"/>
              </w:rPr>
            </w:pPr>
          </w:p>
        </w:tc>
      </w:tr>
    </w:tbl>
    <w:p>
      <w:pPr>
        <w:widowControl/>
        <w:adjustRightInd w:val="0"/>
        <w:snapToGrid w:val="0"/>
        <w:spacing w:line="360" w:lineRule="auto"/>
        <w:jc w:val="center"/>
        <w:rPr>
          <w:rFonts w:ascii="Times New Roman" w:hAnsi="Times New Roman" w:eastAsia="宋体" w:cs="Times New Roman"/>
          <w:b/>
          <w:bCs w:val="0"/>
          <w:sz w:val="24"/>
          <w:szCs w:val="24"/>
          <w:highlight w:val="none"/>
        </w:rPr>
      </w:pPr>
    </w:p>
    <w:p>
      <w:pPr>
        <w:widowControl/>
        <w:adjustRightInd w:val="0"/>
        <w:snapToGrid w:val="0"/>
        <w:spacing w:line="24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说明：</w:t>
      </w:r>
    </w:p>
    <w:p>
      <w:pPr>
        <w:widowControl/>
        <w:adjustRightInd w:val="0"/>
        <w:snapToGrid w:val="0"/>
        <w:spacing w:line="28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(1)评标价格的计算：</w:t>
      </w:r>
    </w:p>
    <w:p>
      <w:pPr>
        <w:widowControl/>
        <w:adjustRightInd w:val="0"/>
        <w:snapToGrid w:val="0"/>
        <w:spacing w:line="280" w:lineRule="exact"/>
        <w:rPr>
          <w:rFonts w:ascii="Times New Roman" w:hAnsi="Times New Roman" w:eastAsia="宋体" w:cs="Times New Roman"/>
          <w:b/>
          <w:bCs w:val="0"/>
          <w:szCs w:val="24"/>
          <w:highlight w:val="none"/>
        </w:rPr>
      </w:pPr>
      <w:r>
        <w:rPr>
          <w:rFonts w:hint="eastAsia" w:ascii="Times New Roman" w:hAnsi="Times New Roman" w:eastAsia="宋体" w:cs="Times New Roman"/>
          <w:b/>
          <w:bCs w:val="0"/>
          <w:szCs w:val="24"/>
          <w:highlight w:val="none"/>
        </w:rPr>
        <w:t>(2)投标文件存在投标报价问题的，进行投标报价的算术修正，投标报价算术修正具体原则为：</w:t>
      </w:r>
    </w:p>
    <w:p>
      <w:pPr>
        <w:widowControl/>
        <w:adjustRightInd w:val="0"/>
        <w:snapToGrid w:val="0"/>
        <w:spacing w:line="280" w:lineRule="exact"/>
        <w:rPr>
          <w:rFonts w:ascii="Times New Roman" w:hAnsi="Times New Roman" w:eastAsia="宋体" w:cs="Times New Roman"/>
          <w:b/>
          <w:bCs w:val="0"/>
          <w:szCs w:val="24"/>
          <w:highlight w:val="none"/>
        </w:rPr>
      </w:pPr>
      <w:r>
        <w:rPr>
          <w:rFonts w:hint="eastAsia" w:ascii="Times New Roman" w:hAnsi="Times New Roman" w:eastAsia="宋体" w:cs="Times New Roman"/>
          <w:b/>
          <w:bCs w:val="0"/>
          <w:szCs w:val="24"/>
          <w:highlight w:val="none"/>
        </w:rPr>
        <w:t>1）若投标报价一览表中投标价与投标文件中投标价格不一致，以投标报价一览表为准；</w:t>
      </w:r>
    </w:p>
    <w:p>
      <w:pPr>
        <w:widowControl/>
        <w:adjustRightInd w:val="0"/>
        <w:snapToGrid w:val="0"/>
        <w:spacing w:line="280" w:lineRule="exact"/>
        <w:rPr>
          <w:rFonts w:ascii="Times New Roman" w:hAnsi="Times New Roman" w:eastAsia="宋体" w:cs="Times New Roman"/>
          <w:b/>
          <w:bCs w:val="0"/>
          <w:szCs w:val="24"/>
          <w:highlight w:val="none"/>
        </w:rPr>
      </w:pPr>
      <w:r>
        <w:rPr>
          <w:rFonts w:hint="eastAsia" w:ascii="Times New Roman" w:hAnsi="Times New Roman" w:eastAsia="宋体" w:cs="Times New Roman"/>
          <w:b/>
          <w:bCs w:val="0"/>
          <w:szCs w:val="24"/>
          <w:highlight w:val="none"/>
        </w:rPr>
        <w:t>2）当小写金额与大写金额有差异时，以大写金额为准（有明显错误的除外）；</w:t>
      </w:r>
    </w:p>
    <w:p>
      <w:pPr>
        <w:widowControl/>
        <w:adjustRightInd w:val="0"/>
        <w:snapToGrid w:val="0"/>
        <w:spacing w:line="280" w:lineRule="exact"/>
        <w:rPr>
          <w:rFonts w:ascii="Times New Roman" w:hAnsi="Times New Roman" w:eastAsia="宋体" w:cs="Times New Roman"/>
          <w:b/>
          <w:bCs w:val="0"/>
          <w:szCs w:val="24"/>
          <w:highlight w:val="none"/>
        </w:rPr>
      </w:pPr>
      <w:r>
        <w:rPr>
          <w:rFonts w:hint="eastAsia" w:ascii="Times New Roman" w:hAnsi="Times New Roman" w:eastAsia="宋体" w:cs="Times New Roman"/>
          <w:b/>
          <w:bCs w:val="0"/>
          <w:szCs w:val="24"/>
          <w:highlight w:val="none"/>
        </w:rPr>
        <w:t>3）单价金额小数点有明显错位的，应以总价为准，并修改单价；</w:t>
      </w:r>
    </w:p>
    <w:p>
      <w:pPr>
        <w:widowControl/>
        <w:adjustRightInd w:val="0"/>
        <w:snapToGrid w:val="0"/>
        <w:spacing w:line="28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4"/>
          <w:highlight w:val="none"/>
        </w:rPr>
        <w:t>4）投标报价为各分项报价金额之和，总价金额与依据单价计算出的结果不一致的，以单价</w:t>
      </w:r>
      <w:r>
        <w:rPr>
          <w:rFonts w:hint="eastAsia" w:ascii="Times New Roman" w:hAnsi="Times New Roman" w:eastAsia="宋体" w:cs="Times New Roman"/>
          <w:b/>
          <w:bCs w:val="0"/>
          <w:szCs w:val="21"/>
          <w:highlight w:val="none"/>
        </w:rPr>
        <w:t>合同金额以经修正后的投标报价为准，缺漏项部分由投标人自行承担。</w:t>
      </w:r>
    </w:p>
    <w:p>
      <w:pPr>
        <w:widowControl/>
        <w:adjustRightInd w:val="0"/>
        <w:snapToGrid w:val="0"/>
        <w:spacing w:line="28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(3)价格标评分的计算：</w:t>
      </w:r>
    </w:p>
    <w:p>
      <w:pPr>
        <w:widowControl/>
        <w:adjustRightInd w:val="0"/>
        <w:snapToGrid w:val="0"/>
        <w:spacing w:line="28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评标专家组按附表2-1《价格标评分方法》进行评分。</w:t>
      </w:r>
    </w:p>
    <w:p>
      <w:pPr>
        <w:widowControl/>
        <w:adjustRightInd w:val="0"/>
        <w:snapToGrid w:val="0"/>
        <w:spacing w:line="280" w:lineRule="exact"/>
        <w:rPr>
          <w:rFonts w:ascii="Times New Roman" w:hAnsi="Times New Roman" w:eastAsia="宋体" w:cs="Times New Roman"/>
          <w:b/>
          <w:bCs w:val="0"/>
          <w:szCs w:val="24"/>
          <w:highlight w:val="none"/>
          <w:shd w:val="clear" w:color="auto" w:fill="FFFF00"/>
        </w:rPr>
      </w:pPr>
      <w:r>
        <w:rPr>
          <w:rFonts w:hint="eastAsia" w:ascii="Times New Roman" w:hAnsi="Times New Roman" w:eastAsia="宋体" w:cs="Times New Roman"/>
          <w:b/>
          <w:bCs w:val="0"/>
          <w:szCs w:val="24"/>
          <w:highlight w:val="none"/>
        </w:rPr>
        <w:t>经以上算法得出的数值即为投标人的价格得分（计算过程及计算结果四舍五入保留小数点后两位）。价格得分为负数时，计为0分。</w:t>
      </w:r>
    </w:p>
    <w:p>
      <w:pPr>
        <w:widowControl/>
        <w:adjustRightInd w:val="0"/>
        <w:snapToGrid w:val="0"/>
        <w:spacing w:line="360" w:lineRule="auto"/>
        <w:rPr>
          <w:rFonts w:ascii="Times New Roman" w:hAnsi="Times New Roman" w:eastAsia="宋体" w:cs="Times New Roman"/>
          <w:b/>
          <w:bCs w:val="0"/>
          <w:color w:val="FF000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r>
        <w:rPr>
          <w:rFonts w:ascii="Times New Roman" w:hAnsi="Times New Roman" w:eastAsia="宋体" w:cs="Times New Roman"/>
          <w:b/>
          <w:bCs w:val="0"/>
          <w:szCs w:val="24"/>
          <w:highlight w:val="none"/>
        </w:rPr>
        <w:br w:type="page"/>
      </w:r>
    </w:p>
    <w:p>
      <w:pPr>
        <w:keepNext/>
        <w:keepLines/>
        <w:widowControl/>
        <w:numPr>
          <w:ilvl w:val="3"/>
          <w:numId w:val="0"/>
        </w:numPr>
        <w:adjustRightInd w:val="0"/>
        <w:snapToGrid w:val="0"/>
        <w:spacing w:line="360" w:lineRule="auto"/>
        <w:ind w:firstLine="442" w:firstLineChars="200"/>
        <w:outlineLvl w:val="3"/>
        <w:rPr>
          <w:rFonts w:ascii="Times New Roman" w:hAnsi="Times New Roman" w:eastAsia="宋体" w:cs="Times New Roman"/>
          <w:b/>
          <w:bCs w:val="0"/>
          <w:sz w:val="22"/>
          <w:szCs w:val="24"/>
          <w:highlight w:val="none"/>
        </w:rPr>
      </w:pPr>
      <w:r>
        <w:rPr>
          <w:rFonts w:hint="eastAsia" w:ascii="Times New Roman" w:hAnsi="Times New Roman" w:eastAsia="宋体" w:cs="Times New Roman"/>
          <w:b/>
          <w:bCs w:val="0"/>
          <w:sz w:val="22"/>
          <w:szCs w:val="24"/>
          <w:highlight w:val="none"/>
        </w:rPr>
        <w:t>附表3-1 《商务技术标、价格标权重表》</w:t>
      </w:r>
    </w:p>
    <w:p>
      <w:pPr>
        <w:keepNext/>
        <w:keepLines/>
        <w:widowControl/>
        <w:numPr>
          <w:ilvl w:val="3"/>
          <w:numId w:val="0"/>
        </w:numPr>
        <w:adjustRightInd w:val="0"/>
        <w:snapToGrid w:val="0"/>
        <w:spacing w:line="360" w:lineRule="auto"/>
        <w:ind w:firstLine="442" w:firstLineChars="200"/>
        <w:outlineLvl w:val="3"/>
        <w:rPr>
          <w:rFonts w:ascii="Times New Roman" w:hAnsi="Times New Roman" w:eastAsia="宋体" w:cs="Times New Roman"/>
          <w:b/>
          <w:bCs w:val="0"/>
          <w:sz w:val="22"/>
          <w:szCs w:val="24"/>
          <w:highlight w:val="none"/>
        </w:rPr>
      </w:pPr>
    </w:p>
    <w:p>
      <w:pPr>
        <w:widowControl/>
        <w:adjustRightInd w:val="0"/>
        <w:snapToGrid w:val="0"/>
        <w:spacing w:line="360" w:lineRule="auto"/>
        <w:jc w:val="center"/>
        <w:rPr>
          <w:rFonts w:ascii="Times New Roman" w:hAnsi="Times New Roman" w:eastAsia="宋体" w:cs="Times New Roman"/>
          <w:b/>
          <w:bCs w:val="0"/>
          <w:sz w:val="28"/>
          <w:szCs w:val="36"/>
          <w:highlight w:val="none"/>
        </w:rPr>
      </w:pPr>
      <w:r>
        <w:rPr>
          <w:rFonts w:hint="eastAsia" w:ascii="Times New Roman" w:hAnsi="Times New Roman" w:eastAsia="宋体" w:cs="Times New Roman"/>
          <w:b/>
          <w:bCs w:val="0"/>
          <w:sz w:val="28"/>
          <w:szCs w:val="36"/>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Cs w:val="24"/>
                <w:highlight w:val="none"/>
              </w:rPr>
            </w:pPr>
            <w:r>
              <w:rPr>
                <w:rFonts w:hint="eastAsia" w:ascii="宋体" w:hAnsi="宋体" w:eastAsia="宋体" w:cs="宋体"/>
                <w:b/>
                <w:bCs w:val="0"/>
                <w:szCs w:val="24"/>
                <w:highlight w:val="none"/>
              </w:rPr>
              <w:t>权重名称</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Cs w:val="24"/>
                <w:highlight w:val="none"/>
              </w:rPr>
            </w:pPr>
            <w:r>
              <w:rPr>
                <w:rFonts w:hint="eastAsia" w:ascii="宋体" w:hAnsi="宋体" w:eastAsia="宋体" w:cs="宋体"/>
                <w:b/>
                <w:bCs w:val="0"/>
                <w:szCs w:val="24"/>
                <w:highlight w:val="none"/>
              </w:rPr>
              <w:t>商务技术权重</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Cs w:val="24"/>
                <w:highlight w:val="none"/>
              </w:rPr>
            </w:pPr>
            <w:r>
              <w:rPr>
                <w:rFonts w:hint="eastAsia" w:ascii="宋体" w:hAnsi="宋体" w:eastAsia="宋体" w:cs="宋体"/>
                <w:b/>
                <w:bCs w:val="0"/>
                <w:szCs w:val="24"/>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 w:val="22"/>
                <w:szCs w:val="28"/>
                <w:highlight w:val="none"/>
              </w:rPr>
            </w:pPr>
            <w:r>
              <w:rPr>
                <w:rFonts w:hint="eastAsia" w:ascii="宋体" w:hAnsi="宋体" w:eastAsia="宋体" w:cs="宋体"/>
                <w:b/>
                <w:bCs w:val="0"/>
                <w:sz w:val="22"/>
                <w:szCs w:val="28"/>
                <w:highlight w:val="none"/>
              </w:rPr>
              <w:t>权重</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 w:val="22"/>
                <w:szCs w:val="28"/>
                <w:highlight w:val="none"/>
              </w:rPr>
            </w:pPr>
            <w:r>
              <w:rPr>
                <w:rFonts w:hint="eastAsia" w:ascii="宋体" w:hAnsi="宋体" w:eastAsia="宋体" w:cs="宋体"/>
                <w:b/>
                <w:bCs w:val="0"/>
                <w:sz w:val="22"/>
                <w:szCs w:val="28"/>
                <w:highlight w:val="none"/>
              </w:rPr>
              <w:t>50%</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 w:val="22"/>
                <w:szCs w:val="28"/>
                <w:highlight w:val="none"/>
              </w:rPr>
            </w:pPr>
            <w:r>
              <w:rPr>
                <w:rFonts w:hint="eastAsia" w:ascii="宋体" w:hAnsi="宋体" w:eastAsia="宋体" w:cs="宋体"/>
                <w:b/>
                <w:bCs w:val="0"/>
                <w:sz w:val="22"/>
                <w:szCs w:val="28"/>
                <w:highlight w:val="none"/>
                <w:lang w:val="en-US" w:eastAsia="zh-CN"/>
              </w:rPr>
              <w:t>5</w:t>
            </w:r>
            <w:r>
              <w:rPr>
                <w:rFonts w:hint="eastAsia" w:ascii="宋体" w:hAnsi="宋体" w:eastAsia="宋体" w:cs="宋体"/>
                <w:b/>
                <w:bCs w:val="0"/>
                <w:sz w:val="22"/>
                <w:szCs w:val="28"/>
                <w:highlight w:val="none"/>
              </w:rPr>
              <w:t>0%</w:t>
            </w:r>
          </w:p>
        </w:tc>
      </w:tr>
    </w:tbl>
    <w:p>
      <w:pPr>
        <w:widowControl/>
        <w:adjustRightInd w:val="0"/>
        <w:snapToGrid w:val="0"/>
        <w:spacing w:line="360" w:lineRule="auto"/>
        <w:rPr>
          <w:rFonts w:ascii="Times New Roman" w:hAnsi="Times New Roman" w:eastAsia="宋体" w:cs="Times New Roman"/>
          <w:b/>
          <w:bCs w:val="0"/>
          <w:szCs w:val="24"/>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pStyle w:val="3"/>
        <w:spacing w:line="480" w:lineRule="exact"/>
        <w:jc w:val="center"/>
        <w:rPr>
          <w:rFonts w:ascii="宋体" w:hAnsi="宋体" w:eastAsia="宋体" w:cs="宋体"/>
          <w:b/>
          <w:bCs w:val="0"/>
          <w:sz w:val="28"/>
          <w:szCs w:val="28"/>
          <w:highlight w:val="none"/>
        </w:rPr>
      </w:pPr>
      <w:bookmarkStart w:id="37" w:name="_Toc20829"/>
      <w:bookmarkStart w:id="38" w:name="_Toc22811"/>
      <w:r>
        <w:rPr>
          <w:rFonts w:hint="eastAsia" w:ascii="宋体" w:hAnsi="宋体" w:eastAsia="宋体" w:cs="宋体"/>
          <w:b/>
          <w:bCs w:val="0"/>
          <w:sz w:val="28"/>
          <w:szCs w:val="28"/>
          <w:highlight w:val="none"/>
        </w:rPr>
        <w:t>第三章 合同条款</w:t>
      </w:r>
      <w:bookmarkEnd w:id="37"/>
      <w:bookmarkEnd w:id="38"/>
    </w:p>
    <w:p>
      <w:pPr>
        <w:spacing w:line="380" w:lineRule="exact"/>
        <w:rPr>
          <w:rFonts w:ascii="黑体" w:hAnsi="宋体" w:eastAsia="黑体"/>
          <w:b/>
          <w:bCs w:val="0"/>
          <w:sz w:val="52"/>
          <w:szCs w:val="52"/>
          <w:highlight w:val="none"/>
        </w:rPr>
      </w:pPr>
    </w:p>
    <w:p>
      <w:pPr>
        <w:jc w:val="center"/>
        <w:rPr>
          <w:rFonts w:ascii="黑体" w:hAnsi="宋体" w:eastAsia="黑体"/>
          <w:b/>
          <w:bCs w:val="0"/>
          <w:sz w:val="52"/>
          <w:szCs w:val="52"/>
          <w:highlight w:val="none"/>
        </w:rPr>
      </w:pPr>
    </w:p>
    <w:p>
      <w:pPr>
        <w:spacing w:line="800" w:lineRule="exact"/>
        <w:jc w:val="center"/>
        <w:rPr>
          <w:rFonts w:ascii="黑体" w:hAnsi="黑体" w:eastAsia="黑体" w:cs="黑体"/>
          <w:b/>
          <w:bCs w:val="0"/>
          <w:sz w:val="44"/>
          <w:szCs w:val="44"/>
          <w:highlight w:val="none"/>
        </w:rPr>
      </w:pPr>
      <w:r>
        <w:rPr>
          <w:rFonts w:hint="eastAsia" w:ascii="黑体" w:hAnsi="黑体" w:eastAsia="黑体" w:cs="黑体"/>
          <w:b/>
          <w:bCs w:val="0"/>
          <w:sz w:val="44"/>
          <w:szCs w:val="44"/>
          <w:highlight w:val="none"/>
        </w:rPr>
        <w:t>深圳市鹏劳人力资源管理有限公司</w:t>
      </w:r>
    </w:p>
    <w:p>
      <w:pPr>
        <w:spacing w:line="800" w:lineRule="exact"/>
        <w:ind w:firstLine="2209" w:firstLineChars="500"/>
        <w:rPr>
          <w:rFonts w:ascii="黑体" w:hAnsi="黑体" w:eastAsia="黑体" w:cs="黑体"/>
          <w:b/>
          <w:bCs w:val="0"/>
          <w:sz w:val="44"/>
          <w:szCs w:val="44"/>
          <w:highlight w:val="none"/>
        </w:rPr>
      </w:pPr>
      <w:r>
        <w:rPr>
          <w:rFonts w:hint="eastAsia" w:ascii="黑体" w:hAnsi="黑体" w:eastAsia="黑体" w:cs="黑体"/>
          <w:b/>
          <w:bCs w:val="0"/>
          <w:sz w:val="44"/>
          <w:szCs w:val="44"/>
          <w:highlight w:val="none"/>
          <w:lang w:eastAsia="zh-CN"/>
        </w:rPr>
        <w:t>员工年度健康</w:t>
      </w:r>
      <w:r>
        <w:rPr>
          <w:rFonts w:hint="eastAsia" w:ascii="黑体" w:hAnsi="黑体" w:eastAsia="黑体" w:cs="黑体"/>
          <w:b/>
          <w:bCs w:val="0"/>
          <w:sz w:val="44"/>
          <w:szCs w:val="44"/>
          <w:highlight w:val="none"/>
        </w:rPr>
        <w:t>体检服务合同</w:t>
      </w:r>
    </w:p>
    <w:p>
      <w:pPr>
        <w:spacing w:line="480" w:lineRule="exact"/>
        <w:rPr>
          <w:rFonts w:ascii="宋体" w:hAnsi="宋体" w:eastAsia="宋体" w:cs="宋体"/>
          <w:b/>
          <w:bCs w:val="0"/>
          <w:sz w:val="28"/>
          <w:szCs w:val="28"/>
          <w:highlight w:val="none"/>
        </w:rPr>
      </w:pPr>
    </w:p>
    <w:p>
      <w:pPr>
        <w:spacing w:line="480" w:lineRule="exact"/>
        <w:rPr>
          <w:rFonts w:ascii="宋体" w:hAnsi="宋体" w:eastAsia="宋体" w:cs="宋体"/>
          <w:b/>
          <w:bCs w:val="0"/>
          <w:sz w:val="28"/>
          <w:szCs w:val="28"/>
          <w:highlight w:val="none"/>
        </w:rPr>
      </w:pPr>
    </w:p>
    <w:p>
      <w:pPr>
        <w:spacing w:line="480" w:lineRule="exact"/>
        <w:rPr>
          <w:rFonts w:ascii="宋体" w:hAnsi="宋体" w:eastAsia="宋体" w:cs="宋体"/>
          <w:b/>
          <w:bCs w:val="0"/>
          <w:sz w:val="28"/>
          <w:szCs w:val="28"/>
          <w:highlight w:val="none"/>
        </w:rPr>
      </w:pPr>
      <w:bookmarkStart w:id="39" w:name="_Toc27794"/>
      <w:r>
        <w:rPr>
          <w:rFonts w:hint="eastAsia" w:ascii="宋体" w:hAnsi="宋体" w:eastAsia="宋体" w:cs="宋体"/>
          <w:b/>
          <w:bCs w:val="0"/>
          <w:sz w:val="28"/>
          <w:szCs w:val="28"/>
          <w:highlight w:val="none"/>
        </w:rPr>
        <w:t xml:space="preserve">甲方：深圳市鹏劳人力资源管理有限公司 </w:t>
      </w: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地址：深圳市罗湖区桂园路红围街19号</w:t>
      </w:r>
      <w:r>
        <w:rPr>
          <w:rFonts w:hint="eastAsia" w:ascii="宋体" w:hAnsi="宋体" w:eastAsia="宋体" w:cs="宋体"/>
          <w:b/>
          <w:bCs w:val="0"/>
          <w:sz w:val="28"/>
          <w:szCs w:val="28"/>
          <w:highlight w:val="none"/>
        </w:rPr>
        <w:tab/>
      </w: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联系人及电话： </w:t>
      </w:r>
    </w:p>
    <w:p>
      <w:pPr>
        <w:spacing w:line="480" w:lineRule="exact"/>
        <w:rPr>
          <w:rFonts w:ascii="宋体" w:hAnsi="宋体" w:eastAsia="宋体" w:cs="宋体"/>
          <w:b/>
          <w:bCs w:val="0"/>
          <w:sz w:val="28"/>
          <w:szCs w:val="28"/>
          <w:highlight w:val="none"/>
        </w:rPr>
      </w:pP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乙方： </w:t>
      </w: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地址： </w:t>
      </w: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联系人及电话： </w:t>
      </w:r>
    </w:p>
    <w:p>
      <w:pPr>
        <w:spacing w:line="480" w:lineRule="exact"/>
        <w:ind w:firstLine="641" w:firstLineChars="228"/>
        <w:rPr>
          <w:rFonts w:ascii="宋体" w:hAnsi="宋体" w:eastAsia="宋体" w:cs="宋体"/>
          <w:b/>
          <w:bCs w:val="0"/>
          <w:sz w:val="28"/>
          <w:szCs w:val="28"/>
          <w:highlight w:val="none"/>
        </w:rPr>
      </w:pP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甲方经招标采购程序，确定乙方为甲方202</w:t>
      </w:r>
      <w:r>
        <w:rPr>
          <w:rFonts w:hint="eastAsia" w:ascii="宋体" w:hAnsi="宋体" w:eastAsia="宋体" w:cs="宋体"/>
          <w:b/>
          <w:bCs w:val="0"/>
          <w:sz w:val="28"/>
          <w:szCs w:val="28"/>
          <w:highlight w:val="none"/>
          <w:lang w:val="en-US" w:eastAsia="zh-CN"/>
        </w:rPr>
        <w:t>1</w:t>
      </w:r>
      <w:r>
        <w:rPr>
          <w:rFonts w:hint="eastAsia" w:ascii="宋体" w:hAnsi="宋体" w:eastAsia="宋体" w:cs="宋体"/>
          <w:b/>
          <w:bCs w:val="0"/>
          <w:sz w:val="28"/>
          <w:szCs w:val="28"/>
          <w:highlight w:val="none"/>
        </w:rPr>
        <w:t>年度</w:t>
      </w:r>
      <w:r>
        <w:rPr>
          <w:rFonts w:hint="eastAsia" w:ascii="宋体" w:hAnsi="宋体" w:eastAsia="宋体" w:cs="宋体"/>
          <w:b/>
          <w:bCs w:val="0"/>
          <w:sz w:val="28"/>
          <w:szCs w:val="28"/>
          <w:highlight w:val="none"/>
          <w:lang w:eastAsia="zh-CN"/>
        </w:rPr>
        <w:t>员工健康</w:t>
      </w:r>
      <w:r>
        <w:rPr>
          <w:rFonts w:hint="eastAsia" w:ascii="宋体" w:hAnsi="宋体" w:eastAsia="宋体" w:cs="宋体"/>
          <w:b/>
          <w:bCs w:val="0"/>
          <w:sz w:val="28"/>
          <w:szCs w:val="28"/>
          <w:highlight w:val="none"/>
        </w:rPr>
        <w:t>体检采购项目（项目编号：PLHR-ZB-FW-202</w:t>
      </w:r>
      <w:r>
        <w:rPr>
          <w:rFonts w:hint="eastAsia" w:ascii="宋体" w:hAnsi="宋体" w:eastAsia="宋体" w:cs="宋体"/>
          <w:b/>
          <w:bCs w:val="0"/>
          <w:sz w:val="28"/>
          <w:szCs w:val="28"/>
          <w:highlight w:val="none"/>
          <w:lang w:val="en-US" w:eastAsia="zh-CN"/>
        </w:rPr>
        <w:t>107</w:t>
      </w:r>
      <w:r>
        <w:rPr>
          <w:rFonts w:hint="eastAsia" w:ascii="宋体" w:hAnsi="宋体" w:eastAsia="宋体" w:cs="宋体"/>
          <w:b/>
          <w:bCs w:val="0"/>
          <w:sz w:val="28"/>
          <w:szCs w:val="28"/>
          <w:highlight w:val="none"/>
        </w:rPr>
        <w:t>）中标方，双方本着平等合作、互惠互利的原则订立本服务合同，就乙方为甲方</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提供体检服务事宜约定如下：</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一、乙方义务</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1.乙方按甲方项目编号为PLHR-ZB-FW-202</w:t>
      </w:r>
      <w:r>
        <w:rPr>
          <w:rFonts w:hint="eastAsia" w:ascii="宋体" w:hAnsi="宋体" w:eastAsia="宋体" w:cs="宋体"/>
          <w:b/>
          <w:bCs w:val="0"/>
          <w:sz w:val="28"/>
          <w:szCs w:val="28"/>
          <w:highlight w:val="none"/>
          <w:lang w:val="en-US" w:eastAsia="zh-CN"/>
        </w:rPr>
        <w:t>107</w:t>
      </w:r>
      <w:r>
        <w:rPr>
          <w:rFonts w:hint="eastAsia" w:ascii="宋体" w:hAnsi="宋体" w:eastAsia="宋体" w:cs="宋体"/>
          <w:b/>
          <w:bCs w:val="0"/>
          <w:sz w:val="28"/>
          <w:szCs w:val="28"/>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2.乙方提供以下有效收款账户作为体检费用结算账户（中标人填写）</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收款单位：</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收款银行：</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银行账号：</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3.乙方应向甲方开具符合国家法律法规规定的</w:t>
      </w:r>
      <w:r>
        <w:rPr>
          <w:rFonts w:hint="eastAsia" w:ascii="宋体" w:hAnsi="宋体" w:eastAsia="宋体" w:cs="宋体"/>
          <w:b/>
          <w:bCs w:val="0"/>
          <w:sz w:val="28"/>
          <w:szCs w:val="28"/>
          <w:highlight w:val="none"/>
          <w:lang w:eastAsia="zh-CN"/>
        </w:rPr>
        <w:t>票据</w:t>
      </w:r>
      <w:r>
        <w:rPr>
          <w:rFonts w:hint="eastAsia" w:ascii="宋体" w:hAnsi="宋体" w:eastAsia="宋体" w:cs="宋体"/>
          <w:b/>
          <w:bCs w:val="0"/>
          <w:sz w:val="28"/>
          <w:szCs w:val="28"/>
          <w:highlight w:val="none"/>
        </w:rPr>
        <w:t>，并提供实际到检人员名单及标准明细以便甲方实施体检费用结算。</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4.乙方为甲方员工预留的企业员工体检服务期限为</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（待招标确定）</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二、甲方义务</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1.向乙方指定接口人提供应体检人员的必要个人信息；</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2.体检报告由甲方体检人员自取，乙方于体检完成的15个工作日内提供已出具的体检人电子报告至甲方。</w:t>
      </w:r>
    </w:p>
    <w:p>
      <w:pPr>
        <w:spacing w:line="480" w:lineRule="exact"/>
        <w:ind w:firstLine="641" w:firstLineChars="228"/>
        <w:rPr>
          <w:rFonts w:hint="eastAsia" w:ascii="宋体" w:hAnsi="宋体" w:eastAsia="宋体" w:cs="宋体"/>
          <w:b/>
          <w:bCs w:val="0"/>
          <w:sz w:val="32"/>
          <w:szCs w:val="32"/>
          <w:highlight w:val="none"/>
        </w:rPr>
      </w:pPr>
      <w:r>
        <w:rPr>
          <w:rFonts w:hint="eastAsia" w:ascii="宋体" w:hAnsi="宋体" w:eastAsia="宋体" w:cs="宋体"/>
          <w:b/>
          <w:bCs w:val="0"/>
          <w:sz w:val="28"/>
          <w:szCs w:val="28"/>
          <w:highlight w:val="none"/>
        </w:rPr>
        <w:t>3.乙方履行本合同第</w:t>
      </w:r>
      <w:r>
        <w:rPr>
          <w:rFonts w:hint="eastAsia" w:ascii="宋体" w:hAnsi="宋体" w:eastAsia="宋体" w:cs="宋体"/>
          <w:b/>
          <w:bCs w:val="0"/>
          <w:sz w:val="28"/>
          <w:szCs w:val="28"/>
          <w:highlight w:val="none"/>
          <w:lang w:eastAsia="zh-CN"/>
        </w:rPr>
        <w:t>一</w:t>
      </w:r>
      <w:r>
        <w:rPr>
          <w:rFonts w:hint="eastAsia" w:ascii="宋体" w:hAnsi="宋体" w:eastAsia="宋体" w:cs="宋体"/>
          <w:b/>
          <w:bCs w:val="0"/>
          <w:sz w:val="28"/>
          <w:szCs w:val="28"/>
          <w:highlight w:val="none"/>
        </w:rPr>
        <w:t>条第2、3款义务后，由甲方在收到</w:t>
      </w:r>
      <w:r>
        <w:rPr>
          <w:rFonts w:hint="eastAsia" w:ascii="宋体" w:hAnsi="宋体" w:eastAsia="宋体" w:cs="宋体"/>
          <w:b/>
          <w:bCs w:val="0"/>
          <w:sz w:val="28"/>
          <w:szCs w:val="28"/>
          <w:highlight w:val="none"/>
          <w:lang w:eastAsia="zh-CN"/>
        </w:rPr>
        <w:t>票据</w:t>
      </w:r>
      <w:r>
        <w:rPr>
          <w:rFonts w:hint="eastAsia" w:ascii="宋体" w:hAnsi="宋体" w:eastAsia="宋体" w:cs="宋体"/>
          <w:b/>
          <w:bCs w:val="0"/>
          <w:sz w:val="28"/>
          <w:szCs w:val="28"/>
          <w:highlight w:val="none"/>
          <w:lang w:val="en-US" w:eastAsia="zh-CN"/>
        </w:rPr>
        <w:t>5</w:t>
      </w:r>
      <w:r>
        <w:rPr>
          <w:rFonts w:hint="eastAsia" w:ascii="宋体" w:hAnsi="宋体" w:eastAsia="宋体" w:cs="宋体"/>
          <w:b/>
          <w:bCs w:val="0"/>
          <w:sz w:val="28"/>
          <w:szCs w:val="28"/>
          <w:highlight w:val="none"/>
        </w:rPr>
        <w:t>个工作日内将体检费用转账至</w:t>
      </w:r>
      <w:r>
        <w:rPr>
          <w:rFonts w:hint="eastAsia" w:ascii="宋体" w:hAnsi="宋体" w:eastAsia="宋体" w:cs="宋体"/>
          <w:b/>
          <w:bCs w:val="0"/>
          <w:sz w:val="28"/>
          <w:szCs w:val="28"/>
          <w:highlight w:val="none"/>
          <w:lang w:eastAsia="zh-CN"/>
        </w:rPr>
        <w:t>本合同</w:t>
      </w:r>
      <w:r>
        <w:rPr>
          <w:rFonts w:hint="eastAsia" w:ascii="宋体" w:hAnsi="宋体" w:eastAsia="宋体" w:cs="宋体"/>
          <w:b/>
          <w:bCs w:val="0"/>
          <w:sz w:val="28"/>
          <w:szCs w:val="28"/>
          <w:highlight w:val="none"/>
        </w:rPr>
        <w:t>第</w:t>
      </w:r>
      <w:r>
        <w:rPr>
          <w:rFonts w:hint="eastAsia" w:ascii="宋体" w:hAnsi="宋体" w:eastAsia="宋体" w:cs="宋体"/>
          <w:b/>
          <w:bCs w:val="0"/>
          <w:sz w:val="28"/>
          <w:szCs w:val="28"/>
          <w:highlight w:val="none"/>
          <w:lang w:eastAsia="zh-CN"/>
        </w:rPr>
        <w:t>一</w:t>
      </w:r>
      <w:r>
        <w:rPr>
          <w:rFonts w:hint="eastAsia" w:ascii="宋体" w:hAnsi="宋体" w:eastAsia="宋体" w:cs="宋体"/>
          <w:b/>
          <w:bCs w:val="0"/>
          <w:sz w:val="28"/>
          <w:szCs w:val="28"/>
          <w:highlight w:val="none"/>
        </w:rPr>
        <w:t>条第2款</w:t>
      </w:r>
      <w:r>
        <w:rPr>
          <w:rFonts w:hint="eastAsia" w:ascii="宋体" w:hAnsi="宋体" w:eastAsia="宋体" w:cs="宋体"/>
          <w:b/>
          <w:bCs w:val="0"/>
          <w:sz w:val="28"/>
          <w:szCs w:val="28"/>
          <w:highlight w:val="none"/>
          <w:lang w:eastAsia="zh-CN"/>
        </w:rPr>
        <w:t>所列示的</w:t>
      </w:r>
      <w:r>
        <w:rPr>
          <w:rFonts w:hint="eastAsia" w:ascii="宋体" w:hAnsi="宋体" w:eastAsia="宋体" w:cs="宋体"/>
          <w:b/>
          <w:bCs w:val="0"/>
          <w:sz w:val="28"/>
          <w:szCs w:val="28"/>
          <w:highlight w:val="none"/>
        </w:rPr>
        <w:t>银行账户</w:t>
      </w:r>
      <w:r>
        <w:rPr>
          <w:rFonts w:hint="eastAsia" w:ascii="宋体" w:hAnsi="宋体" w:eastAsia="宋体" w:cs="宋体"/>
          <w:b/>
          <w:bCs w:val="0"/>
          <w:sz w:val="32"/>
          <w:szCs w:val="32"/>
          <w:highlight w:val="none"/>
        </w:rPr>
        <w:t>。</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三、体检内容及收费标准</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1.体检内容</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原则上按中标人提交的投标文件执行，如合同实质性谈判阶段出现有利于招标人的更优条件，按谈判记录列示内容执行。</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2.收费标准</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原则上按中标人提交的投标文件执行，如合同实质性谈判阶段出现有利于招标人的更优条件，按谈判记录列示内容执行。</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四、甲乙双方认可以下文件作为与本合同具有同等效力的约束性文件，对乙方服务承诺及甲方配合义务做出的约定均等同于本合同，双方对本合同的订立视同于对本合同及下列文件所列示权利义务的知悉和认可：</w:t>
      </w:r>
    </w:p>
    <w:p>
      <w:pPr>
        <w:spacing w:line="480" w:lineRule="exact"/>
        <w:ind w:firstLine="641" w:firstLineChars="228"/>
        <w:jc w:val="both"/>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1.甲方在其官方网站（www.plhr.cn）发布的</w:t>
      </w:r>
      <w:r>
        <w:rPr>
          <w:rFonts w:hint="eastAsia" w:ascii="宋体" w:hAnsi="宋体" w:eastAsia="宋体" w:cs="宋体"/>
          <w:b/>
          <w:bCs w:val="0"/>
          <w:sz w:val="28"/>
          <w:szCs w:val="28"/>
          <w:highlight w:val="none"/>
          <w:lang w:eastAsia="zh-CN"/>
        </w:rPr>
        <w:t>项目编号为</w:t>
      </w:r>
      <w:r>
        <w:rPr>
          <w:rFonts w:hint="eastAsia" w:ascii="宋体" w:hAnsi="宋体" w:eastAsia="宋体" w:cs="宋体"/>
          <w:b/>
          <w:bCs w:val="0"/>
          <w:sz w:val="28"/>
          <w:szCs w:val="28"/>
          <w:highlight w:val="none"/>
        </w:rPr>
        <w:t>PLHR-ZB-FW-202</w:t>
      </w:r>
      <w:r>
        <w:rPr>
          <w:rFonts w:hint="eastAsia" w:ascii="宋体" w:hAnsi="宋体" w:eastAsia="宋体" w:cs="宋体"/>
          <w:b/>
          <w:bCs w:val="0"/>
          <w:sz w:val="28"/>
          <w:szCs w:val="28"/>
          <w:highlight w:val="none"/>
          <w:lang w:val="en-US" w:eastAsia="zh-CN"/>
        </w:rPr>
        <w:t>107</w:t>
      </w:r>
      <w:r>
        <w:rPr>
          <w:rFonts w:hint="eastAsia" w:ascii="宋体" w:hAnsi="宋体" w:eastAsia="宋体" w:cs="宋体"/>
          <w:b/>
          <w:bCs w:val="0"/>
          <w:sz w:val="28"/>
          <w:szCs w:val="28"/>
          <w:highlight w:val="none"/>
        </w:rPr>
        <w:t>的员工年度健康体检服务采购项目</w:t>
      </w:r>
      <w:r>
        <w:rPr>
          <w:rFonts w:hint="eastAsia" w:ascii="宋体" w:hAnsi="宋体" w:eastAsia="宋体" w:cs="宋体"/>
          <w:b/>
          <w:bCs w:val="0"/>
          <w:sz w:val="28"/>
          <w:szCs w:val="28"/>
          <w:highlight w:val="none"/>
          <w:lang w:eastAsia="zh-CN"/>
        </w:rPr>
        <w:t>邀请投标公告</w:t>
      </w:r>
      <w:r>
        <w:rPr>
          <w:rFonts w:hint="eastAsia" w:ascii="宋体" w:hAnsi="宋体" w:eastAsia="宋体" w:cs="宋体"/>
          <w:b/>
          <w:bCs w:val="0"/>
          <w:sz w:val="28"/>
          <w:szCs w:val="28"/>
          <w:highlight w:val="none"/>
        </w:rPr>
        <w:t>、招标文件及招标采购过程中出具的答疑、补正、澄清文件；</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2.乙方投标文件；</w:t>
      </w:r>
    </w:p>
    <w:p>
      <w:pPr>
        <w:spacing w:line="480" w:lineRule="exact"/>
        <w:ind w:firstLine="641" w:firstLineChars="228"/>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rPr>
        <w:t>3.甲乙双方签字盖章确认的，就本项目实施的实质性谈判记录、备忘录或补充协议</w:t>
      </w:r>
      <w:r>
        <w:rPr>
          <w:rFonts w:hint="eastAsia" w:ascii="宋体" w:hAnsi="宋体" w:eastAsia="宋体" w:cs="宋体"/>
          <w:b/>
          <w:bCs w:val="0"/>
          <w:sz w:val="28"/>
          <w:szCs w:val="28"/>
          <w:highlight w:val="none"/>
          <w:lang w:eastAsia="zh-CN"/>
        </w:rPr>
        <w:t>。</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甲乙双方均同意如以上文件</w:t>
      </w:r>
      <w:r>
        <w:rPr>
          <w:rFonts w:hint="eastAsia" w:ascii="宋体" w:hAnsi="宋体" w:eastAsia="宋体" w:cs="宋体"/>
          <w:b/>
          <w:bCs w:val="0"/>
          <w:sz w:val="28"/>
          <w:szCs w:val="28"/>
          <w:highlight w:val="none"/>
        </w:rPr>
        <w:t>内容存在不一致时，按照有利于甲方及甲方</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的条款执行。</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五、</w:t>
      </w:r>
      <w:r>
        <w:rPr>
          <w:rFonts w:hint="eastAsia" w:ascii="宋体" w:hAnsi="宋体" w:eastAsia="宋体" w:cs="宋体"/>
          <w:b/>
          <w:bCs w:val="0"/>
          <w:sz w:val="28"/>
          <w:szCs w:val="28"/>
          <w:highlight w:val="none"/>
          <w:lang w:eastAsia="zh-CN"/>
        </w:rPr>
        <w:t>约定变更及</w:t>
      </w:r>
      <w:r>
        <w:rPr>
          <w:rFonts w:hint="eastAsia" w:ascii="宋体" w:hAnsi="宋体" w:eastAsia="宋体" w:cs="宋体"/>
          <w:b/>
          <w:bCs w:val="0"/>
          <w:sz w:val="28"/>
          <w:szCs w:val="28"/>
          <w:highlight w:val="none"/>
        </w:rPr>
        <w:t>有效期限</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甲乙双方同意</w:t>
      </w:r>
      <w:r>
        <w:rPr>
          <w:rFonts w:hint="eastAsia" w:ascii="宋体" w:hAnsi="宋体" w:eastAsia="宋体" w:cs="宋体"/>
          <w:b/>
          <w:bCs w:val="0"/>
          <w:sz w:val="28"/>
          <w:szCs w:val="28"/>
          <w:highlight w:val="none"/>
          <w:lang w:eastAsia="zh-CN"/>
        </w:rPr>
        <w:t>任何对</w:t>
      </w:r>
      <w:r>
        <w:rPr>
          <w:rFonts w:hint="eastAsia" w:ascii="宋体" w:hAnsi="宋体" w:eastAsia="宋体" w:cs="宋体"/>
          <w:b/>
          <w:bCs w:val="0"/>
          <w:sz w:val="28"/>
          <w:szCs w:val="28"/>
          <w:highlight w:val="none"/>
        </w:rPr>
        <w:t>本合同及随附文件</w:t>
      </w:r>
      <w:r>
        <w:rPr>
          <w:rFonts w:hint="eastAsia" w:ascii="宋体" w:hAnsi="宋体" w:eastAsia="宋体" w:cs="宋体"/>
          <w:b/>
          <w:bCs w:val="0"/>
          <w:sz w:val="28"/>
          <w:szCs w:val="28"/>
          <w:highlight w:val="none"/>
          <w:lang w:eastAsia="zh-CN"/>
        </w:rPr>
        <w:t>进行修改，其修改内容</w:t>
      </w:r>
      <w:r>
        <w:rPr>
          <w:rFonts w:hint="eastAsia" w:ascii="宋体" w:hAnsi="宋体" w:eastAsia="宋体" w:cs="宋体"/>
          <w:b/>
          <w:bCs w:val="0"/>
          <w:sz w:val="28"/>
          <w:szCs w:val="28"/>
          <w:highlight w:val="none"/>
        </w:rPr>
        <w:t>未经双方有权签字人订立书面文件</w:t>
      </w:r>
      <w:r>
        <w:rPr>
          <w:rFonts w:hint="eastAsia" w:ascii="宋体" w:hAnsi="宋体" w:eastAsia="宋体" w:cs="宋体"/>
          <w:b/>
          <w:bCs w:val="0"/>
          <w:sz w:val="28"/>
          <w:szCs w:val="28"/>
          <w:highlight w:val="none"/>
          <w:lang w:eastAsia="zh-CN"/>
        </w:rPr>
        <w:t>的，该修改</w:t>
      </w:r>
      <w:r>
        <w:rPr>
          <w:rFonts w:hint="eastAsia" w:ascii="宋体" w:hAnsi="宋体" w:eastAsia="宋体" w:cs="宋体"/>
          <w:b/>
          <w:bCs w:val="0"/>
          <w:sz w:val="28"/>
          <w:szCs w:val="28"/>
          <w:highlight w:val="none"/>
        </w:rPr>
        <w:t>均属无效；</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本合同及随附文件自双方</w:t>
      </w:r>
      <w:r>
        <w:rPr>
          <w:rFonts w:hint="eastAsia" w:ascii="宋体" w:hAnsi="宋体" w:eastAsia="宋体" w:cs="宋体"/>
          <w:b/>
          <w:bCs w:val="0"/>
          <w:sz w:val="28"/>
          <w:szCs w:val="28"/>
          <w:highlight w:val="none"/>
          <w:lang w:eastAsia="zh-CN"/>
        </w:rPr>
        <w:t>签字盖章</w:t>
      </w:r>
      <w:r>
        <w:rPr>
          <w:rFonts w:hint="eastAsia" w:ascii="宋体" w:hAnsi="宋体" w:eastAsia="宋体" w:cs="宋体"/>
          <w:b/>
          <w:bCs w:val="0"/>
          <w:sz w:val="28"/>
          <w:szCs w:val="28"/>
          <w:highlight w:val="none"/>
        </w:rPr>
        <w:t>之日起生效，一式四份，甲乙双方各执贰份，具有同等法律效力。</w:t>
      </w:r>
    </w:p>
    <w:p>
      <w:pPr>
        <w:numPr>
          <w:ilvl w:val="0"/>
          <w:numId w:val="4"/>
        </w:numPr>
        <w:spacing w:line="480" w:lineRule="exact"/>
        <w:ind w:firstLine="641" w:firstLineChars="228"/>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eastAsia="zh-CN"/>
        </w:rPr>
        <w:t>争议解决</w:t>
      </w:r>
    </w:p>
    <w:p>
      <w:pPr>
        <w:spacing w:line="480" w:lineRule="exact"/>
        <w:ind w:firstLine="562" w:firstLineChars="200"/>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spacing w:line="480" w:lineRule="exact"/>
        <w:ind w:firstLine="641" w:firstLineChars="228"/>
        <w:rPr>
          <w:rFonts w:ascii="宋体" w:hAnsi="宋体" w:eastAsia="宋体" w:cs="宋体"/>
          <w:b/>
          <w:bCs w:val="0"/>
          <w:sz w:val="28"/>
          <w:szCs w:val="28"/>
          <w:highlight w:val="none"/>
        </w:rPr>
      </w:pP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甲方：                                乙方：</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盖章：                                盖章：</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负责人签字：                          负责人签字</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日期:                                 日期：</w:t>
      </w:r>
      <w:r>
        <w:rPr>
          <w:rFonts w:hint="eastAsia" w:ascii="宋体" w:hAnsi="宋体" w:eastAsia="宋体" w:cs="宋体"/>
          <w:b/>
          <w:bCs w:val="0"/>
          <w:sz w:val="28"/>
          <w:szCs w:val="28"/>
          <w:highlight w:val="none"/>
        </w:rPr>
        <w:br w:type="page"/>
      </w:r>
    </w:p>
    <w:p>
      <w:pPr>
        <w:rPr>
          <w:rFonts w:ascii="宋体" w:hAnsi="宋体" w:eastAsia="宋体" w:cs="宋体"/>
          <w:b/>
          <w:bCs w:val="0"/>
          <w:sz w:val="28"/>
          <w:szCs w:val="28"/>
          <w:highlight w:val="none"/>
        </w:rPr>
      </w:pPr>
    </w:p>
    <w:p>
      <w:pPr>
        <w:pStyle w:val="3"/>
        <w:jc w:val="center"/>
        <w:rPr>
          <w:rFonts w:ascii="宋体" w:hAnsi="宋体" w:eastAsia="宋体" w:cs="宋体"/>
          <w:b/>
          <w:bCs w:val="0"/>
          <w:sz w:val="28"/>
          <w:szCs w:val="28"/>
          <w:highlight w:val="none"/>
        </w:rPr>
      </w:pPr>
      <w:bookmarkStart w:id="40" w:name="_Toc30248"/>
      <w:r>
        <w:rPr>
          <w:rFonts w:hint="eastAsia" w:ascii="宋体" w:hAnsi="宋体" w:eastAsia="宋体" w:cs="宋体"/>
          <w:b/>
          <w:bCs w:val="0"/>
          <w:sz w:val="28"/>
          <w:szCs w:val="28"/>
          <w:highlight w:val="none"/>
        </w:rPr>
        <w:t>第四章 投标文件格式</w:t>
      </w:r>
      <w:bookmarkEnd w:id="39"/>
      <w:bookmarkEnd w:id="40"/>
    </w:p>
    <w:p>
      <w:pPr>
        <w:rPr>
          <w:b/>
          <w:bCs w:val="0"/>
          <w:highlight w:val="none"/>
        </w:rPr>
      </w:pPr>
    </w:p>
    <w:p>
      <w:pPr>
        <w:pStyle w:val="4"/>
        <w:ind w:firstLine="0" w:firstLineChars="0"/>
        <w:jc w:val="left"/>
        <w:rPr>
          <w:rFonts w:hAnsi="宋体" w:cs="宋体"/>
          <w:b/>
          <w:bCs w:val="0"/>
          <w:sz w:val="24"/>
          <w:szCs w:val="28"/>
          <w:highlight w:val="none"/>
        </w:rPr>
      </w:pPr>
      <w:bookmarkStart w:id="41" w:name="_Toc28753"/>
      <w:bookmarkStart w:id="42" w:name="_Toc27533"/>
      <w:r>
        <w:rPr>
          <w:rFonts w:hint="eastAsia" w:hAnsi="宋体" w:cs="宋体"/>
          <w:b/>
          <w:bCs w:val="0"/>
          <w:sz w:val="24"/>
          <w:szCs w:val="28"/>
          <w:highlight w:val="none"/>
        </w:rPr>
        <w:t>格式1：《唱标信封》</w:t>
      </w:r>
      <w:bookmarkEnd w:id="41"/>
      <w:bookmarkEnd w:id="42"/>
    </w:p>
    <w:p>
      <w:pPr>
        <w:jc w:val="center"/>
        <w:rPr>
          <w:rFonts w:ascii="黑体" w:hAnsi="黑体" w:eastAsia="黑体" w:cs="黑体"/>
          <w:b/>
          <w:bCs w:val="0"/>
          <w:sz w:val="44"/>
          <w:szCs w:val="44"/>
          <w:highlight w:val="none"/>
        </w:rPr>
      </w:pPr>
    </w:p>
    <w:p>
      <w:pPr>
        <w:jc w:val="center"/>
        <w:rPr>
          <w:rFonts w:ascii="黑体" w:hAnsi="黑体" w:eastAsia="黑体" w:cs="黑体"/>
          <w:b/>
          <w:bCs w:val="0"/>
          <w:sz w:val="44"/>
          <w:szCs w:val="44"/>
          <w:highlight w:val="none"/>
        </w:rPr>
      </w:pPr>
    </w:p>
    <w:p>
      <w:pPr>
        <w:jc w:val="center"/>
        <w:rPr>
          <w:rFonts w:ascii="黑体" w:hAnsi="黑体" w:eastAsia="黑体" w:cs="黑体"/>
          <w:b/>
          <w:bCs w:val="0"/>
          <w:sz w:val="44"/>
          <w:szCs w:val="44"/>
          <w:highlight w:val="none"/>
        </w:rPr>
      </w:pPr>
    </w:p>
    <w:p>
      <w:pPr>
        <w:jc w:val="center"/>
        <w:rPr>
          <w:rFonts w:ascii="黑体" w:hAnsi="黑体" w:eastAsia="黑体" w:cs="黑体"/>
          <w:b/>
          <w:bCs w:val="0"/>
          <w:szCs w:val="44"/>
          <w:highlight w:val="none"/>
        </w:rPr>
      </w:pPr>
      <w:r>
        <w:rPr>
          <w:rFonts w:hint="eastAsia" w:ascii="黑体" w:hAnsi="黑体" w:eastAsia="黑体" w:cs="黑体"/>
          <w:b/>
          <w:bCs w:val="0"/>
          <w:sz w:val="44"/>
          <w:szCs w:val="44"/>
          <w:highlight w:val="none"/>
        </w:rPr>
        <w:t>唱 标 信 封</w:t>
      </w:r>
    </w:p>
    <w:p>
      <w:pPr>
        <w:spacing w:beforeLines="30"/>
        <w:rPr>
          <w:rFonts w:ascii="宋体" w:hAnsi="宋体"/>
          <w:b/>
          <w:bCs w:val="0"/>
          <w:sz w:val="44"/>
          <w:szCs w:val="44"/>
          <w:highlight w:val="none"/>
        </w:rPr>
      </w:pPr>
    </w:p>
    <w:p>
      <w:pPr>
        <w:spacing w:beforeLines="30"/>
        <w:rPr>
          <w:rFonts w:hint="eastAsia" w:ascii="宋体" w:hAnsi="宋体"/>
          <w:b/>
          <w:bCs w:val="0"/>
          <w:sz w:val="28"/>
          <w:szCs w:val="28"/>
          <w:highlight w:val="none"/>
        </w:rPr>
      </w:pPr>
      <w:r>
        <w:rPr>
          <w:rFonts w:hint="eastAsia" w:ascii="宋体" w:hAnsi="宋体"/>
          <w:b/>
          <w:bCs w:val="0"/>
          <w:sz w:val="28"/>
          <w:szCs w:val="28"/>
          <w:highlight w:val="none"/>
        </w:rPr>
        <w:t>项目名称：</w:t>
      </w:r>
    </w:p>
    <w:p>
      <w:pPr>
        <w:spacing w:beforeLines="30"/>
        <w:rPr>
          <w:rFonts w:ascii="宋体" w:hAnsi="宋体"/>
          <w:b/>
          <w:bCs w:val="0"/>
          <w:sz w:val="28"/>
          <w:szCs w:val="28"/>
          <w:highlight w:val="none"/>
        </w:rPr>
      </w:pPr>
      <w:r>
        <w:rPr>
          <w:rFonts w:hint="eastAsia" w:ascii="宋体" w:hAnsi="宋体"/>
          <w:b/>
          <w:bCs w:val="0"/>
          <w:sz w:val="28"/>
          <w:szCs w:val="28"/>
          <w:highlight w:val="none"/>
        </w:rPr>
        <w:t>深圳市鹏劳人力资源管理有限公司员工202</w:t>
      </w:r>
      <w:r>
        <w:rPr>
          <w:rFonts w:hint="eastAsia" w:ascii="宋体" w:hAnsi="宋体"/>
          <w:b/>
          <w:bCs w:val="0"/>
          <w:sz w:val="28"/>
          <w:szCs w:val="28"/>
          <w:highlight w:val="none"/>
          <w:lang w:val="en-US" w:eastAsia="zh-CN"/>
        </w:rPr>
        <w:t>1</w:t>
      </w:r>
      <w:r>
        <w:rPr>
          <w:rFonts w:hint="eastAsia" w:ascii="宋体" w:hAnsi="宋体"/>
          <w:b/>
          <w:bCs w:val="0"/>
          <w:sz w:val="28"/>
          <w:szCs w:val="28"/>
          <w:highlight w:val="none"/>
        </w:rPr>
        <w:t>年度健康体检服务采购</w:t>
      </w:r>
    </w:p>
    <w:p>
      <w:pPr>
        <w:spacing w:beforeLines="30"/>
        <w:rPr>
          <w:rFonts w:hint="eastAsia" w:ascii="宋体" w:hAnsi="宋体"/>
          <w:b/>
          <w:bCs w:val="0"/>
          <w:sz w:val="28"/>
          <w:szCs w:val="28"/>
          <w:highlight w:val="none"/>
          <w:lang w:val="en-US" w:eastAsia="zh-CN"/>
        </w:rPr>
      </w:pPr>
      <w:r>
        <w:rPr>
          <w:rFonts w:hint="eastAsia" w:ascii="宋体" w:hAnsi="宋体"/>
          <w:b/>
          <w:bCs w:val="0"/>
          <w:sz w:val="28"/>
          <w:szCs w:val="28"/>
          <w:highlight w:val="none"/>
        </w:rPr>
        <w:t>招标编号：PLHR-ZB-FW-202</w:t>
      </w:r>
      <w:r>
        <w:rPr>
          <w:rFonts w:hint="eastAsia" w:ascii="宋体" w:hAnsi="宋体"/>
          <w:b/>
          <w:bCs w:val="0"/>
          <w:sz w:val="28"/>
          <w:szCs w:val="28"/>
          <w:highlight w:val="none"/>
          <w:lang w:val="en-US" w:eastAsia="zh-CN"/>
        </w:rPr>
        <w:t>107</w:t>
      </w:r>
    </w:p>
    <w:p>
      <w:pPr>
        <w:spacing w:beforeLines="30"/>
        <w:rPr>
          <w:rFonts w:ascii="宋体" w:hAnsi="宋体"/>
          <w:b/>
          <w:bCs w:val="0"/>
          <w:sz w:val="28"/>
          <w:szCs w:val="28"/>
          <w:highlight w:val="none"/>
          <w:u w:val="single"/>
        </w:rPr>
      </w:pPr>
      <w:r>
        <w:rPr>
          <w:rFonts w:hint="eastAsia" w:ascii="宋体" w:hAnsi="宋体"/>
          <w:b/>
          <w:bCs w:val="0"/>
          <w:sz w:val="28"/>
          <w:szCs w:val="28"/>
          <w:highlight w:val="none"/>
        </w:rPr>
        <w:t>投标人（盖章）：___________________________</w:t>
      </w:r>
    </w:p>
    <w:p>
      <w:pPr>
        <w:spacing w:beforeLines="30"/>
        <w:rPr>
          <w:rFonts w:ascii="宋体" w:hAnsi="宋体"/>
          <w:b/>
          <w:bCs w:val="0"/>
          <w:sz w:val="28"/>
          <w:szCs w:val="28"/>
          <w:highlight w:val="none"/>
        </w:rPr>
      </w:pPr>
      <w:r>
        <w:rPr>
          <w:rFonts w:hint="eastAsia" w:ascii="宋体" w:hAnsi="宋体"/>
          <w:b/>
          <w:bCs w:val="0"/>
          <w:sz w:val="28"/>
          <w:szCs w:val="28"/>
          <w:highlight w:val="none"/>
        </w:rPr>
        <w:t>法定代表人或授权委托人签字：__________________</w:t>
      </w:r>
    </w:p>
    <w:p>
      <w:pPr>
        <w:spacing w:beforeLines="30"/>
        <w:rPr>
          <w:rFonts w:ascii="宋体" w:hAnsi="宋体"/>
          <w:b/>
          <w:bCs w:val="0"/>
          <w:sz w:val="28"/>
          <w:szCs w:val="28"/>
          <w:highlight w:val="none"/>
        </w:rPr>
      </w:pPr>
      <w:r>
        <w:rPr>
          <w:rFonts w:hint="eastAsia" w:ascii="宋体" w:hAnsi="宋体"/>
          <w:b/>
          <w:bCs w:val="0"/>
          <w:sz w:val="28"/>
          <w:szCs w:val="28"/>
          <w:highlight w:val="none"/>
        </w:rPr>
        <w:t>投标日期：____________年_____月______日</w:t>
      </w:r>
    </w:p>
    <w:p>
      <w:pPr>
        <w:spacing w:beforeLines="30"/>
        <w:rPr>
          <w:rFonts w:ascii="宋体" w:hAnsi="宋体"/>
          <w:b/>
          <w:bCs w:val="0"/>
          <w:sz w:val="28"/>
          <w:szCs w:val="28"/>
          <w:highlight w:val="none"/>
        </w:rPr>
      </w:pPr>
    </w:p>
    <w:p>
      <w:pPr>
        <w:spacing w:beforeLines="30"/>
        <w:rPr>
          <w:rFonts w:ascii="宋体" w:hAnsi="宋体"/>
          <w:b/>
          <w:bCs w:val="0"/>
          <w:sz w:val="28"/>
          <w:szCs w:val="28"/>
          <w:highlight w:val="none"/>
        </w:rPr>
      </w:pPr>
    </w:p>
    <w:p>
      <w:pPr>
        <w:jc w:val="center"/>
        <w:rPr>
          <w:rFonts w:ascii="黑体" w:hAnsi="黑体" w:eastAsia="黑体" w:cs="黑体"/>
          <w:b/>
          <w:bCs w:val="0"/>
          <w:sz w:val="32"/>
          <w:szCs w:val="32"/>
          <w:highlight w:val="none"/>
        </w:rPr>
      </w:pPr>
      <w:r>
        <w:rPr>
          <w:rFonts w:hint="eastAsia" w:ascii="黑体" w:hAnsi="黑体" w:eastAsia="黑体" w:cs="黑体"/>
          <w:b/>
          <w:bCs w:val="0"/>
          <w:sz w:val="32"/>
          <w:szCs w:val="32"/>
          <w:highlight w:val="none"/>
        </w:rPr>
        <w:t>（202</w:t>
      </w:r>
      <w:r>
        <w:rPr>
          <w:rFonts w:hint="eastAsia" w:ascii="黑体" w:hAnsi="黑体" w:eastAsia="黑体" w:cs="黑体"/>
          <w:b/>
          <w:bCs w:val="0"/>
          <w:sz w:val="32"/>
          <w:szCs w:val="32"/>
          <w:highlight w:val="none"/>
          <w:lang w:val="en-US" w:eastAsia="zh-CN"/>
        </w:rPr>
        <w:t>1</w:t>
      </w:r>
      <w:r>
        <w:rPr>
          <w:rFonts w:hint="eastAsia" w:ascii="黑体" w:hAnsi="黑体" w:eastAsia="黑体" w:cs="黑体"/>
          <w:b/>
          <w:bCs w:val="0"/>
          <w:sz w:val="32"/>
          <w:szCs w:val="32"/>
          <w:highlight w:val="none"/>
        </w:rPr>
        <w:t>年</w:t>
      </w:r>
      <w:r>
        <w:rPr>
          <w:rFonts w:hint="eastAsia" w:ascii="黑体" w:hAnsi="黑体" w:eastAsia="黑体" w:cs="黑体"/>
          <w:b/>
          <w:bCs w:val="0"/>
          <w:sz w:val="32"/>
          <w:szCs w:val="32"/>
          <w:highlight w:val="none"/>
          <w:lang w:val="en-US" w:eastAsia="zh-CN"/>
        </w:rPr>
        <w:t>9</w:t>
      </w:r>
      <w:r>
        <w:rPr>
          <w:rFonts w:hint="eastAsia" w:ascii="黑体" w:hAnsi="黑体" w:eastAsia="黑体" w:cs="黑体"/>
          <w:b/>
          <w:bCs w:val="0"/>
          <w:sz w:val="32"/>
          <w:szCs w:val="32"/>
          <w:highlight w:val="none"/>
        </w:rPr>
        <w:t>月</w:t>
      </w:r>
      <w:r>
        <w:rPr>
          <w:rFonts w:hint="eastAsia" w:ascii="黑体" w:hAnsi="黑体" w:eastAsia="黑体" w:cs="黑体"/>
          <w:b/>
          <w:bCs w:val="0"/>
          <w:sz w:val="32"/>
          <w:szCs w:val="32"/>
          <w:highlight w:val="none"/>
          <w:lang w:val="en-US" w:eastAsia="zh-CN"/>
        </w:rPr>
        <w:t>26</w:t>
      </w:r>
      <w:r>
        <w:rPr>
          <w:rFonts w:hint="eastAsia" w:ascii="黑体" w:hAnsi="黑体" w:eastAsia="黑体" w:cs="黑体"/>
          <w:b/>
          <w:bCs w:val="0"/>
          <w:sz w:val="32"/>
          <w:szCs w:val="32"/>
          <w:highlight w:val="none"/>
        </w:rPr>
        <w:t>日</w:t>
      </w:r>
      <w:r>
        <w:rPr>
          <w:rFonts w:hint="eastAsia" w:ascii="黑体" w:hAnsi="黑体" w:eastAsia="黑体" w:cs="黑体"/>
          <w:b/>
          <w:bCs w:val="0"/>
          <w:sz w:val="32"/>
          <w:szCs w:val="32"/>
          <w:highlight w:val="none"/>
          <w:lang w:val="en-US" w:eastAsia="zh-CN"/>
        </w:rPr>
        <w:t>14</w:t>
      </w:r>
      <w:r>
        <w:rPr>
          <w:rFonts w:hint="eastAsia" w:ascii="黑体" w:hAnsi="黑体" w:eastAsia="黑体" w:cs="黑体"/>
          <w:b/>
          <w:bCs w:val="0"/>
          <w:sz w:val="32"/>
          <w:szCs w:val="32"/>
          <w:highlight w:val="none"/>
        </w:rPr>
        <w:t>时</w:t>
      </w:r>
      <w:r>
        <w:rPr>
          <w:rFonts w:hint="eastAsia" w:ascii="黑体" w:hAnsi="黑体" w:eastAsia="黑体" w:cs="黑体"/>
          <w:b/>
          <w:bCs w:val="0"/>
          <w:sz w:val="32"/>
          <w:szCs w:val="32"/>
          <w:highlight w:val="none"/>
          <w:lang w:val="en-US" w:eastAsia="zh-CN"/>
        </w:rPr>
        <w:t>30</w:t>
      </w:r>
      <w:r>
        <w:rPr>
          <w:rFonts w:hint="eastAsia" w:ascii="黑体" w:hAnsi="黑体" w:eastAsia="黑体" w:cs="黑体"/>
          <w:b/>
          <w:bCs w:val="0"/>
          <w:sz w:val="32"/>
          <w:szCs w:val="32"/>
          <w:highlight w:val="none"/>
        </w:rPr>
        <w:t>分前不得开启）</w:t>
      </w: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pStyle w:val="4"/>
        <w:ind w:firstLine="482"/>
        <w:jc w:val="left"/>
        <w:rPr>
          <w:rFonts w:hAnsi="宋体" w:cs="宋体"/>
          <w:b/>
          <w:bCs w:val="0"/>
          <w:sz w:val="24"/>
          <w:szCs w:val="28"/>
          <w:highlight w:val="none"/>
        </w:rPr>
      </w:pPr>
      <w:bookmarkStart w:id="43" w:name="_Toc26728"/>
      <w:bookmarkStart w:id="44" w:name="_Toc23060"/>
      <w:r>
        <w:rPr>
          <w:rFonts w:hint="eastAsia" w:hAnsi="宋体" w:cs="宋体"/>
          <w:b/>
          <w:bCs w:val="0"/>
          <w:sz w:val="24"/>
          <w:szCs w:val="28"/>
          <w:highlight w:val="none"/>
        </w:rPr>
        <w:t>格式2：开标一览表</w:t>
      </w:r>
      <w:bookmarkEnd w:id="43"/>
      <w:bookmarkEnd w:id="44"/>
    </w:p>
    <w:p>
      <w:pPr>
        <w:jc w:val="center"/>
        <w:rPr>
          <w:rFonts w:ascii="黑体" w:hAnsi="黑体" w:eastAsia="黑体" w:cs="黑体"/>
          <w:b/>
          <w:bCs w:val="0"/>
          <w:sz w:val="44"/>
          <w:szCs w:val="44"/>
          <w:highlight w:val="none"/>
        </w:rPr>
      </w:pPr>
      <w:r>
        <w:rPr>
          <w:rFonts w:hint="eastAsia" w:ascii="黑体" w:hAnsi="黑体" w:eastAsia="黑体" w:cs="黑体"/>
          <w:b/>
          <w:bCs w:val="0"/>
          <w:sz w:val="44"/>
          <w:szCs w:val="44"/>
          <w:highlight w:val="none"/>
        </w:rPr>
        <w:t>开标一览表</w:t>
      </w:r>
    </w:p>
    <w:p>
      <w:pPr>
        <w:jc w:val="center"/>
        <w:rPr>
          <w:rFonts w:ascii="宋体" w:hAnsi="宋体" w:eastAsia="宋体" w:cs="宋体"/>
          <w:b/>
          <w:bCs w:val="0"/>
          <w:sz w:val="28"/>
          <w:szCs w:val="28"/>
          <w:highlight w:val="none"/>
        </w:rPr>
      </w:pPr>
    </w:p>
    <w:p>
      <w:pPr>
        <w:rPr>
          <w:rFonts w:ascii="宋体" w:hAnsi="宋体" w:eastAsia="宋体" w:cs="宋体"/>
          <w:b/>
          <w:bCs w:val="0"/>
          <w:szCs w:val="28"/>
          <w:highlight w:val="none"/>
        </w:rPr>
      </w:pPr>
      <w:r>
        <w:rPr>
          <w:rFonts w:hint="eastAsia" w:ascii="宋体" w:hAnsi="宋体" w:eastAsia="宋体" w:cs="宋体"/>
          <w:b/>
          <w:bCs w:val="0"/>
          <w:sz w:val="28"/>
          <w:szCs w:val="28"/>
          <w:highlight w:val="none"/>
        </w:rPr>
        <w:t>致：深圳市鹏劳人力资源管理有限公司</w:t>
      </w:r>
    </w:p>
    <w:p>
      <w:pP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员工</w:t>
      </w:r>
      <w:r>
        <w:rPr>
          <w:rFonts w:hint="eastAsia" w:ascii="宋体" w:hAnsi="宋体" w:eastAsia="宋体" w:cs="宋体"/>
          <w:b/>
          <w:bCs w:val="0"/>
          <w:sz w:val="24"/>
          <w:szCs w:val="24"/>
          <w:highlight w:val="none"/>
        </w:rPr>
        <w:t>体检服务采购项目（招标编号：PLHR-ZB-FW-202</w:t>
      </w:r>
      <w:r>
        <w:rPr>
          <w:rFonts w:hint="eastAsia" w:ascii="宋体" w:hAnsi="宋体" w:eastAsia="宋体" w:cs="宋体"/>
          <w:b/>
          <w:bCs w:val="0"/>
          <w:sz w:val="24"/>
          <w:szCs w:val="24"/>
          <w:highlight w:val="none"/>
          <w:lang w:val="en-US" w:eastAsia="zh-CN"/>
        </w:rPr>
        <w:t>107</w:t>
      </w:r>
      <w:r>
        <w:rPr>
          <w:rFonts w:hint="eastAsia" w:ascii="宋体" w:hAnsi="宋体" w:eastAsia="宋体" w:cs="宋体"/>
          <w:b/>
          <w:bCs w:val="0"/>
          <w:sz w:val="24"/>
          <w:szCs w:val="24"/>
          <w:highlight w:val="none"/>
        </w:rPr>
        <w:t>）项目投标报价如下：</w:t>
      </w:r>
    </w:p>
    <w:tbl>
      <w:tblPr>
        <w:tblStyle w:val="14"/>
        <w:tblpPr w:leftFromText="180" w:rightFromText="180" w:vertAnchor="text" w:horzAnchor="page" w:tblpX="620" w:tblpY="18"/>
        <w:tblOverlap w:val="never"/>
        <w:tblW w:w="967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1"/>
        <w:gridCol w:w="2695"/>
        <w:gridCol w:w="1380"/>
        <w:gridCol w:w="1716"/>
        <w:gridCol w:w="1668"/>
        <w:gridCol w:w="15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9"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序号</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人员类别</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分项含税单价</w:t>
            </w:r>
          </w:p>
        </w:tc>
        <w:tc>
          <w:tcPr>
            <w:tcW w:w="171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计划体检人数           （招标人提供）</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分项含税计价</w:t>
            </w:r>
          </w:p>
        </w:tc>
        <w:tc>
          <w:tcPr>
            <w:tcW w:w="153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30岁以下男性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15</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满30岁未满40岁男性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17</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3</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满40岁未满50岁男性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17</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4</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50岁及以上男性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8</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5</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30岁以下未婚女性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13</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6</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满30岁未满40岁未婚女性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7</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7</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满40岁未满50岁未婚女性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8</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50岁及以上未婚女性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0</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9</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30岁以下已婚女性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10</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满30岁未满40岁已婚女性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29</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11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满40岁未满50岁已婚女性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23</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12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50岁及以上已婚女性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3</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5" w:hRule="atLeast"/>
        </w:trPr>
        <w:tc>
          <w:tcPr>
            <w:tcW w:w="3376" w:type="dxa"/>
            <w:gridSpan w:val="2"/>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项目总报价</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b/>
                <w:bCs w:val="0"/>
                <w:i w:val="0"/>
                <w:color w:val="000000"/>
                <w:sz w:val="21"/>
                <w:szCs w:val="21"/>
                <w:highlight w:val="none"/>
                <w:u w:val="none"/>
                <w:lang w:val="en-US" w:eastAsia="zh-CN"/>
              </w:rPr>
            </w:pPr>
            <w:r>
              <w:rPr>
                <w:rFonts w:hint="eastAsia" w:ascii="宋体" w:hAnsi="宋体" w:eastAsia="宋体" w:cs="宋体"/>
                <w:b/>
                <w:bCs w:val="0"/>
                <w:i w:val="0"/>
                <w:color w:val="000000"/>
                <w:sz w:val="21"/>
                <w:szCs w:val="21"/>
                <w:highlight w:val="none"/>
                <w:u w:val="none"/>
                <w:lang w:val="en-US" w:eastAsia="zh-CN"/>
              </w:rPr>
              <w:t>134</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bl>
    <w:p>
      <w:pPr>
        <w:rPr>
          <w:rFonts w:hint="eastAsia" w:ascii="宋体" w:hAnsi="宋体" w:eastAsia="宋体" w:cs="宋体"/>
          <w:b/>
          <w:bCs w:val="0"/>
          <w:sz w:val="24"/>
          <w:szCs w:val="24"/>
          <w:highlight w:val="none"/>
        </w:rPr>
      </w:pPr>
    </w:p>
    <w:p>
      <w:pPr>
        <w:rPr>
          <w:rFonts w:ascii="宋体" w:hAnsi="宋体"/>
          <w:b/>
          <w:bCs w:val="0"/>
          <w:highlight w:val="none"/>
        </w:rPr>
      </w:pPr>
      <w:r>
        <w:rPr>
          <w:rFonts w:hint="eastAsia" w:ascii="宋体" w:hAnsi="宋体"/>
          <w:b/>
          <w:bCs w:val="0"/>
          <w:highlight w:val="none"/>
        </w:rPr>
        <w:t>说明</w:t>
      </w:r>
      <w:r>
        <w:rPr>
          <w:rFonts w:ascii="宋体" w:hAnsi="宋体"/>
          <w:b/>
          <w:bCs w:val="0"/>
          <w:highlight w:val="none"/>
        </w:rPr>
        <w:t xml:space="preserve">： </w:t>
      </w:r>
    </w:p>
    <w:p>
      <w:pPr>
        <w:ind w:firstLine="422" w:firstLineChars="200"/>
        <w:rPr>
          <w:rFonts w:ascii="宋体" w:hAnsi="宋体"/>
          <w:b/>
          <w:bCs w:val="0"/>
          <w:highlight w:val="none"/>
        </w:rPr>
      </w:pPr>
      <w:r>
        <w:rPr>
          <w:rFonts w:ascii="宋体" w:hAnsi="宋体"/>
          <w:b/>
          <w:bCs w:val="0"/>
          <w:highlight w:val="none"/>
        </w:rPr>
        <w:t>1</w:t>
      </w:r>
      <w:r>
        <w:rPr>
          <w:rFonts w:hint="eastAsia" w:ascii="宋体" w:hAnsi="宋体"/>
          <w:b/>
          <w:bCs w:val="0"/>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ind w:firstLine="422" w:firstLineChars="200"/>
        <w:rPr>
          <w:rFonts w:ascii="宋体" w:hAnsi="宋体"/>
          <w:b/>
          <w:bCs w:val="0"/>
          <w:highlight w:val="none"/>
        </w:rPr>
      </w:pPr>
      <w:r>
        <w:rPr>
          <w:rFonts w:ascii="宋体" w:hAnsi="宋体"/>
          <w:b/>
          <w:bCs w:val="0"/>
          <w:highlight w:val="none"/>
        </w:rPr>
        <w:t>2</w:t>
      </w:r>
      <w:r>
        <w:rPr>
          <w:rFonts w:hint="eastAsia" w:ascii="宋体" w:hAnsi="宋体"/>
          <w:b/>
          <w:bCs w:val="0"/>
          <w:highlight w:val="none"/>
        </w:rPr>
        <w:t>.</w:t>
      </w:r>
      <w:r>
        <w:rPr>
          <w:rFonts w:ascii="宋体" w:hAnsi="宋体"/>
          <w:b/>
          <w:bCs w:val="0"/>
          <w:highlight w:val="none"/>
        </w:rPr>
        <w:t>投标</w:t>
      </w:r>
      <w:r>
        <w:rPr>
          <w:rFonts w:hint="eastAsia" w:ascii="宋体" w:hAnsi="宋体"/>
          <w:b/>
          <w:bCs w:val="0"/>
          <w:highlight w:val="none"/>
        </w:rPr>
        <w:t>人</w:t>
      </w:r>
      <w:r>
        <w:rPr>
          <w:rFonts w:ascii="宋体" w:hAnsi="宋体"/>
          <w:b/>
          <w:bCs w:val="0"/>
          <w:highlight w:val="none"/>
        </w:rPr>
        <w:t>如需对报价或其它内容加以说明，可在备注栏填写</w:t>
      </w:r>
      <w:r>
        <w:rPr>
          <w:rFonts w:hint="eastAsia" w:ascii="宋体" w:hAnsi="宋体"/>
          <w:b/>
          <w:bCs w:val="0"/>
          <w:highlight w:val="none"/>
        </w:rPr>
        <w:t>；</w:t>
      </w:r>
    </w:p>
    <w:p>
      <w:pPr>
        <w:ind w:firstLine="422" w:firstLineChars="200"/>
        <w:rPr>
          <w:rFonts w:ascii="宋体" w:hAnsi="宋体"/>
          <w:b/>
          <w:bCs w:val="0"/>
          <w:highlight w:val="none"/>
        </w:rPr>
      </w:pPr>
      <w:r>
        <w:rPr>
          <w:rFonts w:ascii="宋体" w:hAnsi="宋体"/>
          <w:b/>
          <w:bCs w:val="0"/>
          <w:highlight w:val="none"/>
        </w:rPr>
        <w:t>3</w:t>
      </w:r>
      <w:r>
        <w:rPr>
          <w:rFonts w:hint="eastAsia" w:ascii="宋体" w:hAnsi="宋体"/>
          <w:b/>
          <w:bCs w:val="0"/>
          <w:highlight w:val="none"/>
        </w:rPr>
        <w:t>.</w:t>
      </w:r>
      <w:r>
        <w:rPr>
          <w:rFonts w:ascii="宋体" w:hAnsi="宋体"/>
          <w:b/>
          <w:bCs w:val="0"/>
          <w:highlight w:val="none"/>
        </w:rPr>
        <w:t>此表应经法定代表人或授权代表人签名，并</w:t>
      </w:r>
      <w:r>
        <w:rPr>
          <w:rFonts w:hint="eastAsia" w:ascii="宋体" w:hAnsi="宋体"/>
          <w:b/>
          <w:bCs w:val="0"/>
          <w:highlight w:val="none"/>
        </w:rPr>
        <w:t>加盖投标人单位公章，否则无效，作废标处理</w:t>
      </w:r>
      <w:r>
        <w:rPr>
          <w:rFonts w:ascii="宋体" w:hAnsi="宋体"/>
          <w:b/>
          <w:bCs w:val="0"/>
          <w:highlight w:val="none"/>
        </w:rPr>
        <w:t>。</w:t>
      </w:r>
    </w:p>
    <w:p>
      <w:pPr>
        <w:ind w:firstLine="422" w:firstLineChars="200"/>
        <w:rPr>
          <w:rFonts w:ascii="宋体" w:hAnsi="宋体"/>
          <w:b/>
          <w:bCs w:val="0"/>
          <w:highlight w:val="none"/>
        </w:rPr>
      </w:pPr>
      <w:r>
        <w:rPr>
          <w:rFonts w:ascii="宋体" w:hAnsi="宋体"/>
          <w:b/>
          <w:bCs w:val="0"/>
          <w:highlight w:val="none"/>
        </w:rPr>
        <w:t>4</w:t>
      </w:r>
      <w:r>
        <w:rPr>
          <w:rFonts w:hint="eastAsia" w:ascii="宋体" w:hAnsi="宋体"/>
          <w:b/>
          <w:bCs w:val="0"/>
          <w:highlight w:val="none"/>
        </w:rPr>
        <w:t>.</w:t>
      </w:r>
      <w:r>
        <w:rPr>
          <w:rFonts w:ascii="宋体" w:hAnsi="宋体"/>
          <w:b/>
          <w:bCs w:val="0"/>
          <w:highlight w:val="none"/>
        </w:rPr>
        <w:t>投标金额大小写不一致的以大写为准。</w:t>
      </w:r>
      <w:r>
        <w:rPr>
          <w:rFonts w:hint="eastAsia" w:ascii="宋体" w:hAnsi="宋体"/>
          <w:b/>
          <w:bCs w:val="0"/>
          <w:highlight w:val="none"/>
        </w:rPr>
        <w:t>电子文档与纸质文档不一致的以纸质文档为准。正本与副本不一致的以正本为准。总价与计算结果不一致的以分项计算结果为准。</w:t>
      </w:r>
    </w:p>
    <w:p>
      <w:pPr>
        <w:ind w:firstLine="422" w:firstLineChars="200"/>
        <w:rPr>
          <w:rFonts w:ascii="宋体" w:hAnsi="宋体"/>
          <w:b/>
          <w:bCs w:val="0"/>
          <w:highlight w:val="none"/>
        </w:rPr>
      </w:pPr>
      <w:r>
        <w:rPr>
          <w:rFonts w:ascii="宋体" w:hAnsi="宋体"/>
          <w:b/>
          <w:bCs w:val="0"/>
          <w:highlight w:val="none"/>
        </w:rPr>
        <w:t>5</w:t>
      </w:r>
      <w:r>
        <w:rPr>
          <w:rFonts w:hint="eastAsia" w:ascii="宋体" w:hAnsi="宋体"/>
          <w:b/>
          <w:bCs w:val="0"/>
          <w:highlight w:val="none"/>
        </w:rPr>
        <w:t>.</w:t>
      </w:r>
      <w:r>
        <w:rPr>
          <w:rFonts w:ascii="宋体" w:hAnsi="宋体"/>
          <w:b/>
          <w:bCs w:val="0"/>
          <w:highlight w:val="none"/>
        </w:rPr>
        <w:t>投标</w:t>
      </w:r>
      <w:r>
        <w:rPr>
          <w:rFonts w:hint="eastAsia" w:ascii="宋体" w:hAnsi="宋体"/>
          <w:b/>
          <w:bCs w:val="0"/>
          <w:highlight w:val="none"/>
        </w:rPr>
        <w:t>总报价不得超过本项目限价</w:t>
      </w:r>
      <w:r>
        <w:rPr>
          <w:rFonts w:hint="eastAsia" w:ascii="宋体" w:hAnsi="宋体"/>
          <w:b/>
          <w:bCs w:val="0"/>
          <w:highlight w:val="none"/>
          <w:lang w:val="en-US" w:eastAsia="zh-CN"/>
        </w:rPr>
        <w:t>25万</w:t>
      </w:r>
      <w:r>
        <w:rPr>
          <w:rFonts w:hint="eastAsia" w:ascii="宋体" w:hAnsi="宋体"/>
          <w:b/>
          <w:bCs w:val="0"/>
          <w:highlight w:val="none"/>
        </w:rPr>
        <w:t>元</w:t>
      </w:r>
      <w:r>
        <w:rPr>
          <w:rFonts w:ascii="宋体" w:hAnsi="宋体"/>
          <w:b/>
          <w:bCs w:val="0"/>
          <w:highlight w:val="none"/>
        </w:rPr>
        <w:t>，否则按废标处理。</w:t>
      </w:r>
    </w:p>
    <w:p>
      <w:pPr>
        <w:rPr>
          <w:rFonts w:ascii="宋体" w:hAnsi="宋体"/>
          <w:b/>
          <w:bCs w:val="0"/>
          <w:highlight w:val="none"/>
        </w:rPr>
      </w:pPr>
    </w:p>
    <w:p>
      <w:pPr>
        <w:spacing w:line="560" w:lineRule="exact"/>
        <w:rPr>
          <w:rFonts w:ascii="宋体" w:hAnsi="宋体"/>
          <w:b/>
          <w:bCs w:val="0"/>
          <w:highlight w:val="none"/>
        </w:rPr>
      </w:pPr>
      <w:r>
        <w:rPr>
          <w:rFonts w:ascii="宋体" w:hAnsi="宋体"/>
          <w:b/>
          <w:bCs w:val="0"/>
          <w:highlight w:val="none"/>
        </w:rPr>
        <w:t>投标人（盖章）：</w:t>
      </w:r>
    </w:p>
    <w:p>
      <w:pPr>
        <w:spacing w:line="560" w:lineRule="exact"/>
        <w:rPr>
          <w:rFonts w:ascii="宋体" w:hAnsi="宋体"/>
          <w:b/>
          <w:bCs w:val="0"/>
          <w:highlight w:val="none"/>
        </w:rPr>
      </w:pPr>
      <w:r>
        <w:rPr>
          <w:rFonts w:ascii="宋体" w:hAnsi="宋体"/>
          <w:b/>
          <w:bCs w:val="0"/>
          <w:highlight w:val="none"/>
        </w:rPr>
        <w:t>法定代表人（或授权委托人）签名：</w:t>
      </w:r>
    </w:p>
    <w:p>
      <w:pPr>
        <w:spacing w:line="560" w:lineRule="exact"/>
        <w:rPr>
          <w:rFonts w:ascii="宋体" w:hAnsi="宋体"/>
          <w:b/>
          <w:bCs w:val="0"/>
          <w:highlight w:val="none"/>
        </w:rPr>
        <w:sectPr>
          <w:headerReference r:id="rId7" w:type="default"/>
          <w:footerReference r:id="rId8"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docGrid w:linePitch="462" w:charSpace="0"/>
        </w:sectPr>
      </w:pPr>
      <w:r>
        <w:rPr>
          <w:rFonts w:ascii="宋体" w:hAnsi="宋体"/>
          <w:b/>
          <w:bCs w:val="0"/>
          <w:highlight w:val="none"/>
        </w:rPr>
        <w:t>日   期：</w:t>
      </w:r>
    </w:p>
    <w:p>
      <w:pPr>
        <w:widowControl/>
        <w:jc w:val="left"/>
        <w:rPr>
          <w:b/>
          <w:bCs w:val="0"/>
          <w:szCs w:val="21"/>
          <w:highlight w:val="none"/>
        </w:rPr>
      </w:pPr>
      <w:bookmarkStart w:id="45" w:name="_Toc25123_WPSOffice_Level1"/>
      <w:bookmarkStart w:id="46" w:name="_Toc17910755"/>
      <w:bookmarkStart w:id="47" w:name="_Toc11257000"/>
    </w:p>
    <w:bookmarkEnd w:id="45"/>
    <w:bookmarkEnd w:id="46"/>
    <w:bookmarkEnd w:id="47"/>
    <w:p>
      <w:pPr>
        <w:pStyle w:val="4"/>
        <w:ind w:firstLine="0" w:firstLineChars="0"/>
        <w:jc w:val="left"/>
        <w:rPr>
          <w:rFonts w:hAnsi="宋体" w:cs="宋体"/>
          <w:b/>
          <w:bCs w:val="0"/>
          <w:sz w:val="24"/>
          <w:szCs w:val="24"/>
          <w:highlight w:val="none"/>
        </w:rPr>
      </w:pPr>
      <w:bookmarkStart w:id="48" w:name="_Toc11233"/>
      <w:bookmarkStart w:id="49" w:name="_Toc21663"/>
      <w:r>
        <w:rPr>
          <w:rFonts w:hint="eastAsia" w:hAnsi="宋体" w:cs="宋体"/>
          <w:b/>
          <w:bCs w:val="0"/>
          <w:sz w:val="24"/>
          <w:szCs w:val="24"/>
          <w:highlight w:val="none"/>
        </w:rPr>
        <w:t>格式</w:t>
      </w:r>
      <w:r>
        <w:rPr>
          <w:rFonts w:hint="eastAsia" w:hAnsi="宋体" w:cs="宋体"/>
          <w:b/>
          <w:bCs w:val="0"/>
          <w:sz w:val="24"/>
          <w:szCs w:val="24"/>
          <w:highlight w:val="none"/>
          <w:lang w:val="en-US" w:eastAsia="zh-CN"/>
        </w:rPr>
        <w:t>3</w:t>
      </w:r>
      <w:r>
        <w:rPr>
          <w:rFonts w:hint="eastAsia" w:hAnsi="宋体" w:cs="宋体"/>
          <w:b/>
          <w:bCs w:val="0"/>
          <w:sz w:val="24"/>
          <w:szCs w:val="24"/>
          <w:highlight w:val="none"/>
        </w:rPr>
        <w:t>：</w:t>
      </w:r>
      <w:r>
        <w:rPr>
          <w:rFonts w:hint="eastAsia" w:hAnsi="宋体" w:cs="宋体"/>
          <w:b/>
          <w:bCs w:val="0"/>
          <w:sz w:val="24"/>
          <w:szCs w:val="24"/>
          <w:highlight w:val="none"/>
          <w:lang w:eastAsia="zh-CN"/>
        </w:rPr>
        <w:t>体检方案及</w:t>
      </w:r>
      <w:r>
        <w:rPr>
          <w:rFonts w:hint="eastAsia" w:hAnsi="宋体" w:cs="宋体"/>
          <w:b/>
          <w:bCs w:val="0"/>
          <w:sz w:val="24"/>
          <w:szCs w:val="24"/>
          <w:highlight w:val="none"/>
        </w:rPr>
        <w:t>报价表</w:t>
      </w:r>
      <w:bookmarkEnd w:id="48"/>
    </w:p>
    <w:p>
      <w:pP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eastAsia="zh-CN"/>
        </w:rPr>
        <w:t>见邀请投标公告附件</w:t>
      </w:r>
      <w:r>
        <w:rPr>
          <w:rFonts w:hint="eastAsia" w:ascii="宋体" w:hAnsi="宋体" w:eastAsia="宋体" w:cs="宋体"/>
          <w:b/>
          <w:bCs w:val="0"/>
          <w:sz w:val="24"/>
          <w:szCs w:val="24"/>
          <w:highlight w:val="none"/>
          <w:lang w:val="en-US" w:eastAsia="zh-CN"/>
        </w:rPr>
        <w:t>2《体检方案及报价表（模版）》</w:t>
      </w:r>
    </w:p>
    <w:p>
      <w:pPr>
        <w:rPr>
          <w:rFonts w:hint="eastAsia" w:ascii="宋体" w:hAnsi="宋体" w:eastAsia="宋体" w:cs="宋体"/>
          <w:b/>
          <w:bCs w:val="0"/>
          <w:sz w:val="24"/>
          <w:szCs w:val="24"/>
          <w:highlight w:val="none"/>
        </w:rPr>
      </w:pPr>
    </w:p>
    <w:p>
      <w:pPr>
        <w:pStyle w:val="4"/>
        <w:ind w:firstLine="482"/>
        <w:jc w:val="left"/>
        <w:rPr>
          <w:rFonts w:hint="eastAsia" w:hAnsi="宋体" w:cs="宋体"/>
          <w:b/>
          <w:bCs w:val="0"/>
          <w:sz w:val="24"/>
          <w:szCs w:val="28"/>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pStyle w:val="4"/>
        <w:ind w:left="0" w:leftChars="0" w:firstLine="0" w:firstLineChars="0"/>
        <w:jc w:val="left"/>
        <w:rPr>
          <w:rFonts w:hAnsi="宋体" w:cs="宋体"/>
          <w:b/>
          <w:bCs w:val="0"/>
          <w:sz w:val="24"/>
          <w:szCs w:val="28"/>
          <w:highlight w:val="none"/>
          <w:lang w:val="zh-CN"/>
        </w:rPr>
      </w:pPr>
      <w:bookmarkStart w:id="50" w:name="_Toc32752"/>
      <w:r>
        <w:rPr>
          <w:rFonts w:hint="eastAsia" w:hAnsi="宋体" w:cs="宋体"/>
          <w:b/>
          <w:bCs w:val="0"/>
          <w:sz w:val="24"/>
          <w:szCs w:val="28"/>
          <w:highlight w:val="none"/>
          <w:lang w:val="zh-CN"/>
        </w:rPr>
        <w:t>格式</w:t>
      </w:r>
      <w:r>
        <w:rPr>
          <w:rFonts w:hint="eastAsia" w:hAnsi="宋体" w:cs="宋体"/>
          <w:b/>
          <w:bCs w:val="0"/>
          <w:sz w:val="24"/>
          <w:szCs w:val="28"/>
          <w:highlight w:val="none"/>
          <w:lang w:val="en-US" w:eastAsia="zh-CN"/>
        </w:rPr>
        <w:t>4</w:t>
      </w:r>
      <w:r>
        <w:rPr>
          <w:rFonts w:hint="eastAsia" w:hAnsi="宋体" w:cs="宋体"/>
          <w:b/>
          <w:bCs w:val="0"/>
          <w:sz w:val="24"/>
          <w:szCs w:val="28"/>
          <w:highlight w:val="none"/>
          <w:lang w:val="zh-CN"/>
        </w:rPr>
        <w:t>：承诺函</w:t>
      </w:r>
      <w:bookmarkEnd w:id="49"/>
      <w:bookmarkEnd w:id="50"/>
    </w:p>
    <w:p>
      <w:pPr>
        <w:jc w:val="center"/>
        <w:rPr>
          <w:rFonts w:ascii="黑体" w:hAnsi="黑体" w:eastAsia="黑体" w:cs="黑体"/>
          <w:b/>
          <w:bCs w:val="0"/>
          <w:sz w:val="44"/>
          <w:szCs w:val="44"/>
          <w:highlight w:val="none"/>
        </w:rPr>
      </w:pPr>
      <w:r>
        <w:rPr>
          <w:rFonts w:hint="eastAsia" w:ascii="黑体" w:hAnsi="黑体" w:eastAsia="黑体" w:cs="黑体"/>
          <w:b/>
          <w:bCs w:val="0"/>
          <w:sz w:val="44"/>
          <w:szCs w:val="44"/>
          <w:highlight w:val="none"/>
        </w:rPr>
        <w:t>承诺函</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致 深圳市鹏劳人力资源管理有限公司：</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我司有意参与贵司【</w:t>
      </w:r>
      <w:r>
        <w:rPr>
          <w:rFonts w:hint="eastAsia" w:ascii="宋体" w:hAnsi="宋体" w:eastAsia="宋体" w:cs="宋体"/>
          <w:b/>
          <w:bCs w:val="0"/>
          <w:szCs w:val="21"/>
          <w:highlight w:val="none"/>
          <w:u w:val="single"/>
          <w:lang w:eastAsia="zh-CN"/>
        </w:rPr>
        <w:t>员工健康体检服务采购</w:t>
      </w:r>
      <w:r>
        <w:rPr>
          <w:rFonts w:hint="eastAsia" w:ascii="宋体" w:hAnsi="宋体" w:eastAsia="宋体" w:cs="宋体"/>
          <w:b/>
          <w:bCs w:val="0"/>
          <w:szCs w:val="21"/>
          <w:highlight w:val="none"/>
        </w:rPr>
        <w:t>】</w:t>
      </w:r>
      <w:r>
        <w:rPr>
          <w:rFonts w:hint="eastAsia" w:ascii="宋体" w:hAnsi="宋体" w:eastAsia="宋体" w:cs="宋体"/>
          <w:b/>
          <w:bCs w:val="0"/>
          <w:szCs w:val="21"/>
          <w:highlight w:val="none"/>
          <w:lang w:eastAsia="zh-CN"/>
        </w:rPr>
        <w:t>（项目编号</w:t>
      </w:r>
      <w:r>
        <w:rPr>
          <w:rFonts w:hint="eastAsia" w:ascii="宋体" w:hAnsi="宋体" w:eastAsia="宋体" w:cs="宋体"/>
          <w:b/>
          <w:bCs w:val="0"/>
          <w:szCs w:val="21"/>
          <w:highlight w:val="none"/>
          <w:lang w:val="en-US" w:eastAsia="zh-CN"/>
        </w:rPr>
        <w:t>PLHR-ZB-FW-202107</w:t>
      </w:r>
      <w:r>
        <w:rPr>
          <w:rFonts w:hint="eastAsia" w:ascii="宋体" w:hAnsi="宋体" w:eastAsia="宋体" w:cs="宋体"/>
          <w:b/>
          <w:bCs w:val="0"/>
          <w:szCs w:val="21"/>
          <w:highlight w:val="none"/>
          <w:lang w:eastAsia="zh-CN"/>
        </w:rPr>
        <w:t>）</w:t>
      </w:r>
      <w:r>
        <w:rPr>
          <w:rFonts w:hint="eastAsia" w:ascii="宋体" w:hAnsi="宋体" w:eastAsia="宋体" w:cs="宋体"/>
          <w:b/>
          <w:bCs w:val="0"/>
          <w:szCs w:val="21"/>
          <w:highlight w:val="none"/>
        </w:rPr>
        <w:t>投标，为保证招投标工作的公平公正及充分竞争，在此，我司郑重承诺如下：</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一、我司承诺在投标过程中对于如下行为坚决抵制并向贵司及时通报：</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1.招标人或招标相关单位人员利用职务上的便利，自行或通过他人向我司推荐供应商（分包商）；</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2.其他投标参与方自行或委托他人私下与我司联系串通投标事宜；</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3.招标人、及招标相关单位的人员在招标投标过程中，人为设置障碍，索要或暗示索要现金、股票、股权、各种有价证券、支付凭证或贵重物品等。</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二、我司承诺依法合规参与本项目竞争，严格本公司投标代表及相关员工管理，具体内容如下：</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1.我司不会以任何理由任何方式进行串通投标等不正当竞争的违法违规行为；</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2.我司或我司员工不以任何理由任何方式，向贵司、及招标相关单位的人员赠送现金、股票、股权、各种有价证券、支付凭证或贵重物品等；</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3.我司或我司员工不以任何理由任何方式，向贵司、及招标相关单位的人员发出健身、娱乐活动的邀请，或对贵司及招标相关单位的人员进行超标准接待；</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4.参与贵司项目投标及与投标相关的交流调研过程中，我司保证向贵司所提供信息的真实性和准确性，且不会将拟投标项目进行任何形式的转包或挂靠。</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6.我司及我司派出的投标代表及工作人员授权贵司对本项目下我司投标工作进行监督，在贵司办公场所内合理使用包括录音录像、派员监督等手段开展监督工作。</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7.如果我司中标，将严格遵照本项目招标文件需求、投标承诺及合同约定做到诚信履约，为贵司提供最优服务；</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8.我司已认真核实了投标文件的全部资料，所有资料均为真实资料。我公司对投标文件中全部投标资料的真实性负责。</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widowControl/>
        <w:spacing w:line="400" w:lineRule="exact"/>
        <w:ind w:firstLine="481" w:firstLineChars="228"/>
        <w:jc w:val="left"/>
        <w:rPr>
          <w:rFonts w:ascii="宋体" w:hAnsi="宋体" w:eastAsia="宋体" w:cs="宋体"/>
          <w:b/>
          <w:bCs w:val="0"/>
          <w:szCs w:val="21"/>
          <w:highlight w:val="none"/>
        </w:rPr>
      </w:pPr>
    </w:p>
    <w:p>
      <w:pPr>
        <w:spacing w:line="520" w:lineRule="exact"/>
        <w:rPr>
          <w:rFonts w:ascii="宋体" w:hAnsi="宋体"/>
          <w:b/>
          <w:bCs w:val="0"/>
          <w:kern w:val="0"/>
          <w:sz w:val="22"/>
          <w:highlight w:val="none"/>
        </w:rPr>
      </w:pPr>
      <w:r>
        <w:rPr>
          <w:rFonts w:hint="eastAsia" w:ascii="宋体" w:hAnsi="宋体"/>
          <w:b/>
          <w:bCs w:val="0"/>
          <w:kern w:val="0"/>
          <w:sz w:val="22"/>
          <w:highlight w:val="none"/>
        </w:rPr>
        <w:t>投标</w:t>
      </w:r>
      <w:r>
        <w:rPr>
          <w:rFonts w:hint="eastAsia" w:ascii="宋体" w:hAnsi="宋体"/>
          <w:b/>
          <w:bCs w:val="0"/>
          <w:kern w:val="0"/>
          <w:sz w:val="22"/>
          <w:highlight w:val="none"/>
          <w:lang w:eastAsia="zh-CN"/>
        </w:rPr>
        <w:t>人</w:t>
      </w:r>
      <w:r>
        <w:rPr>
          <w:rFonts w:hint="eastAsia" w:ascii="宋体" w:hAnsi="宋体"/>
          <w:b/>
          <w:bCs w:val="0"/>
          <w:kern w:val="0"/>
          <w:sz w:val="22"/>
          <w:highlight w:val="none"/>
        </w:rPr>
        <w:t>（公章）：</w:t>
      </w:r>
    </w:p>
    <w:p>
      <w:pPr>
        <w:spacing w:line="520" w:lineRule="exact"/>
        <w:rPr>
          <w:rFonts w:ascii="宋体" w:hAnsi="宋体"/>
          <w:b/>
          <w:bCs w:val="0"/>
          <w:kern w:val="0"/>
          <w:sz w:val="22"/>
          <w:highlight w:val="none"/>
        </w:rPr>
      </w:pPr>
      <w:r>
        <w:rPr>
          <w:rFonts w:hint="eastAsia" w:ascii="宋体" w:hAnsi="宋体"/>
          <w:b/>
          <w:bCs w:val="0"/>
          <w:kern w:val="0"/>
          <w:sz w:val="22"/>
          <w:highlight w:val="none"/>
        </w:rPr>
        <w:t>法定代表人（法定授权代表人）签名：</w:t>
      </w:r>
    </w:p>
    <w:p>
      <w:pPr>
        <w:spacing w:line="520" w:lineRule="exact"/>
        <w:rPr>
          <w:b/>
          <w:bCs w:val="0"/>
          <w:highlight w:val="none"/>
        </w:rPr>
      </w:pPr>
      <w:r>
        <w:rPr>
          <w:rFonts w:hint="eastAsia" w:ascii="宋体" w:hAnsi="宋体"/>
          <w:b/>
          <w:bCs w:val="0"/>
          <w:kern w:val="0"/>
          <w:sz w:val="22"/>
          <w:highlight w:val="none"/>
        </w:rPr>
        <w:t>日期：</w:t>
      </w: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107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107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107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D7743C0F"/>
    <w:multiLevelType w:val="singleLevel"/>
    <w:tmpl w:val="D7743C0F"/>
    <w:lvl w:ilvl="0" w:tentative="0">
      <w:start w:val="6"/>
      <w:numFmt w:val="chineseCounting"/>
      <w:suff w:val="nothing"/>
      <w:lvlText w:val="%1、"/>
      <w:lvlJc w:val="left"/>
      <w:rPr>
        <w:rFonts w:hint="eastAsia"/>
      </w:rPr>
    </w:lvl>
  </w:abstractNum>
  <w:abstractNum w:abstractNumId="2">
    <w:nsid w:val="F2F117D0"/>
    <w:multiLevelType w:val="singleLevel"/>
    <w:tmpl w:val="F2F117D0"/>
    <w:lvl w:ilvl="0" w:tentative="0">
      <w:start w:val="1"/>
      <w:numFmt w:val="decimal"/>
      <w:lvlText w:val="%1)"/>
      <w:lvlJc w:val="left"/>
      <w:pPr>
        <w:tabs>
          <w:tab w:val="left" w:pos="312"/>
        </w:tabs>
      </w:pPr>
    </w:lvl>
  </w:abstractNum>
  <w:abstractNum w:abstractNumId="3">
    <w:nsid w:val="056D5E5C"/>
    <w:multiLevelType w:val="singleLevel"/>
    <w:tmpl w:val="056D5E5C"/>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5111E"/>
    <w:rsid w:val="004F4E3B"/>
    <w:rsid w:val="00596DC2"/>
    <w:rsid w:val="00780429"/>
    <w:rsid w:val="007A3BED"/>
    <w:rsid w:val="00B61DCC"/>
    <w:rsid w:val="043064BE"/>
    <w:rsid w:val="08743E10"/>
    <w:rsid w:val="0AA43652"/>
    <w:rsid w:val="0BD87910"/>
    <w:rsid w:val="0E33493E"/>
    <w:rsid w:val="0EF46860"/>
    <w:rsid w:val="129B3361"/>
    <w:rsid w:val="15004E24"/>
    <w:rsid w:val="168C6693"/>
    <w:rsid w:val="18695096"/>
    <w:rsid w:val="1BA35871"/>
    <w:rsid w:val="216806DC"/>
    <w:rsid w:val="275A6547"/>
    <w:rsid w:val="27D1591C"/>
    <w:rsid w:val="28037CAD"/>
    <w:rsid w:val="296D37AE"/>
    <w:rsid w:val="2B4B1A6A"/>
    <w:rsid w:val="2C8C2CFD"/>
    <w:rsid w:val="2CBD7E51"/>
    <w:rsid w:val="331F4BF5"/>
    <w:rsid w:val="376D5FE8"/>
    <w:rsid w:val="3ADA6F7F"/>
    <w:rsid w:val="3EAA6D4C"/>
    <w:rsid w:val="41F4042C"/>
    <w:rsid w:val="44F83D3F"/>
    <w:rsid w:val="45C93A36"/>
    <w:rsid w:val="4CEC3B57"/>
    <w:rsid w:val="549C36B3"/>
    <w:rsid w:val="54D5111E"/>
    <w:rsid w:val="559E7982"/>
    <w:rsid w:val="5852060C"/>
    <w:rsid w:val="5C6869A5"/>
    <w:rsid w:val="60B06CD0"/>
    <w:rsid w:val="61827A74"/>
    <w:rsid w:val="63A212F2"/>
    <w:rsid w:val="662A1B70"/>
    <w:rsid w:val="686B28E3"/>
    <w:rsid w:val="6FCB4BA5"/>
    <w:rsid w:val="70511590"/>
    <w:rsid w:val="72EE4600"/>
    <w:rsid w:val="77281D83"/>
    <w:rsid w:val="7772105E"/>
    <w:rsid w:val="7C2707B8"/>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3796</Words>
  <Characters>21642</Characters>
  <Lines>180</Lines>
  <Paragraphs>50</Paragraphs>
  <TotalTime>16</TotalTime>
  <ScaleCrop>false</ScaleCrop>
  <LinksUpToDate>false</LinksUpToDate>
  <CharactersWithSpaces>25388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user</cp:lastModifiedBy>
  <cp:lastPrinted>2020-08-06T10:49:00Z</cp:lastPrinted>
  <dcterms:modified xsi:type="dcterms:W3CDTF">2021-09-14T07:19:35Z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46725C2F548240D99E33A66AC618C2D7</vt:lpwstr>
  </property>
</Properties>
</file>