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autoSpaceDN/>
        <w:bidi w:val="0"/>
        <w:spacing w:beforeLines="30" w:line="560" w:lineRule="exact"/>
        <w:rPr>
          <w:rFonts w:hint="eastAsia" w:ascii="仿宋" w:hAnsi="仿宋" w:eastAsia="仿宋" w:cs="仿宋"/>
          <w:b/>
          <w:sz w:val="32"/>
          <w:szCs w:val="32"/>
        </w:rPr>
      </w:pPr>
    </w:p>
    <w:p>
      <w:pPr>
        <w:pageBreakBefore w:val="0"/>
        <w:kinsoku/>
        <w:overflowPunct/>
        <w:topLinePunct w:val="0"/>
        <w:autoSpaceDE/>
        <w:autoSpaceDN/>
        <w:bidi w:val="0"/>
        <w:spacing w:beforeLines="30" w:line="560" w:lineRule="exact"/>
        <w:rPr>
          <w:rFonts w:hint="eastAsia" w:ascii="仿宋" w:hAnsi="仿宋" w:eastAsia="仿宋" w:cs="仿宋"/>
          <w:b/>
          <w:sz w:val="32"/>
          <w:szCs w:val="32"/>
        </w:rPr>
      </w:pPr>
    </w:p>
    <w:p>
      <w:pPr>
        <w:pageBreakBefore w:val="0"/>
        <w:kinsoku/>
        <w:overflowPunct/>
        <w:topLinePunct w:val="0"/>
        <w:autoSpaceDE/>
        <w:autoSpaceDN/>
        <w:bidi w:val="0"/>
        <w:spacing w:beforeLines="30" w:line="560" w:lineRule="exact"/>
        <w:jc w:val="center"/>
        <w:rPr>
          <w:rFonts w:hint="eastAsia" w:ascii="仿宋" w:hAnsi="仿宋" w:eastAsia="仿宋" w:cs="仿宋"/>
          <w:b/>
          <w:sz w:val="32"/>
          <w:szCs w:val="32"/>
        </w:rPr>
      </w:pPr>
    </w:p>
    <w:p>
      <w:pPr>
        <w:pageBreakBefore w:val="0"/>
        <w:kinsoku/>
        <w:overflowPunct/>
        <w:topLinePunct w:val="0"/>
        <w:autoSpaceDE/>
        <w:autoSpaceDN/>
        <w:bidi w:val="0"/>
        <w:spacing w:beforeLines="30" w:line="560" w:lineRule="exact"/>
        <w:jc w:val="center"/>
        <w:rPr>
          <w:rFonts w:hint="eastAsia" w:ascii="仿宋" w:hAnsi="仿宋" w:eastAsia="仿宋" w:cs="仿宋"/>
          <w:b/>
          <w:sz w:val="32"/>
          <w:szCs w:val="32"/>
        </w:rPr>
      </w:pPr>
    </w:p>
    <w:p>
      <w:pPr>
        <w:pageBreakBefore w:val="0"/>
        <w:kinsoku/>
        <w:overflowPunct/>
        <w:topLinePunct w:val="0"/>
        <w:autoSpaceDE/>
        <w:autoSpaceDN/>
        <w:bidi w:val="0"/>
        <w:spacing w:beforeLines="30" w:line="560" w:lineRule="exact"/>
        <w:jc w:val="center"/>
        <w:rPr>
          <w:rFonts w:hint="eastAsia" w:ascii="仿宋" w:hAnsi="仿宋" w:eastAsia="仿宋" w:cs="仿宋"/>
          <w:b/>
          <w:sz w:val="32"/>
          <w:szCs w:val="32"/>
        </w:rPr>
      </w:pPr>
    </w:p>
    <w:p>
      <w:pPr>
        <w:pageBreakBefore w:val="0"/>
        <w:kinsoku/>
        <w:overflowPunct/>
        <w:topLinePunct w:val="0"/>
        <w:autoSpaceDE/>
        <w:autoSpaceDN/>
        <w:bidi w:val="0"/>
        <w:spacing w:beforeLines="30" w:line="560" w:lineRule="exact"/>
        <w:jc w:val="center"/>
        <w:rPr>
          <w:rFonts w:hint="eastAsia" w:ascii="黑体" w:hAnsi="黑体" w:eastAsia="黑体" w:cs="黑体"/>
          <w:b/>
          <w:sz w:val="44"/>
          <w:szCs w:val="44"/>
        </w:rPr>
      </w:pPr>
      <w:r>
        <w:rPr>
          <w:rFonts w:hint="eastAsia" w:ascii="黑体" w:hAnsi="黑体" w:eastAsia="黑体" w:cs="黑体"/>
          <w:b/>
          <w:sz w:val="44"/>
          <w:szCs w:val="44"/>
        </w:rPr>
        <w:t>深圳市鹏劳人力资源管理有限公司</w:t>
      </w:r>
    </w:p>
    <w:p>
      <w:pPr>
        <w:pageBreakBefore w:val="0"/>
        <w:kinsoku/>
        <w:overflowPunct/>
        <w:topLinePunct w:val="0"/>
        <w:autoSpaceDE/>
        <w:autoSpaceDN/>
        <w:bidi w:val="0"/>
        <w:spacing w:beforeLines="30" w:line="560" w:lineRule="exact"/>
        <w:jc w:val="center"/>
        <w:rPr>
          <w:rFonts w:hint="eastAsia" w:ascii="黑体" w:hAnsi="黑体" w:eastAsia="黑体" w:cs="黑体"/>
          <w:b/>
          <w:sz w:val="44"/>
          <w:szCs w:val="44"/>
        </w:rPr>
      </w:pPr>
      <w:r>
        <w:rPr>
          <w:rFonts w:hint="eastAsia" w:ascii="黑体" w:hAnsi="黑体" w:eastAsia="黑体" w:cs="黑体"/>
          <w:b/>
          <w:sz w:val="44"/>
          <w:szCs w:val="44"/>
        </w:rPr>
        <w:t xml:space="preserve">  </w:t>
      </w:r>
      <w:r>
        <w:rPr>
          <w:rFonts w:hint="eastAsia" w:ascii="黑体" w:hAnsi="黑体" w:eastAsia="黑体" w:cs="黑体"/>
          <w:b/>
          <w:sz w:val="44"/>
          <w:szCs w:val="44"/>
          <w:lang w:val="en-US" w:eastAsia="zh-CN"/>
        </w:rPr>
        <w:t>常年法律顾问</w:t>
      </w:r>
      <w:r>
        <w:rPr>
          <w:rFonts w:hint="eastAsia" w:ascii="黑体" w:hAnsi="黑体" w:eastAsia="黑体" w:cs="黑体"/>
          <w:b/>
          <w:sz w:val="44"/>
          <w:szCs w:val="44"/>
        </w:rPr>
        <w:t>服务</w:t>
      </w:r>
      <w:r>
        <w:rPr>
          <w:rFonts w:hint="eastAsia" w:ascii="黑体" w:hAnsi="黑体" w:eastAsia="黑体" w:cs="黑体"/>
          <w:b/>
          <w:sz w:val="44"/>
          <w:szCs w:val="44"/>
          <w:lang w:val="en-US" w:eastAsia="zh-CN"/>
        </w:rPr>
        <w:t>采购项目</w:t>
      </w:r>
    </w:p>
    <w:p>
      <w:pPr>
        <w:pageBreakBefore w:val="0"/>
        <w:kinsoku/>
        <w:overflowPunct/>
        <w:topLinePunct w:val="0"/>
        <w:autoSpaceDE/>
        <w:autoSpaceDN/>
        <w:bidi w:val="0"/>
        <w:spacing w:beforeLines="30" w:line="560" w:lineRule="exact"/>
        <w:jc w:val="center"/>
        <w:rPr>
          <w:rFonts w:hint="eastAsia" w:ascii="黑体" w:hAnsi="黑体" w:eastAsia="黑体" w:cs="黑体"/>
          <w:b/>
          <w:sz w:val="44"/>
          <w:szCs w:val="44"/>
        </w:rPr>
      </w:pPr>
      <w:r>
        <w:rPr>
          <w:rFonts w:hint="eastAsia" w:ascii="黑体" w:hAnsi="黑体" w:eastAsia="黑体" w:cs="黑体"/>
          <w:b/>
          <w:sz w:val="44"/>
          <w:szCs w:val="44"/>
        </w:rPr>
        <w:t>招标文件</w:t>
      </w:r>
    </w:p>
    <w:p>
      <w:pPr>
        <w:pageBreakBefore w:val="0"/>
        <w:kinsoku/>
        <w:overflowPunct/>
        <w:topLinePunct w:val="0"/>
        <w:autoSpaceDE/>
        <w:autoSpaceDN/>
        <w:bidi w:val="0"/>
        <w:spacing w:beforeLines="30" w:line="560" w:lineRule="exact"/>
        <w:jc w:val="center"/>
        <w:rPr>
          <w:rFonts w:hint="eastAsia" w:ascii="黑体" w:hAnsi="黑体" w:eastAsia="黑体" w:cs="黑体"/>
          <w:b/>
          <w:sz w:val="44"/>
          <w:szCs w:val="44"/>
        </w:rPr>
      </w:pPr>
    </w:p>
    <w:p>
      <w:pPr>
        <w:pageBreakBefore w:val="0"/>
        <w:kinsoku/>
        <w:overflowPunct/>
        <w:topLinePunct w:val="0"/>
        <w:autoSpaceDE/>
        <w:autoSpaceDN/>
        <w:bidi w:val="0"/>
        <w:spacing w:beforeLines="30" w:line="560" w:lineRule="exact"/>
        <w:jc w:val="center"/>
        <w:rPr>
          <w:rFonts w:hint="eastAsia" w:ascii="黑体" w:hAnsi="黑体" w:eastAsia="黑体" w:cs="黑体"/>
          <w:b/>
          <w:sz w:val="44"/>
          <w:szCs w:val="44"/>
        </w:rPr>
      </w:pPr>
      <w:r>
        <w:rPr>
          <w:rFonts w:hint="eastAsia" w:ascii="黑体" w:hAnsi="黑体" w:eastAsia="黑体" w:cs="黑体"/>
          <w:b/>
          <w:sz w:val="44"/>
          <w:szCs w:val="44"/>
        </w:rPr>
        <w:t>采购类别:服务采购</w:t>
      </w:r>
    </w:p>
    <w:p>
      <w:pPr>
        <w:pageBreakBefore w:val="0"/>
        <w:kinsoku/>
        <w:overflowPunct/>
        <w:topLinePunct w:val="0"/>
        <w:autoSpaceDE/>
        <w:autoSpaceDN/>
        <w:bidi w:val="0"/>
        <w:spacing w:beforeLines="30" w:line="560" w:lineRule="exact"/>
        <w:jc w:val="center"/>
        <w:rPr>
          <w:rFonts w:hint="eastAsia" w:ascii="黑体" w:hAnsi="黑体" w:eastAsia="黑体" w:cs="黑体"/>
          <w:b/>
          <w:sz w:val="44"/>
          <w:szCs w:val="44"/>
          <w:lang w:val="en-US" w:eastAsia="zh-CN"/>
        </w:rPr>
      </w:pPr>
      <w:r>
        <w:rPr>
          <w:rFonts w:hint="eastAsia" w:ascii="黑体" w:hAnsi="黑体" w:eastAsia="黑体" w:cs="黑体"/>
          <w:b/>
          <w:sz w:val="44"/>
          <w:szCs w:val="44"/>
        </w:rPr>
        <w:t>招标编号：PLHR-ZB-FW-202</w:t>
      </w:r>
      <w:r>
        <w:rPr>
          <w:rFonts w:hint="eastAsia" w:ascii="黑体" w:hAnsi="黑体" w:eastAsia="黑体" w:cs="黑体"/>
          <w:b/>
          <w:sz w:val="44"/>
          <w:szCs w:val="44"/>
          <w:lang w:val="en-US" w:eastAsia="zh-CN"/>
        </w:rPr>
        <w:t>201</w:t>
      </w:r>
    </w:p>
    <w:p>
      <w:pPr>
        <w:pageBreakBefore w:val="0"/>
        <w:kinsoku/>
        <w:overflowPunct/>
        <w:topLinePunct w:val="0"/>
        <w:autoSpaceDE/>
        <w:autoSpaceDN/>
        <w:bidi w:val="0"/>
        <w:spacing w:beforeLines="30" w:line="560" w:lineRule="exact"/>
        <w:jc w:val="center"/>
        <w:rPr>
          <w:rFonts w:hint="eastAsia" w:ascii="黑体" w:hAnsi="黑体" w:eastAsia="黑体" w:cs="黑体"/>
          <w:b/>
          <w:sz w:val="44"/>
          <w:szCs w:val="44"/>
        </w:rPr>
      </w:pPr>
    </w:p>
    <w:p>
      <w:pPr>
        <w:pageBreakBefore w:val="0"/>
        <w:kinsoku/>
        <w:overflowPunct/>
        <w:topLinePunct w:val="0"/>
        <w:autoSpaceDE/>
        <w:autoSpaceDN/>
        <w:bidi w:val="0"/>
        <w:spacing w:beforeLines="30" w:line="560" w:lineRule="exact"/>
        <w:jc w:val="center"/>
        <w:rPr>
          <w:rFonts w:hint="eastAsia" w:ascii="黑体" w:hAnsi="黑体" w:eastAsia="黑体" w:cs="黑体"/>
          <w:b/>
          <w:sz w:val="44"/>
          <w:szCs w:val="44"/>
        </w:rPr>
      </w:pPr>
    </w:p>
    <w:p>
      <w:pPr>
        <w:pageBreakBefore w:val="0"/>
        <w:kinsoku/>
        <w:overflowPunct/>
        <w:topLinePunct w:val="0"/>
        <w:autoSpaceDE/>
        <w:autoSpaceDN/>
        <w:bidi w:val="0"/>
        <w:spacing w:beforeLines="30" w:line="560" w:lineRule="exact"/>
        <w:rPr>
          <w:rFonts w:hint="eastAsia" w:ascii="黑体" w:hAnsi="黑体" w:eastAsia="黑体" w:cs="黑体"/>
          <w:b/>
          <w:sz w:val="44"/>
          <w:szCs w:val="44"/>
        </w:rPr>
      </w:pPr>
    </w:p>
    <w:p>
      <w:pPr>
        <w:pageBreakBefore w:val="0"/>
        <w:kinsoku/>
        <w:overflowPunct/>
        <w:topLinePunct w:val="0"/>
        <w:autoSpaceDE/>
        <w:autoSpaceDN/>
        <w:bidi w:val="0"/>
        <w:spacing w:beforeLines="30" w:line="560" w:lineRule="exact"/>
        <w:rPr>
          <w:rFonts w:hint="eastAsia" w:ascii="黑体" w:hAnsi="黑体" w:eastAsia="黑体" w:cs="黑体"/>
          <w:b/>
          <w:sz w:val="44"/>
          <w:szCs w:val="44"/>
        </w:rPr>
      </w:pPr>
    </w:p>
    <w:p>
      <w:pPr>
        <w:pageBreakBefore w:val="0"/>
        <w:kinsoku/>
        <w:overflowPunct/>
        <w:topLinePunct w:val="0"/>
        <w:autoSpaceDE/>
        <w:autoSpaceDN/>
        <w:bidi w:val="0"/>
        <w:spacing w:beforeLines="30" w:line="560" w:lineRule="exact"/>
        <w:jc w:val="center"/>
        <w:rPr>
          <w:rFonts w:hint="eastAsia" w:ascii="黑体" w:hAnsi="黑体" w:eastAsia="黑体" w:cs="黑体"/>
          <w:b/>
          <w:sz w:val="44"/>
          <w:szCs w:val="44"/>
        </w:rPr>
      </w:pPr>
      <w:r>
        <w:rPr>
          <w:rFonts w:hint="eastAsia" w:ascii="黑体" w:hAnsi="黑体" w:eastAsia="黑体" w:cs="黑体"/>
          <w:b/>
          <w:sz w:val="44"/>
          <w:szCs w:val="44"/>
        </w:rPr>
        <w:t>深圳市鹏劳人力资源管理有限公司</w:t>
      </w:r>
    </w:p>
    <w:p>
      <w:pPr>
        <w:pageBreakBefore w:val="0"/>
        <w:kinsoku/>
        <w:overflowPunct/>
        <w:topLinePunct w:val="0"/>
        <w:autoSpaceDE/>
        <w:autoSpaceDN/>
        <w:bidi w:val="0"/>
        <w:spacing w:beforeLines="30" w:line="560" w:lineRule="exact"/>
        <w:jc w:val="center"/>
        <w:rPr>
          <w:rFonts w:hint="eastAsia" w:ascii="黑体" w:hAnsi="黑体" w:eastAsia="黑体" w:cs="黑体"/>
          <w:b/>
          <w:sz w:val="44"/>
          <w:szCs w:val="44"/>
        </w:rPr>
      </w:pPr>
      <w:r>
        <w:rPr>
          <w:rFonts w:hint="eastAsia" w:ascii="黑体" w:hAnsi="黑体" w:eastAsia="黑体" w:cs="黑体"/>
          <w:b/>
          <w:sz w:val="44"/>
          <w:szCs w:val="44"/>
        </w:rPr>
        <w:t>二〇二</w:t>
      </w:r>
      <w:r>
        <w:rPr>
          <w:rFonts w:hint="eastAsia" w:ascii="黑体" w:hAnsi="黑体" w:eastAsia="黑体" w:cs="黑体"/>
          <w:b/>
          <w:sz w:val="44"/>
          <w:szCs w:val="44"/>
          <w:lang w:val="en-US" w:eastAsia="zh-CN"/>
        </w:rPr>
        <w:t>二</w:t>
      </w:r>
      <w:r>
        <w:rPr>
          <w:rFonts w:hint="eastAsia" w:ascii="黑体" w:hAnsi="黑体" w:eastAsia="黑体" w:cs="黑体"/>
          <w:b/>
          <w:sz w:val="44"/>
          <w:szCs w:val="44"/>
        </w:rPr>
        <w:t>年</w:t>
      </w:r>
      <w:r>
        <w:rPr>
          <w:rFonts w:hint="eastAsia" w:ascii="黑体" w:hAnsi="黑体" w:eastAsia="黑体" w:cs="黑体"/>
          <w:b/>
          <w:sz w:val="44"/>
          <w:szCs w:val="44"/>
          <w:lang w:val="en-US" w:eastAsia="zh-CN"/>
        </w:rPr>
        <w:t>六</w:t>
      </w:r>
      <w:r>
        <w:rPr>
          <w:rFonts w:hint="eastAsia" w:ascii="黑体" w:hAnsi="黑体" w:eastAsia="黑体" w:cs="黑体"/>
          <w:b/>
          <w:sz w:val="44"/>
          <w:szCs w:val="44"/>
        </w:rPr>
        <w:t>月</w:t>
      </w:r>
    </w:p>
    <w:p>
      <w:pPr>
        <w:pStyle w:val="13"/>
        <w:pageBreakBefore w:val="0"/>
        <w:kinsoku/>
        <w:overflowPunct/>
        <w:topLinePunct w:val="0"/>
        <w:autoSpaceDE/>
        <w:autoSpaceDN/>
        <w:bidi w:val="0"/>
        <w:spacing w:before="0" w:after="0" w:line="560" w:lineRule="exact"/>
        <w:ind w:firstLine="0" w:firstLineChars="0"/>
        <w:outlineLvl w:val="3"/>
        <w:rPr>
          <w:rFonts w:hint="eastAsia" w:ascii="仿宋" w:hAnsi="仿宋" w:eastAsia="仿宋" w:cs="仿宋"/>
          <w:bCs w:val="0"/>
          <w:sz w:val="32"/>
          <w:szCs w:val="32"/>
        </w:rPr>
        <w:sectPr>
          <w:headerReference r:id="rId4" w:type="first"/>
          <w:headerReference r:id="rId3" w:type="default"/>
          <w:pgSz w:w="11907" w:h="16840"/>
          <w:pgMar w:top="1276" w:right="1275" w:bottom="1135" w:left="1418" w:header="709" w:footer="603" w:gutter="0"/>
          <w:cols w:space="720" w:num="1"/>
          <w:titlePg/>
          <w:docGrid w:linePitch="462" w:charSpace="0"/>
        </w:sectPr>
      </w:pPr>
      <w:bookmarkStart w:id="0" w:name="_Toc2190"/>
    </w:p>
    <w:p>
      <w:pPr>
        <w:pStyle w:val="8"/>
        <w:pageBreakBefore w:val="0"/>
        <w:kinsoku/>
        <w:overflowPunct/>
        <w:topLinePunct w:val="0"/>
        <w:autoSpaceDE/>
        <w:autoSpaceDN/>
        <w:bidi w:val="0"/>
        <w:spacing w:line="560" w:lineRule="exact"/>
        <w:ind w:firstLine="643"/>
        <w:jc w:val="center"/>
        <w:rPr>
          <w:rFonts w:hint="eastAsia" w:ascii="仿宋" w:hAnsi="仿宋" w:eastAsia="仿宋" w:cs="仿宋"/>
          <w:b/>
          <w:sz w:val="44"/>
          <w:szCs w:val="44"/>
        </w:rPr>
      </w:pPr>
      <w:bookmarkStart w:id="1" w:name="_Toc11413"/>
      <w:bookmarkStart w:id="2" w:name="_Toc21460"/>
      <w:r>
        <w:rPr>
          <w:rFonts w:hint="eastAsia" w:ascii="仿宋" w:hAnsi="仿宋" w:eastAsia="仿宋" w:cs="仿宋"/>
          <w:b/>
          <w:sz w:val="44"/>
          <w:szCs w:val="44"/>
        </w:rPr>
        <w:t>目 录</w:t>
      </w:r>
      <w:bookmarkEnd w:id="0"/>
      <w:bookmarkEnd w:id="1"/>
      <w:bookmarkEnd w:id="2"/>
      <w:bookmarkStart w:id="3" w:name="_Toc10743"/>
      <w:bookmarkStart w:id="4" w:name="_Toc27690_WPSOffice_Level1"/>
      <w:bookmarkStart w:id="5" w:name="_Toc11256885"/>
    </w:p>
    <w:sdt>
      <w:sdtPr>
        <w:rPr>
          <w:rFonts w:hint="eastAsia" w:ascii="仿宋" w:hAnsi="仿宋" w:eastAsia="仿宋" w:cs="仿宋"/>
          <w:b/>
          <w:kern w:val="28"/>
          <w:sz w:val="32"/>
          <w:szCs w:val="32"/>
        </w:rPr>
        <w:id w:val="147481365"/>
        <w:docPartObj>
          <w:docPartGallery w:val="Table of Contents"/>
          <w:docPartUnique/>
        </w:docPartObj>
      </w:sdtPr>
      <w:sdtEndPr>
        <w:rPr>
          <w:rFonts w:hint="eastAsia" w:ascii="仿宋" w:hAnsi="仿宋" w:eastAsia="仿宋" w:cs="仿宋"/>
          <w:b/>
          <w:kern w:val="28"/>
          <w:sz w:val="32"/>
          <w:szCs w:val="32"/>
        </w:rPr>
      </w:sdtEndPr>
      <w:sdtContent>
        <w:p>
          <w:pPr>
            <w:pageBreakBefore w:val="0"/>
            <w:kinsoku/>
            <w:overflowPunct/>
            <w:topLinePunct w:val="0"/>
            <w:autoSpaceDE/>
            <w:autoSpaceDN/>
            <w:bidi w:val="0"/>
            <w:spacing w:line="560" w:lineRule="exact"/>
            <w:jc w:val="center"/>
            <w:rPr>
              <w:rFonts w:hint="eastAsia" w:ascii="仿宋" w:hAnsi="仿宋" w:eastAsia="仿宋" w:cs="仿宋"/>
              <w:b/>
              <w:sz w:val="32"/>
              <w:szCs w:val="32"/>
            </w:rPr>
          </w:pPr>
        </w:p>
        <w:p>
          <w:pPr>
            <w:pStyle w:val="12"/>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TOC \o "1-3" \h \u </w:instrText>
          </w:r>
          <w:r>
            <w:rPr>
              <w:rFonts w:hint="eastAsia" w:ascii="宋体" w:hAnsi="宋体" w:eastAsia="宋体" w:cs="宋体"/>
              <w:b w:val="0"/>
              <w:bCs/>
              <w:sz w:val="28"/>
              <w:szCs w:val="28"/>
            </w:rPr>
            <w:fldChar w:fldCharType="separate"/>
          </w:r>
        </w:p>
        <w:p>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240" w:lineRule="auto"/>
            <w:ind w:left="0" w:leftChars="0" w:firstLine="280" w:firstLineChars="1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_Toc1091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第一章 项目概况及招标程序</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_Toc1091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_Toc14253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lang w:val="zh-CN"/>
            </w:rPr>
            <w:t>一、项目名称</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_Toc14253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_Toc3905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lang w:val="zh-CN"/>
            </w:rPr>
            <w:t>二、招标编号</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_Toc3905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_Toc2751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三、投标人资质要求</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_Toc2751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lang w:eastAsia="zh-CN"/>
            </w:rPr>
          </w:pPr>
          <w:r>
            <w:rPr>
              <w:rFonts w:hint="eastAsia" w:ascii="仿宋" w:hAnsi="仿宋" w:eastAsia="仿宋" w:cs="仿宋"/>
              <w:b w:val="0"/>
              <w:bCs/>
              <w:color w:val="auto"/>
              <w:sz w:val="28"/>
              <w:szCs w:val="28"/>
              <w:u w:val="none"/>
              <w:lang w:val="zh-CN"/>
            </w:rPr>
            <w:fldChar w:fldCharType="begin"/>
          </w:r>
          <w:r>
            <w:rPr>
              <w:rFonts w:hint="eastAsia" w:ascii="仿宋" w:hAnsi="仿宋" w:eastAsia="仿宋" w:cs="仿宋"/>
              <w:b w:val="0"/>
              <w:bCs/>
              <w:color w:val="auto"/>
              <w:sz w:val="28"/>
              <w:szCs w:val="28"/>
              <w:u w:val="none"/>
              <w:lang w:val="zh-CN"/>
            </w:rPr>
            <w:instrText xml:space="preserve"> HYPERLINK \l "_四、项目内容、服务需求" </w:instrText>
          </w:r>
          <w:r>
            <w:rPr>
              <w:rFonts w:hint="eastAsia" w:ascii="仿宋" w:hAnsi="仿宋" w:eastAsia="仿宋" w:cs="仿宋"/>
              <w:b w:val="0"/>
              <w:bCs/>
              <w:color w:val="auto"/>
              <w:sz w:val="28"/>
              <w:szCs w:val="28"/>
              <w:u w:val="none"/>
              <w:lang w:val="zh-CN"/>
            </w:rPr>
            <w:fldChar w:fldCharType="separate"/>
          </w:r>
          <w:r>
            <w:rPr>
              <w:rStyle w:val="18"/>
              <w:rFonts w:hint="eastAsia" w:ascii="仿宋" w:hAnsi="仿宋" w:eastAsia="仿宋" w:cs="仿宋"/>
              <w:b w:val="0"/>
              <w:bCs/>
              <w:sz w:val="28"/>
              <w:szCs w:val="28"/>
              <w:lang w:val="zh-CN"/>
            </w:rPr>
            <w:t>四、项目内容、服务需求及期限</w:t>
          </w:r>
          <w:r>
            <w:rPr>
              <w:rStyle w:val="18"/>
              <w:rFonts w:hint="eastAsia" w:ascii="仿宋" w:hAnsi="仿宋" w:eastAsia="仿宋" w:cs="仿宋"/>
              <w:b w:val="0"/>
              <w:bCs/>
              <w:sz w:val="28"/>
              <w:szCs w:val="28"/>
            </w:rPr>
            <w:tab/>
          </w:r>
          <w:r>
            <w:rPr>
              <w:rFonts w:hint="eastAsia" w:ascii="仿宋" w:hAnsi="仿宋" w:eastAsia="仿宋" w:cs="仿宋"/>
              <w:b w:val="0"/>
              <w:bCs/>
              <w:color w:val="auto"/>
              <w:sz w:val="28"/>
              <w:szCs w:val="28"/>
              <w:u w:val="none"/>
              <w:lang w:val="zh-CN"/>
            </w:rPr>
            <w:fldChar w:fldCharType="end"/>
          </w:r>
          <w:r>
            <w:rPr>
              <w:rStyle w:val="18"/>
              <w:rFonts w:hint="eastAsia" w:ascii="仿宋" w:hAnsi="仿宋" w:eastAsia="仿宋" w:cs="仿宋"/>
              <w:b w:val="0"/>
              <w:bCs/>
              <w:sz w:val="28"/>
              <w:szCs w:val="28"/>
              <w:lang w:val="en-US" w:eastAsia="zh-CN"/>
            </w:rPr>
            <w:t>2</w:t>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color w:val="auto"/>
              <w:sz w:val="28"/>
              <w:szCs w:val="28"/>
              <w:u w:val="none"/>
            </w:rPr>
            <w:fldChar w:fldCharType="begin"/>
          </w:r>
          <w:r>
            <w:rPr>
              <w:rFonts w:hint="eastAsia" w:ascii="仿宋" w:hAnsi="仿宋" w:eastAsia="仿宋" w:cs="仿宋"/>
              <w:b w:val="0"/>
              <w:bCs/>
              <w:color w:val="auto"/>
              <w:sz w:val="28"/>
              <w:szCs w:val="28"/>
              <w:u w:val="none"/>
            </w:rPr>
            <w:instrText xml:space="preserve"> HYPERLINK \l "_五、项目期限" </w:instrText>
          </w:r>
          <w:r>
            <w:rPr>
              <w:rFonts w:hint="eastAsia" w:ascii="仿宋" w:hAnsi="仿宋" w:eastAsia="仿宋" w:cs="仿宋"/>
              <w:b w:val="0"/>
              <w:bCs/>
              <w:color w:val="auto"/>
              <w:sz w:val="28"/>
              <w:szCs w:val="28"/>
              <w:u w:val="none"/>
            </w:rPr>
            <w:fldChar w:fldCharType="separate"/>
          </w:r>
          <w:r>
            <w:rPr>
              <w:rStyle w:val="18"/>
              <w:rFonts w:hint="eastAsia" w:ascii="仿宋" w:hAnsi="仿宋" w:eastAsia="仿宋" w:cs="仿宋"/>
              <w:b w:val="0"/>
              <w:bCs/>
              <w:sz w:val="28"/>
              <w:szCs w:val="28"/>
            </w:rPr>
            <w:t>五、项目</w:t>
          </w:r>
          <w:r>
            <w:rPr>
              <w:rStyle w:val="18"/>
              <w:rFonts w:hint="eastAsia" w:ascii="仿宋" w:hAnsi="仿宋" w:eastAsia="仿宋" w:cs="仿宋"/>
              <w:b w:val="0"/>
              <w:bCs/>
              <w:sz w:val="28"/>
              <w:szCs w:val="28"/>
              <w:lang w:val="en-US" w:eastAsia="zh-CN"/>
            </w:rPr>
            <w:t>期限</w:t>
          </w:r>
          <w:r>
            <w:rPr>
              <w:rStyle w:val="18"/>
              <w:rFonts w:hint="eastAsia" w:ascii="仿宋" w:hAnsi="仿宋" w:eastAsia="仿宋" w:cs="仿宋"/>
              <w:b w:val="0"/>
              <w:bCs/>
              <w:sz w:val="28"/>
              <w:szCs w:val="28"/>
            </w:rPr>
            <w:tab/>
          </w:r>
          <w:r>
            <w:rPr>
              <w:rStyle w:val="18"/>
              <w:rFonts w:hint="eastAsia" w:ascii="仿宋" w:hAnsi="仿宋" w:eastAsia="仿宋" w:cs="仿宋"/>
              <w:b w:val="0"/>
              <w:bCs/>
              <w:sz w:val="28"/>
              <w:szCs w:val="28"/>
            </w:rPr>
            <w:fldChar w:fldCharType="begin"/>
          </w:r>
          <w:r>
            <w:rPr>
              <w:rStyle w:val="18"/>
              <w:rFonts w:hint="eastAsia" w:ascii="仿宋" w:hAnsi="仿宋" w:eastAsia="仿宋" w:cs="仿宋"/>
              <w:b w:val="0"/>
              <w:bCs/>
              <w:sz w:val="28"/>
              <w:szCs w:val="28"/>
            </w:rPr>
            <w:instrText xml:space="preserve"> PAGEREF _Toc2447 </w:instrText>
          </w:r>
          <w:r>
            <w:rPr>
              <w:rStyle w:val="18"/>
              <w:rFonts w:hint="eastAsia" w:ascii="仿宋" w:hAnsi="仿宋" w:eastAsia="仿宋" w:cs="仿宋"/>
              <w:b w:val="0"/>
              <w:bCs/>
              <w:sz w:val="28"/>
              <w:szCs w:val="28"/>
            </w:rPr>
            <w:fldChar w:fldCharType="separate"/>
          </w:r>
          <w:r>
            <w:rPr>
              <w:rStyle w:val="18"/>
              <w:rFonts w:hint="eastAsia" w:ascii="仿宋" w:hAnsi="仿宋" w:eastAsia="仿宋" w:cs="仿宋"/>
              <w:b w:val="0"/>
              <w:bCs/>
              <w:sz w:val="28"/>
              <w:szCs w:val="28"/>
            </w:rPr>
            <w:t>3</w:t>
          </w:r>
          <w:r>
            <w:rPr>
              <w:rStyle w:val="18"/>
              <w:rFonts w:hint="eastAsia" w:ascii="仿宋" w:hAnsi="仿宋" w:eastAsia="仿宋" w:cs="仿宋"/>
              <w:b w:val="0"/>
              <w:bCs/>
              <w:sz w:val="28"/>
              <w:szCs w:val="28"/>
            </w:rPr>
            <w:fldChar w:fldCharType="end"/>
          </w:r>
          <w:r>
            <w:rPr>
              <w:rFonts w:hint="eastAsia" w:ascii="仿宋" w:hAnsi="仿宋" w:eastAsia="仿宋" w:cs="仿宋"/>
              <w:b w:val="0"/>
              <w:bCs/>
              <w:color w:val="auto"/>
              <w:sz w:val="28"/>
              <w:szCs w:val="28"/>
              <w:u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color w:val="auto"/>
              <w:sz w:val="28"/>
              <w:szCs w:val="28"/>
              <w:u w:val="none"/>
            </w:rPr>
            <w:fldChar w:fldCharType="begin"/>
          </w:r>
          <w:r>
            <w:rPr>
              <w:rFonts w:hint="eastAsia" w:ascii="仿宋" w:hAnsi="仿宋" w:eastAsia="仿宋" w:cs="仿宋"/>
              <w:b w:val="0"/>
              <w:bCs/>
              <w:color w:val="auto"/>
              <w:sz w:val="28"/>
              <w:szCs w:val="28"/>
              <w:u w:val="none"/>
            </w:rPr>
            <w:instrText xml:space="preserve"> HYPERLINK \l "_六、项目服务费用" </w:instrText>
          </w:r>
          <w:r>
            <w:rPr>
              <w:rFonts w:hint="eastAsia" w:ascii="仿宋" w:hAnsi="仿宋" w:eastAsia="仿宋" w:cs="仿宋"/>
              <w:b w:val="0"/>
              <w:bCs/>
              <w:color w:val="auto"/>
              <w:sz w:val="28"/>
              <w:szCs w:val="28"/>
              <w:u w:val="none"/>
            </w:rPr>
            <w:fldChar w:fldCharType="separate"/>
          </w:r>
          <w:r>
            <w:rPr>
              <w:rStyle w:val="18"/>
              <w:rFonts w:hint="eastAsia" w:ascii="仿宋" w:hAnsi="仿宋" w:eastAsia="仿宋" w:cs="仿宋"/>
              <w:b w:val="0"/>
              <w:bCs/>
              <w:sz w:val="28"/>
              <w:szCs w:val="28"/>
            </w:rPr>
            <w:t>六、项目</w:t>
          </w:r>
          <w:r>
            <w:rPr>
              <w:rStyle w:val="18"/>
              <w:rFonts w:hint="eastAsia" w:ascii="仿宋" w:hAnsi="仿宋" w:eastAsia="仿宋" w:cs="仿宋"/>
              <w:b w:val="0"/>
              <w:bCs/>
              <w:sz w:val="28"/>
              <w:szCs w:val="28"/>
              <w:lang w:val="en-US" w:eastAsia="zh-CN"/>
            </w:rPr>
            <w:t>服务费用</w:t>
          </w:r>
          <w:r>
            <w:rPr>
              <w:rStyle w:val="18"/>
              <w:rFonts w:hint="eastAsia" w:ascii="仿宋" w:hAnsi="仿宋" w:eastAsia="仿宋" w:cs="仿宋"/>
              <w:b w:val="0"/>
              <w:bCs/>
              <w:sz w:val="28"/>
              <w:szCs w:val="28"/>
            </w:rPr>
            <w:tab/>
          </w:r>
          <w:r>
            <w:rPr>
              <w:rStyle w:val="18"/>
              <w:rFonts w:hint="eastAsia" w:ascii="仿宋" w:hAnsi="仿宋" w:eastAsia="仿宋" w:cs="仿宋"/>
              <w:b w:val="0"/>
              <w:bCs/>
              <w:sz w:val="28"/>
              <w:szCs w:val="28"/>
            </w:rPr>
            <w:fldChar w:fldCharType="begin"/>
          </w:r>
          <w:r>
            <w:rPr>
              <w:rStyle w:val="18"/>
              <w:rFonts w:hint="eastAsia" w:ascii="仿宋" w:hAnsi="仿宋" w:eastAsia="仿宋" w:cs="仿宋"/>
              <w:b w:val="0"/>
              <w:bCs/>
              <w:sz w:val="28"/>
              <w:szCs w:val="28"/>
            </w:rPr>
            <w:instrText xml:space="preserve"> PAGEREF _Toc20924 </w:instrText>
          </w:r>
          <w:r>
            <w:rPr>
              <w:rStyle w:val="18"/>
              <w:rFonts w:hint="eastAsia" w:ascii="仿宋" w:hAnsi="仿宋" w:eastAsia="仿宋" w:cs="仿宋"/>
              <w:b w:val="0"/>
              <w:bCs/>
              <w:sz w:val="28"/>
              <w:szCs w:val="28"/>
            </w:rPr>
            <w:fldChar w:fldCharType="separate"/>
          </w:r>
          <w:r>
            <w:rPr>
              <w:rStyle w:val="18"/>
              <w:rFonts w:hint="eastAsia" w:ascii="仿宋" w:hAnsi="仿宋" w:eastAsia="仿宋" w:cs="仿宋"/>
              <w:b w:val="0"/>
              <w:bCs/>
              <w:sz w:val="28"/>
              <w:szCs w:val="28"/>
            </w:rPr>
            <w:t>3</w:t>
          </w:r>
          <w:r>
            <w:rPr>
              <w:rStyle w:val="18"/>
              <w:rFonts w:hint="eastAsia" w:ascii="仿宋" w:hAnsi="仿宋" w:eastAsia="仿宋" w:cs="仿宋"/>
              <w:b w:val="0"/>
              <w:bCs/>
              <w:sz w:val="28"/>
              <w:szCs w:val="28"/>
            </w:rPr>
            <w:fldChar w:fldCharType="end"/>
          </w:r>
          <w:r>
            <w:rPr>
              <w:rFonts w:hint="eastAsia" w:ascii="仿宋" w:hAnsi="仿宋" w:eastAsia="仿宋" w:cs="仿宋"/>
              <w:b w:val="0"/>
              <w:bCs/>
              <w:color w:val="auto"/>
              <w:sz w:val="28"/>
              <w:szCs w:val="28"/>
              <w:u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color w:val="auto"/>
              <w:sz w:val="28"/>
              <w:szCs w:val="28"/>
              <w:u w:val="none"/>
            </w:rPr>
            <w:fldChar w:fldCharType="begin"/>
          </w:r>
          <w:r>
            <w:rPr>
              <w:rFonts w:hint="eastAsia" w:ascii="仿宋" w:hAnsi="仿宋" w:eastAsia="仿宋" w:cs="仿宋"/>
              <w:b w:val="0"/>
              <w:bCs/>
              <w:color w:val="auto"/>
              <w:sz w:val="28"/>
              <w:szCs w:val="28"/>
              <w:u w:val="none"/>
            </w:rPr>
            <w:instrText xml:space="preserve"> HYPERLINK \l "_七、投标文件要求" </w:instrText>
          </w:r>
          <w:r>
            <w:rPr>
              <w:rFonts w:hint="eastAsia" w:ascii="仿宋" w:hAnsi="仿宋" w:eastAsia="仿宋" w:cs="仿宋"/>
              <w:b w:val="0"/>
              <w:bCs/>
              <w:color w:val="auto"/>
              <w:sz w:val="28"/>
              <w:szCs w:val="28"/>
              <w:u w:val="none"/>
            </w:rPr>
            <w:fldChar w:fldCharType="separate"/>
          </w:r>
          <w:r>
            <w:rPr>
              <w:rStyle w:val="18"/>
              <w:rFonts w:hint="eastAsia" w:ascii="仿宋" w:hAnsi="仿宋" w:eastAsia="仿宋" w:cs="仿宋"/>
              <w:b w:val="0"/>
              <w:bCs/>
              <w:sz w:val="28"/>
              <w:szCs w:val="28"/>
            </w:rPr>
            <w:t>七、投标</w:t>
          </w:r>
          <w:r>
            <w:rPr>
              <w:rStyle w:val="18"/>
              <w:rFonts w:hint="eastAsia" w:ascii="仿宋" w:hAnsi="仿宋" w:eastAsia="仿宋" w:cs="仿宋"/>
              <w:b w:val="0"/>
              <w:bCs/>
              <w:sz w:val="28"/>
              <w:szCs w:val="28"/>
              <w:lang w:val="en-US" w:eastAsia="zh-CN"/>
            </w:rPr>
            <w:t>人文件要求</w:t>
          </w:r>
          <w:r>
            <w:rPr>
              <w:rStyle w:val="18"/>
              <w:rFonts w:hint="eastAsia" w:ascii="仿宋" w:hAnsi="仿宋" w:eastAsia="仿宋" w:cs="仿宋"/>
              <w:b w:val="0"/>
              <w:bCs/>
              <w:sz w:val="28"/>
              <w:szCs w:val="28"/>
            </w:rPr>
            <w:tab/>
          </w:r>
          <w:r>
            <w:rPr>
              <w:rStyle w:val="18"/>
              <w:rFonts w:hint="eastAsia" w:ascii="仿宋" w:hAnsi="仿宋" w:eastAsia="仿宋" w:cs="仿宋"/>
              <w:b w:val="0"/>
              <w:bCs/>
              <w:sz w:val="28"/>
              <w:szCs w:val="28"/>
            </w:rPr>
            <w:fldChar w:fldCharType="begin"/>
          </w:r>
          <w:r>
            <w:rPr>
              <w:rStyle w:val="18"/>
              <w:rFonts w:hint="eastAsia" w:ascii="仿宋" w:hAnsi="仿宋" w:eastAsia="仿宋" w:cs="仿宋"/>
              <w:b w:val="0"/>
              <w:bCs/>
              <w:sz w:val="28"/>
              <w:szCs w:val="28"/>
            </w:rPr>
            <w:instrText xml:space="preserve"> PAGEREF _Toc10279 </w:instrText>
          </w:r>
          <w:r>
            <w:rPr>
              <w:rStyle w:val="18"/>
              <w:rFonts w:hint="eastAsia" w:ascii="仿宋" w:hAnsi="仿宋" w:eastAsia="仿宋" w:cs="仿宋"/>
              <w:b w:val="0"/>
              <w:bCs/>
              <w:sz w:val="28"/>
              <w:szCs w:val="28"/>
            </w:rPr>
            <w:fldChar w:fldCharType="separate"/>
          </w:r>
          <w:r>
            <w:rPr>
              <w:rStyle w:val="18"/>
              <w:rFonts w:hint="eastAsia" w:ascii="仿宋" w:hAnsi="仿宋" w:eastAsia="仿宋" w:cs="仿宋"/>
              <w:b w:val="0"/>
              <w:bCs/>
              <w:sz w:val="28"/>
              <w:szCs w:val="28"/>
            </w:rPr>
            <w:t>6</w:t>
          </w:r>
          <w:r>
            <w:rPr>
              <w:rStyle w:val="18"/>
              <w:rFonts w:hint="eastAsia" w:ascii="仿宋" w:hAnsi="仿宋" w:eastAsia="仿宋" w:cs="仿宋"/>
              <w:b w:val="0"/>
              <w:bCs/>
              <w:sz w:val="28"/>
              <w:szCs w:val="28"/>
            </w:rPr>
            <w:fldChar w:fldCharType="end"/>
          </w:r>
          <w:r>
            <w:rPr>
              <w:rFonts w:hint="eastAsia" w:ascii="仿宋" w:hAnsi="仿宋" w:eastAsia="仿宋" w:cs="仿宋"/>
              <w:b w:val="0"/>
              <w:bCs/>
              <w:color w:val="auto"/>
              <w:sz w:val="28"/>
              <w:szCs w:val="28"/>
              <w:u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_Toc10279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lang w:val="en-US" w:eastAsia="zh-CN"/>
            </w:rPr>
            <w:t>八</w:t>
          </w:r>
          <w:r>
            <w:rPr>
              <w:rFonts w:hint="eastAsia" w:ascii="仿宋" w:hAnsi="仿宋" w:eastAsia="仿宋" w:cs="仿宋"/>
              <w:b w:val="0"/>
              <w:bCs/>
              <w:sz w:val="28"/>
              <w:szCs w:val="28"/>
            </w:rPr>
            <w:t>、投标</w:t>
          </w:r>
          <w:r>
            <w:rPr>
              <w:rFonts w:hint="eastAsia" w:ascii="仿宋" w:hAnsi="仿宋" w:eastAsia="仿宋" w:cs="仿宋"/>
              <w:b w:val="0"/>
              <w:bCs/>
              <w:sz w:val="28"/>
              <w:szCs w:val="28"/>
              <w:lang w:val="en-US" w:eastAsia="zh-CN"/>
            </w:rPr>
            <w:t>人须知</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_Toc10279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6</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_Toc7171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lang w:val="en-US" w:eastAsia="zh-CN"/>
            </w:rPr>
            <w:t>九</w:t>
          </w:r>
          <w:r>
            <w:rPr>
              <w:rFonts w:hint="eastAsia" w:ascii="仿宋" w:hAnsi="仿宋" w:eastAsia="仿宋" w:cs="仿宋"/>
              <w:b w:val="0"/>
              <w:bCs/>
              <w:sz w:val="28"/>
              <w:szCs w:val="28"/>
            </w:rPr>
            <w:t>、投标文件作废</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_Toc7171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8</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_Toc3906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lang w:val="en-US" w:eastAsia="zh-CN"/>
            </w:rPr>
            <w:t>十</w:t>
          </w:r>
          <w:r>
            <w:rPr>
              <w:rFonts w:hint="eastAsia" w:ascii="仿宋" w:hAnsi="仿宋" w:eastAsia="仿宋" w:cs="仿宋"/>
              <w:b w:val="0"/>
              <w:bCs/>
              <w:sz w:val="28"/>
              <w:szCs w:val="28"/>
            </w:rPr>
            <w:t>、其他要求</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_Toc3906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8</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_Toc1415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十</w:t>
          </w:r>
          <w:r>
            <w:rPr>
              <w:rFonts w:hint="eastAsia" w:ascii="仿宋" w:hAnsi="仿宋" w:eastAsia="仿宋" w:cs="仿宋"/>
              <w:b w:val="0"/>
              <w:bCs/>
              <w:sz w:val="28"/>
              <w:szCs w:val="28"/>
              <w:lang w:val="en-US" w:eastAsia="zh-CN"/>
            </w:rPr>
            <w:t>一</w:t>
          </w:r>
          <w:r>
            <w:rPr>
              <w:rFonts w:hint="eastAsia" w:ascii="仿宋" w:hAnsi="仿宋" w:eastAsia="仿宋" w:cs="仿宋"/>
              <w:b w:val="0"/>
              <w:bCs/>
              <w:sz w:val="28"/>
              <w:szCs w:val="28"/>
            </w:rPr>
            <w:t>、投标文件递交</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_Toc1415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9</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_Toc26396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十</w:t>
          </w:r>
          <w:r>
            <w:rPr>
              <w:rFonts w:hint="eastAsia" w:ascii="仿宋" w:hAnsi="仿宋" w:eastAsia="仿宋" w:cs="仿宋"/>
              <w:b w:val="0"/>
              <w:bCs/>
              <w:sz w:val="28"/>
              <w:szCs w:val="28"/>
              <w:lang w:val="en-US" w:eastAsia="zh-CN"/>
            </w:rPr>
            <w:t>二</w:t>
          </w:r>
          <w:r>
            <w:rPr>
              <w:rFonts w:hint="eastAsia" w:ascii="仿宋" w:hAnsi="仿宋" w:eastAsia="仿宋" w:cs="仿宋"/>
              <w:b w:val="0"/>
              <w:bCs/>
              <w:sz w:val="28"/>
              <w:szCs w:val="28"/>
            </w:rPr>
            <w:t>、开标</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_Toc26396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9</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_Toc16279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十</w:t>
          </w:r>
          <w:r>
            <w:rPr>
              <w:rFonts w:hint="eastAsia" w:ascii="仿宋" w:hAnsi="仿宋" w:eastAsia="仿宋" w:cs="仿宋"/>
              <w:b w:val="0"/>
              <w:bCs/>
              <w:sz w:val="28"/>
              <w:szCs w:val="28"/>
              <w:lang w:val="en-US" w:eastAsia="zh-CN"/>
            </w:rPr>
            <w:t>三</w:t>
          </w:r>
          <w:r>
            <w:rPr>
              <w:rFonts w:hint="eastAsia" w:ascii="仿宋" w:hAnsi="仿宋" w:eastAsia="仿宋" w:cs="仿宋"/>
              <w:b w:val="0"/>
              <w:bCs/>
              <w:sz w:val="28"/>
              <w:szCs w:val="28"/>
            </w:rPr>
            <w:t>、评标</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_Toc16279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10</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_Toc29923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十</w:t>
          </w:r>
          <w:r>
            <w:rPr>
              <w:rFonts w:hint="eastAsia" w:ascii="仿宋" w:hAnsi="仿宋" w:eastAsia="仿宋" w:cs="仿宋"/>
              <w:b w:val="0"/>
              <w:bCs/>
              <w:sz w:val="28"/>
              <w:szCs w:val="28"/>
              <w:lang w:val="en-US" w:eastAsia="zh-CN"/>
            </w:rPr>
            <w:t>四</w:t>
          </w:r>
          <w:r>
            <w:rPr>
              <w:rFonts w:hint="eastAsia" w:ascii="仿宋" w:hAnsi="仿宋" w:eastAsia="仿宋" w:cs="仿宋"/>
              <w:b w:val="0"/>
              <w:bCs/>
              <w:sz w:val="28"/>
              <w:szCs w:val="28"/>
            </w:rPr>
            <w:t>、定标</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_Toc29923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10</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_Toc13682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十</w:t>
          </w:r>
          <w:r>
            <w:rPr>
              <w:rFonts w:hint="eastAsia" w:ascii="仿宋" w:hAnsi="仿宋" w:eastAsia="仿宋" w:cs="仿宋"/>
              <w:b w:val="0"/>
              <w:bCs/>
              <w:sz w:val="28"/>
              <w:szCs w:val="28"/>
              <w:lang w:val="en-US" w:eastAsia="zh-CN"/>
            </w:rPr>
            <w:t>五</w:t>
          </w:r>
          <w:r>
            <w:rPr>
              <w:rFonts w:hint="eastAsia" w:ascii="仿宋" w:hAnsi="仿宋" w:eastAsia="仿宋" w:cs="仿宋"/>
              <w:b w:val="0"/>
              <w:bCs/>
              <w:sz w:val="28"/>
              <w:szCs w:val="28"/>
            </w:rPr>
            <w:t>、结算方式</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_Toc13682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10</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color w:val="auto"/>
              <w:sz w:val="28"/>
              <w:szCs w:val="28"/>
              <w:u w:val="none"/>
            </w:rPr>
            <w:fldChar w:fldCharType="begin"/>
          </w:r>
          <w:r>
            <w:rPr>
              <w:rFonts w:hint="eastAsia" w:ascii="仿宋" w:hAnsi="仿宋" w:eastAsia="仿宋" w:cs="仿宋"/>
              <w:b w:val="0"/>
              <w:bCs/>
              <w:color w:val="auto"/>
              <w:sz w:val="28"/>
              <w:szCs w:val="28"/>
              <w:u w:val="none"/>
            </w:rPr>
            <w:instrText xml:space="preserve"> HYPERLINK \l "_十六、解释权" </w:instrText>
          </w:r>
          <w:r>
            <w:rPr>
              <w:rFonts w:hint="eastAsia" w:ascii="仿宋" w:hAnsi="仿宋" w:eastAsia="仿宋" w:cs="仿宋"/>
              <w:b w:val="0"/>
              <w:bCs/>
              <w:color w:val="auto"/>
              <w:sz w:val="28"/>
              <w:szCs w:val="28"/>
              <w:u w:val="none"/>
            </w:rPr>
            <w:fldChar w:fldCharType="separate"/>
          </w:r>
          <w:r>
            <w:rPr>
              <w:rStyle w:val="18"/>
              <w:rFonts w:hint="eastAsia" w:ascii="仿宋" w:hAnsi="仿宋" w:eastAsia="仿宋" w:cs="仿宋"/>
              <w:b w:val="0"/>
              <w:bCs/>
              <w:sz w:val="28"/>
              <w:szCs w:val="28"/>
            </w:rPr>
            <w:t>十</w:t>
          </w:r>
          <w:r>
            <w:rPr>
              <w:rStyle w:val="18"/>
              <w:rFonts w:hint="eastAsia" w:ascii="仿宋" w:hAnsi="仿宋" w:eastAsia="仿宋" w:cs="仿宋"/>
              <w:b w:val="0"/>
              <w:bCs/>
              <w:sz w:val="28"/>
              <w:szCs w:val="28"/>
              <w:lang w:val="en-US" w:eastAsia="zh-CN"/>
            </w:rPr>
            <w:t>六</w:t>
          </w:r>
          <w:r>
            <w:rPr>
              <w:rStyle w:val="18"/>
              <w:rFonts w:hint="eastAsia" w:ascii="仿宋" w:hAnsi="仿宋" w:eastAsia="仿宋" w:cs="仿宋"/>
              <w:b w:val="0"/>
              <w:bCs/>
              <w:sz w:val="28"/>
              <w:szCs w:val="28"/>
            </w:rPr>
            <w:t>、解释权</w:t>
          </w:r>
          <w:r>
            <w:rPr>
              <w:rStyle w:val="18"/>
              <w:rFonts w:hint="eastAsia" w:ascii="仿宋" w:hAnsi="仿宋" w:eastAsia="仿宋" w:cs="仿宋"/>
              <w:b w:val="0"/>
              <w:bCs/>
              <w:sz w:val="28"/>
              <w:szCs w:val="28"/>
            </w:rPr>
            <w:tab/>
          </w:r>
          <w:r>
            <w:rPr>
              <w:rStyle w:val="18"/>
              <w:rFonts w:hint="eastAsia" w:ascii="仿宋" w:hAnsi="仿宋" w:eastAsia="仿宋" w:cs="仿宋"/>
              <w:b w:val="0"/>
              <w:bCs/>
              <w:sz w:val="28"/>
              <w:szCs w:val="28"/>
            </w:rPr>
            <w:fldChar w:fldCharType="begin"/>
          </w:r>
          <w:r>
            <w:rPr>
              <w:rStyle w:val="18"/>
              <w:rFonts w:hint="eastAsia" w:ascii="仿宋" w:hAnsi="仿宋" w:eastAsia="仿宋" w:cs="仿宋"/>
              <w:b w:val="0"/>
              <w:bCs/>
              <w:sz w:val="28"/>
              <w:szCs w:val="28"/>
            </w:rPr>
            <w:instrText xml:space="preserve"> PAGEREF _Toc15456 </w:instrText>
          </w:r>
          <w:r>
            <w:rPr>
              <w:rStyle w:val="18"/>
              <w:rFonts w:hint="eastAsia" w:ascii="仿宋" w:hAnsi="仿宋" w:eastAsia="仿宋" w:cs="仿宋"/>
              <w:b w:val="0"/>
              <w:bCs/>
              <w:sz w:val="28"/>
              <w:szCs w:val="28"/>
            </w:rPr>
            <w:fldChar w:fldCharType="separate"/>
          </w:r>
          <w:r>
            <w:rPr>
              <w:rStyle w:val="18"/>
              <w:rFonts w:hint="eastAsia" w:ascii="仿宋" w:hAnsi="仿宋" w:eastAsia="仿宋" w:cs="仿宋"/>
              <w:b w:val="0"/>
              <w:bCs/>
              <w:sz w:val="28"/>
              <w:szCs w:val="28"/>
            </w:rPr>
            <w:t>11</w:t>
          </w:r>
          <w:r>
            <w:rPr>
              <w:rStyle w:val="18"/>
              <w:rFonts w:hint="eastAsia" w:ascii="仿宋" w:hAnsi="仿宋" w:eastAsia="仿宋" w:cs="仿宋"/>
              <w:b w:val="0"/>
              <w:bCs/>
              <w:sz w:val="28"/>
              <w:szCs w:val="28"/>
            </w:rPr>
            <w:fldChar w:fldCharType="end"/>
          </w:r>
          <w:r>
            <w:rPr>
              <w:rFonts w:hint="eastAsia" w:ascii="仿宋" w:hAnsi="仿宋" w:eastAsia="仿宋" w:cs="仿宋"/>
              <w:b w:val="0"/>
              <w:bCs/>
              <w:color w:val="auto"/>
              <w:sz w:val="28"/>
              <w:szCs w:val="28"/>
              <w:u w:val="none"/>
            </w:rPr>
            <w:fldChar w:fldCharType="end"/>
          </w:r>
        </w:p>
        <w:p>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240" w:lineRule="auto"/>
            <w:ind w:left="-200" w:leftChars="0" w:firstLine="618" w:firstLineChars="221"/>
            <w:textAlignment w:val="auto"/>
            <w:rPr>
              <w:rFonts w:hint="eastAsia" w:ascii="仿宋" w:hAnsi="仿宋" w:eastAsia="仿宋" w:cs="仿宋"/>
              <w:b w:val="0"/>
              <w:bCs/>
              <w:sz w:val="28"/>
              <w:szCs w:val="28"/>
            </w:rPr>
          </w:pPr>
          <w:r>
            <w:rPr>
              <w:rFonts w:hint="eastAsia" w:ascii="仿宋" w:hAnsi="仿宋" w:eastAsia="仿宋" w:cs="仿宋"/>
              <w:b w:val="0"/>
              <w:bCs/>
              <w:color w:val="auto"/>
              <w:sz w:val="28"/>
              <w:szCs w:val="28"/>
              <w:u w:val="none"/>
            </w:rPr>
            <w:fldChar w:fldCharType="begin"/>
          </w:r>
          <w:r>
            <w:rPr>
              <w:rFonts w:hint="eastAsia" w:ascii="仿宋" w:hAnsi="仿宋" w:eastAsia="仿宋" w:cs="仿宋"/>
              <w:b w:val="0"/>
              <w:bCs/>
              <w:color w:val="auto"/>
              <w:sz w:val="28"/>
              <w:szCs w:val="28"/>
              <w:u w:val="none"/>
            </w:rPr>
            <w:instrText xml:space="preserve"> HYPERLINK \l "_第二章 评标程序及标准" </w:instrText>
          </w:r>
          <w:r>
            <w:rPr>
              <w:rFonts w:hint="eastAsia" w:ascii="仿宋" w:hAnsi="仿宋" w:eastAsia="仿宋" w:cs="仿宋"/>
              <w:b w:val="0"/>
              <w:bCs/>
              <w:color w:val="auto"/>
              <w:sz w:val="28"/>
              <w:szCs w:val="28"/>
              <w:u w:val="none"/>
            </w:rPr>
            <w:fldChar w:fldCharType="separate"/>
          </w:r>
          <w:r>
            <w:rPr>
              <w:rStyle w:val="18"/>
              <w:rFonts w:hint="eastAsia" w:ascii="仿宋" w:hAnsi="仿宋" w:eastAsia="仿宋" w:cs="仿宋"/>
              <w:b w:val="0"/>
              <w:bCs/>
              <w:sz w:val="28"/>
              <w:szCs w:val="28"/>
            </w:rPr>
            <w:t>第二章 评标程序及标准</w:t>
          </w:r>
          <w:r>
            <w:rPr>
              <w:rStyle w:val="18"/>
              <w:rFonts w:hint="eastAsia" w:ascii="仿宋" w:hAnsi="仿宋" w:eastAsia="仿宋" w:cs="仿宋"/>
              <w:b w:val="0"/>
              <w:bCs/>
              <w:sz w:val="28"/>
              <w:szCs w:val="28"/>
            </w:rPr>
            <w:tab/>
          </w:r>
          <w:r>
            <w:rPr>
              <w:rStyle w:val="18"/>
              <w:rFonts w:hint="eastAsia" w:ascii="仿宋" w:hAnsi="仿宋" w:eastAsia="仿宋" w:cs="仿宋"/>
              <w:b w:val="0"/>
              <w:bCs/>
              <w:sz w:val="28"/>
              <w:szCs w:val="28"/>
            </w:rPr>
            <w:fldChar w:fldCharType="begin"/>
          </w:r>
          <w:r>
            <w:rPr>
              <w:rStyle w:val="18"/>
              <w:rFonts w:hint="eastAsia" w:ascii="仿宋" w:hAnsi="仿宋" w:eastAsia="仿宋" w:cs="仿宋"/>
              <w:b w:val="0"/>
              <w:bCs/>
              <w:sz w:val="28"/>
              <w:szCs w:val="28"/>
            </w:rPr>
            <w:instrText xml:space="preserve"> PAGEREF _Toc20470 </w:instrText>
          </w:r>
          <w:r>
            <w:rPr>
              <w:rStyle w:val="18"/>
              <w:rFonts w:hint="eastAsia" w:ascii="仿宋" w:hAnsi="仿宋" w:eastAsia="仿宋" w:cs="仿宋"/>
              <w:b w:val="0"/>
              <w:bCs/>
              <w:sz w:val="28"/>
              <w:szCs w:val="28"/>
            </w:rPr>
            <w:fldChar w:fldCharType="separate"/>
          </w:r>
          <w:r>
            <w:rPr>
              <w:rStyle w:val="18"/>
              <w:rFonts w:hint="eastAsia" w:ascii="仿宋" w:hAnsi="仿宋" w:eastAsia="仿宋" w:cs="仿宋"/>
              <w:b w:val="0"/>
              <w:bCs/>
              <w:sz w:val="28"/>
              <w:szCs w:val="28"/>
            </w:rPr>
            <w:t>12</w:t>
          </w:r>
          <w:r>
            <w:rPr>
              <w:rStyle w:val="18"/>
              <w:rFonts w:hint="eastAsia" w:ascii="仿宋" w:hAnsi="仿宋" w:eastAsia="仿宋" w:cs="仿宋"/>
              <w:b w:val="0"/>
              <w:bCs/>
              <w:sz w:val="28"/>
              <w:szCs w:val="28"/>
            </w:rPr>
            <w:fldChar w:fldCharType="end"/>
          </w:r>
          <w:r>
            <w:rPr>
              <w:rFonts w:hint="eastAsia" w:ascii="仿宋" w:hAnsi="仿宋" w:eastAsia="仿宋" w:cs="仿宋"/>
              <w:b w:val="0"/>
              <w:bCs/>
              <w:color w:val="auto"/>
              <w:sz w:val="28"/>
              <w:szCs w:val="28"/>
              <w:u w:val="none"/>
            </w:rPr>
            <w:fldChar w:fldCharType="end"/>
          </w:r>
        </w:p>
        <w:p>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240" w:lineRule="auto"/>
            <w:ind w:left="210" w:leftChars="0" w:firstLine="210" w:firstLineChars="75"/>
            <w:textAlignment w:val="auto"/>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_Toc21894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第三章 合同条款</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_Toc21894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17</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240" w:lineRule="auto"/>
            <w:ind w:left="210" w:leftChars="0" w:firstLine="210" w:firstLineChars="75"/>
            <w:textAlignment w:val="auto"/>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_Toc6034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第四章 投标文件格式</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_Toc6034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24</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_Toc24104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格式1：《唱标信封》</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_Toc24104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24</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_Toc5477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格式2：开标一览表</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_Toc5477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25</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color w:val="auto"/>
              <w:sz w:val="28"/>
              <w:szCs w:val="28"/>
              <w:u w:val="none"/>
            </w:rPr>
          </w:pPr>
          <w:r>
            <w:rPr>
              <w:rFonts w:hint="eastAsia" w:ascii="仿宋" w:hAnsi="仿宋" w:eastAsia="仿宋" w:cs="仿宋"/>
              <w:b w:val="0"/>
              <w:bCs/>
              <w:color w:val="auto"/>
              <w:sz w:val="28"/>
              <w:szCs w:val="28"/>
              <w:u w:val="none"/>
            </w:rPr>
            <w:fldChar w:fldCharType="begin"/>
          </w:r>
          <w:r>
            <w:rPr>
              <w:rFonts w:hint="eastAsia" w:ascii="仿宋" w:hAnsi="仿宋" w:eastAsia="仿宋" w:cs="仿宋"/>
              <w:b w:val="0"/>
              <w:bCs/>
              <w:color w:val="auto"/>
              <w:sz w:val="28"/>
              <w:szCs w:val="28"/>
              <w:u w:val="none"/>
            </w:rPr>
            <w:instrText xml:space="preserve"> HYPERLINK \l "_表1：法律顾问单位服务项目清单" </w:instrText>
          </w:r>
          <w:r>
            <w:rPr>
              <w:rFonts w:hint="eastAsia" w:ascii="仿宋" w:hAnsi="仿宋" w:eastAsia="仿宋" w:cs="仿宋"/>
              <w:b w:val="0"/>
              <w:bCs/>
              <w:color w:val="auto"/>
              <w:sz w:val="28"/>
              <w:szCs w:val="28"/>
              <w:u w:val="none"/>
            </w:rPr>
            <w:fldChar w:fldCharType="separate"/>
          </w:r>
          <w:r>
            <w:rPr>
              <w:rStyle w:val="18"/>
              <w:rFonts w:hint="eastAsia" w:ascii="仿宋" w:hAnsi="仿宋" w:eastAsia="仿宋" w:cs="仿宋"/>
              <w:b w:val="0"/>
              <w:bCs/>
              <w:sz w:val="28"/>
              <w:szCs w:val="28"/>
            </w:rPr>
            <w:t xml:space="preserve">格式3: </w:t>
          </w:r>
          <w:r>
            <w:rPr>
              <w:rStyle w:val="18"/>
              <w:rFonts w:hint="eastAsia" w:ascii="仿宋" w:hAnsi="仿宋" w:eastAsia="仿宋" w:cs="仿宋"/>
              <w:b w:val="0"/>
              <w:bCs/>
              <w:sz w:val="28"/>
              <w:szCs w:val="28"/>
              <w:lang w:val="en-US" w:eastAsia="zh-CN"/>
            </w:rPr>
            <w:t>法律顾问单位服务方案</w:t>
          </w:r>
          <w:r>
            <w:rPr>
              <w:rStyle w:val="18"/>
              <w:rFonts w:hint="eastAsia" w:ascii="仿宋" w:hAnsi="仿宋" w:eastAsia="仿宋" w:cs="仿宋"/>
              <w:b w:val="0"/>
              <w:bCs/>
              <w:sz w:val="28"/>
              <w:szCs w:val="28"/>
            </w:rPr>
            <w:tab/>
          </w:r>
          <w:r>
            <w:rPr>
              <w:rStyle w:val="18"/>
              <w:rFonts w:hint="eastAsia" w:ascii="仿宋" w:hAnsi="仿宋" w:eastAsia="仿宋" w:cs="仿宋"/>
              <w:b w:val="0"/>
              <w:bCs/>
              <w:sz w:val="28"/>
              <w:szCs w:val="28"/>
            </w:rPr>
            <w:fldChar w:fldCharType="begin"/>
          </w:r>
          <w:r>
            <w:rPr>
              <w:rStyle w:val="18"/>
              <w:rFonts w:hint="eastAsia" w:ascii="仿宋" w:hAnsi="仿宋" w:eastAsia="仿宋" w:cs="仿宋"/>
              <w:b w:val="0"/>
              <w:bCs/>
              <w:sz w:val="28"/>
              <w:szCs w:val="28"/>
            </w:rPr>
            <w:instrText xml:space="preserve"> PAGEREF _Toc31519 </w:instrText>
          </w:r>
          <w:r>
            <w:rPr>
              <w:rStyle w:val="18"/>
              <w:rFonts w:hint="eastAsia" w:ascii="仿宋" w:hAnsi="仿宋" w:eastAsia="仿宋" w:cs="仿宋"/>
              <w:b w:val="0"/>
              <w:bCs/>
              <w:sz w:val="28"/>
              <w:szCs w:val="28"/>
            </w:rPr>
            <w:fldChar w:fldCharType="separate"/>
          </w:r>
          <w:r>
            <w:rPr>
              <w:rStyle w:val="18"/>
              <w:rFonts w:hint="eastAsia" w:ascii="仿宋" w:hAnsi="仿宋" w:eastAsia="仿宋" w:cs="仿宋"/>
              <w:b w:val="0"/>
              <w:bCs/>
              <w:sz w:val="28"/>
              <w:szCs w:val="28"/>
            </w:rPr>
            <w:t>27</w:t>
          </w:r>
          <w:r>
            <w:rPr>
              <w:rStyle w:val="18"/>
              <w:rFonts w:hint="eastAsia" w:ascii="仿宋" w:hAnsi="仿宋" w:eastAsia="仿宋" w:cs="仿宋"/>
              <w:b w:val="0"/>
              <w:bCs/>
              <w:sz w:val="28"/>
              <w:szCs w:val="28"/>
            </w:rPr>
            <w:fldChar w:fldCharType="end"/>
          </w:r>
          <w:r>
            <w:rPr>
              <w:rFonts w:hint="eastAsia" w:ascii="仿宋" w:hAnsi="仿宋" w:eastAsia="仿宋" w:cs="仿宋"/>
              <w:b w:val="0"/>
              <w:bCs/>
              <w:color w:val="auto"/>
              <w:sz w:val="28"/>
              <w:szCs w:val="28"/>
              <w:u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color w:val="auto"/>
              <w:sz w:val="28"/>
              <w:szCs w:val="28"/>
              <w:u w:val="none"/>
            </w:rPr>
          </w:pPr>
          <w:r>
            <w:rPr>
              <w:rFonts w:hint="eastAsia" w:ascii="仿宋" w:hAnsi="仿宋" w:eastAsia="仿宋" w:cs="仿宋"/>
              <w:b w:val="0"/>
              <w:bCs/>
              <w:color w:val="auto"/>
              <w:sz w:val="28"/>
              <w:szCs w:val="28"/>
              <w:u w:val="none"/>
              <w:lang w:val="en-US" w:eastAsia="zh-CN"/>
            </w:rPr>
            <w:fldChar w:fldCharType="begin"/>
          </w:r>
          <w:r>
            <w:rPr>
              <w:rFonts w:hint="eastAsia" w:ascii="仿宋" w:hAnsi="仿宋" w:eastAsia="仿宋" w:cs="仿宋"/>
              <w:b w:val="0"/>
              <w:bCs/>
              <w:color w:val="auto"/>
              <w:sz w:val="28"/>
              <w:szCs w:val="28"/>
              <w:u w:val="none"/>
              <w:lang w:val="en-US" w:eastAsia="zh-CN"/>
            </w:rPr>
            <w:instrText xml:space="preserve"> HYPERLINK \l "_表1：法律顾问单位服务方案项目清单" </w:instrText>
          </w:r>
          <w:r>
            <w:rPr>
              <w:rFonts w:hint="eastAsia" w:ascii="仿宋" w:hAnsi="仿宋" w:eastAsia="仿宋" w:cs="仿宋"/>
              <w:b w:val="0"/>
              <w:bCs/>
              <w:color w:val="auto"/>
              <w:sz w:val="28"/>
              <w:szCs w:val="28"/>
              <w:u w:val="none"/>
              <w:lang w:val="en-US" w:eastAsia="zh-CN"/>
            </w:rPr>
            <w:fldChar w:fldCharType="separate"/>
          </w:r>
          <w:r>
            <w:rPr>
              <w:rStyle w:val="18"/>
              <w:rFonts w:hint="eastAsia" w:ascii="仿宋" w:hAnsi="仿宋" w:eastAsia="仿宋" w:cs="仿宋"/>
              <w:b w:val="0"/>
              <w:bCs/>
              <w:sz w:val="28"/>
              <w:szCs w:val="28"/>
              <w:lang w:val="en-US" w:eastAsia="zh-CN"/>
            </w:rPr>
            <w:t>表1</w:t>
          </w:r>
          <w:r>
            <w:rPr>
              <w:rStyle w:val="18"/>
              <w:rFonts w:hint="eastAsia" w:ascii="仿宋" w:hAnsi="仿宋" w:eastAsia="仿宋" w:cs="仿宋"/>
              <w:b w:val="0"/>
              <w:bCs/>
              <w:sz w:val="28"/>
              <w:szCs w:val="28"/>
            </w:rPr>
            <w:t xml:space="preserve">: </w:t>
          </w:r>
          <w:r>
            <w:rPr>
              <w:rStyle w:val="18"/>
              <w:rFonts w:hint="eastAsia" w:ascii="仿宋" w:hAnsi="仿宋" w:eastAsia="仿宋" w:cs="仿宋"/>
              <w:b w:val="0"/>
              <w:bCs/>
              <w:sz w:val="28"/>
              <w:szCs w:val="28"/>
              <w:lang w:val="en-US" w:eastAsia="zh-CN"/>
            </w:rPr>
            <w:t>法律顾问单位服务方案</w:t>
          </w:r>
          <w:r>
            <w:rPr>
              <w:rStyle w:val="18"/>
              <w:rFonts w:hint="eastAsia" w:ascii="仿宋" w:hAnsi="仿宋" w:eastAsia="仿宋" w:cs="仿宋"/>
              <w:b w:val="0"/>
              <w:bCs/>
              <w:sz w:val="28"/>
              <w:szCs w:val="28"/>
            </w:rPr>
            <w:t>项目清单</w:t>
          </w:r>
          <w:r>
            <w:rPr>
              <w:rStyle w:val="18"/>
              <w:rFonts w:hint="eastAsia" w:ascii="仿宋" w:hAnsi="仿宋" w:eastAsia="仿宋" w:cs="仿宋"/>
              <w:b w:val="0"/>
              <w:bCs/>
              <w:sz w:val="28"/>
              <w:szCs w:val="28"/>
            </w:rPr>
            <w:tab/>
          </w:r>
          <w:r>
            <w:rPr>
              <w:rStyle w:val="18"/>
              <w:rFonts w:hint="eastAsia" w:ascii="仿宋" w:hAnsi="仿宋" w:eastAsia="仿宋" w:cs="仿宋"/>
              <w:b w:val="0"/>
              <w:bCs/>
              <w:sz w:val="28"/>
              <w:szCs w:val="28"/>
            </w:rPr>
            <w:fldChar w:fldCharType="begin"/>
          </w:r>
          <w:r>
            <w:rPr>
              <w:rStyle w:val="18"/>
              <w:rFonts w:hint="eastAsia" w:ascii="仿宋" w:hAnsi="仿宋" w:eastAsia="仿宋" w:cs="仿宋"/>
              <w:b w:val="0"/>
              <w:bCs/>
              <w:sz w:val="28"/>
              <w:szCs w:val="28"/>
            </w:rPr>
            <w:instrText xml:space="preserve"> PAGEREF _Toc31519 </w:instrText>
          </w:r>
          <w:r>
            <w:rPr>
              <w:rStyle w:val="18"/>
              <w:rFonts w:hint="eastAsia" w:ascii="仿宋" w:hAnsi="仿宋" w:eastAsia="仿宋" w:cs="仿宋"/>
              <w:b w:val="0"/>
              <w:bCs/>
              <w:sz w:val="28"/>
              <w:szCs w:val="28"/>
            </w:rPr>
            <w:fldChar w:fldCharType="separate"/>
          </w:r>
          <w:r>
            <w:rPr>
              <w:rStyle w:val="18"/>
              <w:rFonts w:hint="eastAsia" w:ascii="仿宋" w:hAnsi="仿宋" w:eastAsia="仿宋" w:cs="仿宋"/>
              <w:b w:val="0"/>
              <w:bCs/>
              <w:sz w:val="28"/>
              <w:szCs w:val="28"/>
            </w:rPr>
            <w:t>27</w:t>
          </w:r>
          <w:r>
            <w:rPr>
              <w:rStyle w:val="18"/>
              <w:rFonts w:hint="eastAsia" w:ascii="仿宋" w:hAnsi="仿宋" w:eastAsia="仿宋" w:cs="仿宋"/>
              <w:b w:val="0"/>
              <w:bCs/>
              <w:sz w:val="28"/>
              <w:szCs w:val="28"/>
            </w:rPr>
            <w:fldChar w:fldCharType="end"/>
          </w:r>
          <w:r>
            <w:rPr>
              <w:rFonts w:hint="eastAsia" w:ascii="仿宋" w:hAnsi="仿宋" w:eastAsia="仿宋" w:cs="仿宋"/>
              <w:b w:val="0"/>
              <w:bCs/>
              <w:color w:val="auto"/>
              <w:sz w:val="28"/>
              <w:szCs w:val="28"/>
              <w:u w:val="none"/>
              <w:lang w:val="en-US" w:eastAsia="zh-CN"/>
            </w:rPr>
            <w:fldChar w:fldCharType="end"/>
          </w:r>
        </w:p>
        <w:p>
          <w:pPr>
            <w:pStyle w:val="7"/>
            <w:tabs>
              <w:tab w:val="right" w:leader="dot" w:pos="9214"/>
            </w:tabs>
            <w:ind w:firstLine="560" w:firstLineChars="200"/>
            <w:rPr>
              <w:rFonts w:hint="eastAsia" w:ascii="仿宋" w:hAnsi="仿宋" w:eastAsia="仿宋" w:cs="仿宋"/>
              <w:lang w:val="en-US" w:eastAsia="zh-CN"/>
            </w:rPr>
          </w:pPr>
          <w:r>
            <w:rPr>
              <w:rFonts w:hint="eastAsia" w:ascii="仿宋" w:hAnsi="仿宋" w:eastAsia="仿宋" w:cs="仿宋"/>
              <w:b w:val="0"/>
              <w:bCs/>
              <w:color w:val="auto"/>
              <w:sz w:val="28"/>
              <w:szCs w:val="28"/>
              <w:u w:val="none"/>
              <w:lang w:val="en-US" w:eastAsia="zh-CN"/>
            </w:rPr>
            <w:fldChar w:fldCharType="begin"/>
          </w:r>
          <w:r>
            <w:rPr>
              <w:rFonts w:hint="eastAsia" w:ascii="仿宋" w:hAnsi="仿宋" w:eastAsia="仿宋" w:cs="仿宋"/>
              <w:b w:val="0"/>
              <w:bCs/>
              <w:color w:val="auto"/>
              <w:sz w:val="28"/>
              <w:szCs w:val="28"/>
              <w:u w:val="none"/>
              <w:lang w:val="en-US" w:eastAsia="zh-CN"/>
            </w:rPr>
            <w:instrText xml:space="preserve"> HYPERLINK \l "_表2：法律顾问服务团队成员名单" </w:instrText>
          </w:r>
          <w:r>
            <w:rPr>
              <w:rFonts w:hint="eastAsia" w:ascii="仿宋" w:hAnsi="仿宋" w:eastAsia="仿宋" w:cs="仿宋"/>
              <w:b w:val="0"/>
              <w:bCs/>
              <w:color w:val="auto"/>
              <w:sz w:val="28"/>
              <w:szCs w:val="28"/>
              <w:u w:val="none"/>
              <w:lang w:val="en-US" w:eastAsia="zh-CN"/>
            </w:rPr>
            <w:fldChar w:fldCharType="separate"/>
          </w:r>
          <w:r>
            <w:rPr>
              <w:rStyle w:val="18"/>
              <w:rFonts w:hint="eastAsia" w:ascii="仿宋" w:hAnsi="仿宋" w:eastAsia="仿宋" w:cs="仿宋"/>
              <w:b w:val="0"/>
              <w:bCs/>
              <w:sz w:val="28"/>
              <w:szCs w:val="28"/>
              <w:lang w:val="en-US" w:eastAsia="zh-CN"/>
            </w:rPr>
            <w:t>表2</w:t>
          </w:r>
          <w:r>
            <w:rPr>
              <w:rStyle w:val="18"/>
              <w:rFonts w:hint="eastAsia" w:ascii="仿宋" w:hAnsi="仿宋" w:eastAsia="仿宋" w:cs="仿宋"/>
              <w:b w:val="0"/>
              <w:bCs/>
              <w:sz w:val="28"/>
              <w:szCs w:val="28"/>
            </w:rPr>
            <w:t xml:space="preserve">: </w:t>
          </w:r>
          <w:r>
            <w:rPr>
              <w:rStyle w:val="18"/>
              <w:rFonts w:hint="eastAsia" w:ascii="仿宋" w:hAnsi="仿宋" w:eastAsia="仿宋" w:cs="仿宋"/>
              <w:b w:val="0"/>
              <w:bCs/>
              <w:sz w:val="28"/>
              <w:szCs w:val="28"/>
              <w:lang w:val="en-US" w:eastAsia="zh-CN"/>
            </w:rPr>
            <w:t>法律顾问服务团队成员名单</w:t>
          </w:r>
          <w:r>
            <w:rPr>
              <w:rStyle w:val="18"/>
              <w:rFonts w:hint="eastAsia" w:ascii="仿宋" w:hAnsi="仿宋" w:eastAsia="仿宋" w:cs="仿宋"/>
              <w:b w:val="0"/>
              <w:bCs/>
              <w:sz w:val="28"/>
              <w:szCs w:val="28"/>
            </w:rPr>
            <w:tab/>
          </w:r>
          <w:r>
            <w:rPr>
              <w:rFonts w:hint="eastAsia" w:ascii="仿宋" w:hAnsi="仿宋" w:eastAsia="仿宋" w:cs="仿宋"/>
              <w:b w:val="0"/>
              <w:bCs/>
              <w:color w:val="auto"/>
              <w:sz w:val="28"/>
              <w:szCs w:val="28"/>
              <w:u w:val="none"/>
              <w:lang w:val="en-US" w:eastAsia="zh-CN"/>
            </w:rPr>
            <w:fldChar w:fldCharType="end"/>
          </w:r>
          <w:r>
            <w:rPr>
              <w:rStyle w:val="18"/>
              <w:rFonts w:hint="eastAsia" w:ascii="仿宋" w:hAnsi="仿宋" w:eastAsia="仿宋" w:cs="仿宋"/>
              <w:b w:val="0"/>
              <w:bCs/>
              <w:sz w:val="28"/>
              <w:szCs w:val="28"/>
              <w:lang w:val="en-US" w:eastAsia="zh-CN"/>
            </w:rPr>
            <w:t>28</w:t>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color w:val="auto"/>
              <w:sz w:val="28"/>
              <w:szCs w:val="28"/>
              <w:u w:val="none"/>
              <w:lang w:val="zh-CN"/>
            </w:rPr>
            <w:fldChar w:fldCharType="begin"/>
          </w:r>
          <w:r>
            <w:rPr>
              <w:rFonts w:hint="eastAsia" w:ascii="仿宋" w:hAnsi="仿宋" w:eastAsia="仿宋" w:cs="仿宋"/>
              <w:b w:val="0"/>
              <w:bCs/>
              <w:color w:val="auto"/>
              <w:sz w:val="28"/>
              <w:szCs w:val="28"/>
              <w:u w:val="none"/>
              <w:lang w:val="zh-CN"/>
            </w:rPr>
            <w:instrText xml:space="preserve"> HYPERLINK \l "_格式4：合同条款响应情况偏离表" </w:instrText>
          </w:r>
          <w:r>
            <w:rPr>
              <w:rFonts w:hint="eastAsia" w:ascii="仿宋" w:hAnsi="仿宋" w:eastAsia="仿宋" w:cs="仿宋"/>
              <w:b w:val="0"/>
              <w:bCs/>
              <w:color w:val="auto"/>
              <w:sz w:val="28"/>
              <w:szCs w:val="28"/>
              <w:u w:val="none"/>
              <w:lang w:val="zh-CN"/>
            </w:rPr>
            <w:fldChar w:fldCharType="separate"/>
          </w:r>
          <w:r>
            <w:rPr>
              <w:rStyle w:val="18"/>
              <w:rFonts w:hint="eastAsia" w:ascii="仿宋" w:hAnsi="仿宋" w:eastAsia="仿宋" w:cs="仿宋"/>
              <w:b w:val="0"/>
              <w:bCs/>
              <w:sz w:val="28"/>
              <w:szCs w:val="28"/>
              <w:lang w:val="zh-CN"/>
            </w:rPr>
            <w:t>格式</w:t>
          </w:r>
          <w:r>
            <w:rPr>
              <w:rStyle w:val="18"/>
              <w:rFonts w:hint="eastAsia" w:ascii="仿宋" w:hAnsi="仿宋" w:eastAsia="仿宋" w:cs="仿宋"/>
              <w:b w:val="0"/>
              <w:bCs/>
              <w:sz w:val="28"/>
              <w:szCs w:val="28"/>
            </w:rPr>
            <w:t>4：</w:t>
          </w:r>
          <w:r>
            <w:rPr>
              <w:rStyle w:val="18"/>
              <w:rFonts w:hint="eastAsia" w:ascii="仿宋" w:hAnsi="仿宋" w:eastAsia="仿宋" w:cs="仿宋"/>
              <w:b w:val="0"/>
              <w:bCs/>
              <w:sz w:val="28"/>
              <w:szCs w:val="28"/>
              <w:lang w:val="en-US" w:eastAsia="zh-CN"/>
            </w:rPr>
            <w:t>合同条款</w:t>
          </w:r>
          <w:r>
            <w:rPr>
              <w:rStyle w:val="18"/>
              <w:rFonts w:hint="eastAsia" w:ascii="仿宋" w:hAnsi="仿宋" w:eastAsia="仿宋" w:cs="仿宋"/>
              <w:b w:val="0"/>
              <w:bCs/>
              <w:sz w:val="28"/>
              <w:szCs w:val="28"/>
            </w:rPr>
            <w:t>响应情况</w:t>
          </w:r>
          <w:r>
            <w:rPr>
              <w:rStyle w:val="18"/>
              <w:rFonts w:hint="eastAsia" w:ascii="仿宋" w:hAnsi="仿宋" w:eastAsia="仿宋" w:cs="仿宋"/>
              <w:b w:val="0"/>
              <w:bCs/>
              <w:sz w:val="28"/>
              <w:szCs w:val="28"/>
              <w:lang w:val="en-US" w:eastAsia="zh-CN"/>
            </w:rPr>
            <w:t>偏离表</w:t>
          </w:r>
          <w:r>
            <w:rPr>
              <w:rStyle w:val="18"/>
              <w:rFonts w:hint="eastAsia" w:ascii="仿宋" w:hAnsi="仿宋" w:eastAsia="仿宋" w:cs="仿宋"/>
              <w:b w:val="0"/>
              <w:bCs/>
              <w:sz w:val="28"/>
              <w:szCs w:val="28"/>
            </w:rPr>
            <w:tab/>
          </w:r>
          <w:r>
            <w:rPr>
              <w:rStyle w:val="18"/>
              <w:rFonts w:hint="eastAsia" w:ascii="仿宋" w:hAnsi="仿宋" w:eastAsia="仿宋" w:cs="仿宋"/>
              <w:b w:val="0"/>
              <w:bCs/>
              <w:sz w:val="28"/>
              <w:szCs w:val="28"/>
            </w:rPr>
            <w:fldChar w:fldCharType="begin"/>
          </w:r>
          <w:r>
            <w:rPr>
              <w:rStyle w:val="18"/>
              <w:rFonts w:hint="eastAsia" w:ascii="仿宋" w:hAnsi="仿宋" w:eastAsia="仿宋" w:cs="仿宋"/>
              <w:b w:val="0"/>
              <w:bCs/>
              <w:sz w:val="28"/>
              <w:szCs w:val="28"/>
            </w:rPr>
            <w:instrText xml:space="preserve"> PAGEREF _Toc25172 </w:instrText>
          </w:r>
          <w:r>
            <w:rPr>
              <w:rStyle w:val="18"/>
              <w:rFonts w:hint="eastAsia" w:ascii="仿宋" w:hAnsi="仿宋" w:eastAsia="仿宋" w:cs="仿宋"/>
              <w:b w:val="0"/>
              <w:bCs/>
              <w:sz w:val="28"/>
              <w:szCs w:val="28"/>
            </w:rPr>
            <w:fldChar w:fldCharType="separate"/>
          </w:r>
          <w:r>
            <w:rPr>
              <w:rStyle w:val="18"/>
              <w:rFonts w:hint="eastAsia" w:ascii="仿宋" w:hAnsi="仿宋" w:eastAsia="仿宋" w:cs="仿宋"/>
              <w:b w:val="0"/>
              <w:bCs/>
              <w:sz w:val="28"/>
              <w:szCs w:val="28"/>
            </w:rPr>
            <w:t>29</w:t>
          </w:r>
          <w:r>
            <w:rPr>
              <w:rStyle w:val="18"/>
              <w:rFonts w:hint="eastAsia" w:ascii="仿宋" w:hAnsi="仿宋" w:eastAsia="仿宋" w:cs="仿宋"/>
              <w:b w:val="0"/>
              <w:bCs/>
              <w:sz w:val="28"/>
              <w:szCs w:val="28"/>
            </w:rPr>
            <w:fldChar w:fldCharType="end"/>
          </w:r>
          <w:r>
            <w:rPr>
              <w:rFonts w:hint="eastAsia" w:ascii="仿宋" w:hAnsi="仿宋" w:eastAsia="仿宋" w:cs="仿宋"/>
              <w:b w:val="0"/>
              <w:bCs/>
              <w:color w:val="auto"/>
              <w:sz w:val="28"/>
              <w:szCs w:val="28"/>
              <w:u w:val="none"/>
              <w:lang w:val="zh-CN"/>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ind w:left="0" w:leftChars="0" w:firstLine="840" w:firstLineChars="300"/>
            <w:textAlignment w:val="auto"/>
            <w:rPr>
              <w:rFonts w:hint="eastAsia" w:ascii="仿宋" w:hAnsi="仿宋" w:eastAsia="仿宋" w:cs="仿宋"/>
              <w:b w:val="0"/>
              <w:bCs/>
              <w:sz w:val="28"/>
              <w:szCs w:val="28"/>
            </w:rPr>
          </w:pPr>
          <w:r>
            <w:rPr>
              <w:rFonts w:hint="eastAsia" w:ascii="仿宋" w:hAnsi="仿宋" w:eastAsia="仿宋" w:cs="仿宋"/>
              <w:b w:val="0"/>
              <w:bCs/>
              <w:color w:val="auto"/>
              <w:sz w:val="28"/>
              <w:szCs w:val="28"/>
              <w:u w:val="none"/>
            </w:rPr>
            <w:fldChar w:fldCharType="begin"/>
          </w:r>
          <w:r>
            <w:rPr>
              <w:rFonts w:hint="eastAsia" w:ascii="仿宋" w:hAnsi="仿宋" w:eastAsia="仿宋" w:cs="仿宋"/>
              <w:b w:val="0"/>
              <w:bCs/>
              <w:color w:val="auto"/>
              <w:sz w:val="28"/>
              <w:szCs w:val="28"/>
              <w:u w:val="none"/>
            </w:rPr>
            <w:instrText xml:space="preserve"> HYPERLINK \l "_格式5：法律顾问单位服务收费项目及标准" </w:instrText>
          </w:r>
          <w:r>
            <w:rPr>
              <w:rFonts w:hint="eastAsia" w:ascii="仿宋" w:hAnsi="仿宋" w:eastAsia="仿宋" w:cs="仿宋"/>
              <w:b w:val="0"/>
              <w:bCs/>
              <w:color w:val="auto"/>
              <w:sz w:val="28"/>
              <w:szCs w:val="28"/>
              <w:u w:val="none"/>
            </w:rPr>
            <w:fldChar w:fldCharType="separate"/>
          </w:r>
          <w:r>
            <w:rPr>
              <w:rStyle w:val="18"/>
              <w:rFonts w:hint="eastAsia" w:ascii="仿宋" w:hAnsi="仿宋" w:eastAsia="仿宋" w:cs="仿宋"/>
              <w:b w:val="0"/>
              <w:bCs/>
              <w:sz w:val="28"/>
              <w:szCs w:val="28"/>
            </w:rPr>
            <w:t>格式5：</w:t>
          </w:r>
          <w:r>
            <w:rPr>
              <w:rStyle w:val="18"/>
              <w:rFonts w:hint="eastAsia" w:ascii="仿宋" w:hAnsi="仿宋" w:eastAsia="仿宋" w:cs="仿宋"/>
              <w:b w:val="0"/>
              <w:bCs/>
              <w:sz w:val="28"/>
              <w:szCs w:val="28"/>
              <w:lang w:val="en-US" w:eastAsia="zh-CN"/>
            </w:rPr>
            <w:t>法律顾问服务项目报价单</w:t>
          </w:r>
          <w:r>
            <w:rPr>
              <w:rStyle w:val="18"/>
              <w:rFonts w:hint="eastAsia" w:ascii="仿宋" w:hAnsi="仿宋" w:eastAsia="仿宋" w:cs="仿宋"/>
              <w:b w:val="0"/>
              <w:bCs/>
              <w:sz w:val="28"/>
              <w:szCs w:val="28"/>
            </w:rPr>
            <w:tab/>
          </w:r>
          <w:r>
            <w:rPr>
              <w:rStyle w:val="18"/>
              <w:rFonts w:hint="eastAsia" w:ascii="仿宋" w:hAnsi="仿宋" w:eastAsia="仿宋" w:cs="仿宋"/>
              <w:b w:val="0"/>
              <w:bCs/>
              <w:sz w:val="28"/>
              <w:szCs w:val="28"/>
            </w:rPr>
            <w:fldChar w:fldCharType="begin"/>
          </w:r>
          <w:r>
            <w:rPr>
              <w:rStyle w:val="18"/>
              <w:rFonts w:hint="eastAsia" w:ascii="仿宋" w:hAnsi="仿宋" w:eastAsia="仿宋" w:cs="仿宋"/>
              <w:b w:val="0"/>
              <w:bCs/>
              <w:sz w:val="28"/>
              <w:szCs w:val="28"/>
            </w:rPr>
            <w:instrText xml:space="preserve"> PAGEREF _Toc29562 </w:instrText>
          </w:r>
          <w:r>
            <w:rPr>
              <w:rStyle w:val="18"/>
              <w:rFonts w:hint="eastAsia" w:ascii="仿宋" w:hAnsi="仿宋" w:eastAsia="仿宋" w:cs="仿宋"/>
              <w:b w:val="0"/>
              <w:bCs/>
              <w:sz w:val="28"/>
              <w:szCs w:val="28"/>
            </w:rPr>
            <w:fldChar w:fldCharType="separate"/>
          </w:r>
          <w:r>
            <w:rPr>
              <w:rStyle w:val="18"/>
              <w:rFonts w:hint="eastAsia" w:ascii="仿宋" w:hAnsi="仿宋" w:eastAsia="仿宋" w:cs="仿宋"/>
              <w:b w:val="0"/>
              <w:bCs/>
              <w:sz w:val="28"/>
              <w:szCs w:val="28"/>
            </w:rPr>
            <w:t>30</w:t>
          </w:r>
          <w:r>
            <w:rPr>
              <w:rStyle w:val="18"/>
              <w:rFonts w:hint="eastAsia" w:ascii="仿宋" w:hAnsi="仿宋" w:eastAsia="仿宋" w:cs="仿宋"/>
              <w:b w:val="0"/>
              <w:bCs/>
              <w:sz w:val="28"/>
              <w:szCs w:val="28"/>
            </w:rPr>
            <w:fldChar w:fldCharType="end"/>
          </w:r>
          <w:r>
            <w:rPr>
              <w:rFonts w:hint="eastAsia" w:ascii="仿宋" w:hAnsi="仿宋" w:eastAsia="仿宋" w:cs="仿宋"/>
              <w:b w:val="0"/>
              <w:bCs/>
              <w:color w:val="auto"/>
              <w:sz w:val="28"/>
              <w:szCs w:val="28"/>
              <w:u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宋体" w:hAnsi="宋体" w:eastAsia="宋体" w:cs="宋体"/>
              <w:b w:val="0"/>
              <w:bCs/>
              <w:sz w:val="28"/>
              <w:szCs w:val="28"/>
            </w:rPr>
          </w:pPr>
          <w:r>
            <w:rPr>
              <w:rFonts w:hint="eastAsia" w:ascii="仿宋" w:hAnsi="仿宋" w:eastAsia="仿宋" w:cs="仿宋"/>
              <w:b w:val="0"/>
              <w:bCs/>
              <w:color w:val="auto"/>
              <w:sz w:val="28"/>
              <w:szCs w:val="28"/>
              <w:u w:val="none"/>
              <w:lang w:val="zh-CN"/>
            </w:rPr>
            <w:fldChar w:fldCharType="begin"/>
          </w:r>
          <w:r>
            <w:rPr>
              <w:rFonts w:hint="eastAsia" w:ascii="仿宋" w:hAnsi="仿宋" w:eastAsia="仿宋" w:cs="仿宋"/>
              <w:b w:val="0"/>
              <w:bCs/>
              <w:color w:val="auto"/>
              <w:sz w:val="28"/>
              <w:szCs w:val="28"/>
              <w:u w:val="none"/>
              <w:lang w:val="zh-CN"/>
            </w:rPr>
            <w:instrText xml:space="preserve"> HYPERLINK \l "_格式6：承诺函" </w:instrText>
          </w:r>
          <w:r>
            <w:rPr>
              <w:rFonts w:hint="eastAsia" w:ascii="仿宋" w:hAnsi="仿宋" w:eastAsia="仿宋" w:cs="仿宋"/>
              <w:b w:val="0"/>
              <w:bCs/>
              <w:color w:val="auto"/>
              <w:sz w:val="28"/>
              <w:szCs w:val="28"/>
              <w:u w:val="none"/>
              <w:lang w:val="zh-CN"/>
            </w:rPr>
            <w:fldChar w:fldCharType="separate"/>
          </w:r>
          <w:r>
            <w:rPr>
              <w:rStyle w:val="18"/>
              <w:rFonts w:hint="eastAsia" w:ascii="仿宋" w:hAnsi="仿宋" w:eastAsia="仿宋" w:cs="仿宋"/>
              <w:b w:val="0"/>
              <w:bCs/>
              <w:sz w:val="28"/>
              <w:szCs w:val="28"/>
              <w:lang w:val="zh-CN"/>
            </w:rPr>
            <w:t>格式</w:t>
          </w:r>
          <w:r>
            <w:rPr>
              <w:rStyle w:val="18"/>
              <w:rFonts w:hint="eastAsia" w:ascii="仿宋" w:hAnsi="仿宋" w:eastAsia="仿宋" w:cs="仿宋"/>
              <w:b w:val="0"/>
              <w:bCs/>
              <w:sz w:val="28"/>
              <w:szCs w:val="28"/>
            </w:rPr>
            <w:t>6</w:t>
          </w:r>
          <w:r>
            <w:rPr>
              <w:rStyle w:val="18"/>
              <w:rFonts w:hint="eastAsia" w:ascii="仿宋" w:hAnsi="仿宋" w:eastAsia="仿宋" w:cs="仿宋"/>
              <w:b w:val="0"/>
              <w:bCs/>
              <w:sz w:val="28"/>
              <w:szCs w:val="28"/>
              <w:lang w:val="zh-CN"/>
            </w:rPr>
            <w:t>：承诺函</w:t>
          </w:r>
          <w:r>
            <w:rPr>
              <w:rStyle w:val="18"/>
              <w:rFonts w:hint="eastAsia" w:ascii="仿宋" w:hAnsi="仿宋" w:eastAsia="仿宋" w:cs="仿宋"/>
              <w:b w:val="0"/>
              <w:bCs/>
              <w:sz w:val="28"/>
              <w:szCs w:val="28"/>
            </w:rPr>
            <w:tab/>
          </w:r>
          <w:r>
            <w:rPr>
              <w:rStyle w:val="18"/>
              <w:rFonts w:hint="eastAsia" w:ascii="仿宋" w:hAnsi="仿宋" w:eastAsia="仿宋" w:cs="仿宋"/>
              <w:b w:val="0"/>
              <w:bCs/>
              <w:sz w:val="28"/>
              <w:szCs w:val="28"/>
            </w:rPr>
            <w:fldChar w:fldCharType="begin"/>
          </w:r>
          <w:r>
            <w:rPr>
              <w:rStyle w:val="18"/>
              <w:rFonts w:hint="eastAsia" w:ascii="仿宋" w:hAnsi="仿宋" w:eastAsia="仿宋" w:cs="仿宋"/>
              <w:b w:val="0"/>
              <w:bCs/>
              <w:sz w:val="28"/>
              <w:szCs w:val="28"/>
            </w:rPr>
            <w:instrText xml:space="preserve"> PAGEREF _Toc31718 </w:instrText>
          </w:r>
          <w:r>
            <w:rPr>
              <w:rStyle w:val="18"/>
              <w:rFonts w:hint="eastAsia" w:ascii="仿宋" w:hAnsi="仿宋" w:eastAsia="仿宋" w:cs="仿宋"/>
              <w:b w:val="0"/>
              <w:bCs/>
              <w:sz w:val="28"/>
              <w:szCs w:val="28"/>
            </w:rPr>
            <w:fldChar w:fldCharType="separate"/>
          </w:r>
          <w:r>
            <w:rPr>
              <w:rStyle w:val="18"/>
              <w:rFonts w:hint="eastAsia" w:ascii="仿宋" w:hAnsi="仿宋" w:eastAsia="仿宋" w:cs="仿宋"/>
              <w:b w:val="0"/>
              <w:bCs/>
              <w:sz w:val="28"/>
              <w:szCs w:val="28"/>
            </w:rPr>
            <w:t>31</w:t>
          </w:r>
          <w:r>
            <w:rPr>
              <w:rStyle w:val="18"/>
              <w:rFonts w:hint="eastAsia" w:ascii="仿宋" w:hAnsi="仿宋" w:eastAsia="仿宋" w:cs="仿宋"/>
              <w:b w:val="0"/>
              <w:bCs/>
              <w:sz w:val="28"/>
              <w:szCs w:val="28"/>
            </w:rPr>
            <w:fldChar w:fldCharType="end"/>
          </w:r>
          <w:r>
            <w:rPr>
              <w:rFonts w:hint="eastAsia" w:ascii="仿宋" w:hAnsi="仿宋" w:eastAsia="仿宋" w:cs="仿宋"/>
              <w:b w:val="0"/>
              <w:bCs/>
              <w:color w:val="auto"/>
              <w:sz w:val="28"/>
              <w:szCs w:val="28"/>
              <w:u w:val="none"/>
              <w:lang w:val="zh-CN"/>
            </w:rPr>
            <w:fldChar w:fldCharType="end"/>
          </w:r>
        </w:p>
        <w:p>
          <w:pPr>
            <w:pStyle w:val="13"/>
            <w:pageBreakBefore w:val="0"/>
            <w:kinsoku/>
            <w:overflowPunct/>
            <w:topLinePunct w:val="0"/>
            <w:autoSpaceDE/>
            <w:autoSpaceDN/>
            <w:bidi w:val="0"/>
            <w:spacing w:before="0" w:after="0" w:line="560" w:lineRule="exact"/>
            <w:ind w:firstLine="0" w:firstLineChars="0"/>
            <w:jc w:val="both"/>
            <w:outlineLvl w:val="9"/>
            <w:rPr>
              <w:rFonts w:hint="eastAsia" w:ascii="仿宋" w:hAnsi="仿宋" w:eastAsia="仿宋" w:cs="仿宋"/>
              <w:bCs w:val="0"/>
              <w:sz w:val="32"/>
              <w:szCs w:val="32"/>
            </w:rPr>
          </w:pPr>
          <w:r>
            <w:rPr>
              <w:rFonts w:hint="eastAsia" w:ascii="宋体" w:hAnsi="宋体" w:eastAsia="宋体" w:cs="宋体"/>
              <w:b w:val="0"/>
              <w:bCs/>
              <w:sz w:val="28"/>
              <w:szCs w:val="28"/>
            </w:rPr>
            <w:fldChar w:fldCharType="end"/>
          </w:r>
        </w:p>
      </w:sdtContent>
    </w:sdt>
    <w:p>
      <w:pPr>
        <w:pageBreakBefore w:val="0"/>
        <w:kinsoku/>
        <w:overflowPunct/>
        <w:topLinePunct w:val="0"/>
        <w:autoSpaceDE/>
        <w:autoSpaceDN/>
        <w:bidi w:val="0"/>
        <w:spacing w:line="560" w:lineRule="exact"/>
        <w:rPr>
          <w:rFonts w:hint="eastAsia" w:ascii="仿宋" w:hAnsi="仿宋" w:eastAsia="仿宋" w:cs="仿宋"/>
          <w:b/>
          <w:sz w:val="32"/>
          <w:szCs w:val="32"/>
        </w:rPr>
      </w:pPr>
    </w:p>
    <w:p>
      <w:pPr>
        <w:pageBreakBefore w:val="0"/>
        <w:kinsoku/>
        <w:overflowPunct/>
        <w:topLinePunct w:val="0"/>
        <w:autoSpaceDE/>
        <w:autoSpaceDN/>
        <w:bidi w:val="0"/>
        <w:spacing w:line="560" w:lineRule="exact"/>
        <w:rPr>
          <w:rFonts w:hint="eastAsia" w:ascii="仿宋" w:hAnsi="仿宋" w:eastAsia="仿宋" w:cs="仿宋"/>
          <w:sz w:val="32"/>
          <w:szCs w:val="32"/>
        </w:rPr>
      </w:pPr>
    </w:p>
    <w:p>
      <w:pPr>
        <w:pageBreakBefore w:val="0"/>
        <w:tabs>
          <w:tab w:val="left" w:pos="6944"/>
        </w:tabs>
        <w:kinsoku/>
        <w:overflowPunct/>
        <w:topLinePunct w:val="0"/>
        <w:autoSpaceDE/>
        <w:autoSpaceDN/>
        <w:bidi w:val="0"/>
        <w:spacing w:line="560" w:lineRule="exact"/>
        <w:jc w:val="left"/>
        <w:rPr>
          <w:rFonts w:hint="eastAsia" w:ascii="仿宋" w:hAnsi="仿宋" w:eastAsia="仿宋" w:cs="仿宋"/>
          <w:sz w:val="32"/>
          <w:szCs w:val="32"/>
        </w:rPr>
        <w:sectPr>
          <w:footerReference r:id="rId5" w:type="default"/>
          <w:pgSz w:w="11907" w:h="16840"/>
          <w:pgMar w:top="1276" w:right="1275" w:bottom="1135" w:left="1418" w:header="709" w:footer="603" w:gutter="0"/>
          <w:pgNumType w:start="1"/>
          <w:cols w:space="720" w:num="1"/>
          <w:docGrid w:linePitch="462" w:charSpace="0"/>
        </w:sectPr>
      </w:pPr>
      <w:r>
        <w:rPr>
          <w:rFonts w:hint="eastAsia" w:ascii="仿宋" w:hAnsi="仿宋" w:eastAsia="仿宋" w:cs="仿宋"/>
          <w:sz w:val="32"/>
          <w:szCs w:val="32"/>
        </w:rPr>
        <w:tab/>
      </w:r>
    </w:p>
    <w:bookmarkEnd w:id="3"/>
    <w:bookmarkEnd w:id="4"/>
    <w:bookmarkEnd w:id="5"/>
    <w:p>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rPr>
      </w:pPr>
      <w:bookmarkStart w:id="6" w:name="_Toc4395"/>
      <w:bookmarkStart w:id="7" w:name="_Toc1091"/>
      <w:r>
        <w:rPr>
          <w:rFonts w:hint="eastAsia" w:ascii="黑体" w:hAnsi="黑体" w:eastAsia="黑体" w:cs="黑体"/>
          <w:b w:val="0"/>
          <w:bCs/>
          <w:sz w:val="32"/>
          <w:szCs w:val="32"/>
        </w:rPr>
        <w:t>第一章 项目概况及招标程序</w:t>
      </w:r>
      <w:bookmarkEnd w:id="6"/>
      <w:bookmarkEnd w:id="7"/>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lang w:val="zh-CN"/>
        </w:rPr>
      </w:pPr>
      <w:bookmarkStart w:id="8" w:name="_Toc14253"/>
      <w:r>
        <w:rPr>
          <w:rFonts w:hint="eastAsia" w:ascii="黑体" w:hAnsi="黑体" w:eastAsia="黑体" w:cs="黑体"/>
          <w:b w:val="0"/>
          <w:sz w:val="32"/>
          <w:szCs w:val="32"/>
          <w:lang w:val="zh-CN"/>
        </w:rPr>
        <w:t>一、项目名称</w:t>
      </w:r>
      <w:bookmarkEnd w:id="8"/>
    </w:p>
    <w:p>
      <w:pPr>
        <w:pStyle w:val="8"/>
        <w:pageBreakBefore w:val="0"/>
        <w:tabs>
          <w:tab w:val="left" w:pos="7740"/>
        </w:tabs>
        <w:kinsoku/>
        <w:overflowPunct/>
        <w:topLinePunct w:val="0"/>
        <w:autoSpaceDE/>
        <w:autoSpaceDN/>
        <w:bidi w:val="0"/>
        <w:adjustRightInd w:val="0"/>
        <w:snapToGrid w:val="0"/>
        <w:spacing w:line="560" w:lineRule="exact"/>
        <w:ind w:firstLine="560"/>
        <w:rPr>
          <w:rFonts w:hint="eastAsia" w:ascii="仿宋" w:hAnsi="仿宋" w:eastAsia="仿宋" w:cs="仿宋"/>
          <w:bCs/>
          <w:kern w:val="2"/>
          <w:sz w:val="32"/>
          <w:szCs w:val="32"/>
          <w:lang w:val="zh-CN"/>
        </w:rPr>
      </w:pPr>
      <w:r>
        <w:rPr>
          <w:rFonts w:hint="eastAsia" w:ascii="仿宋" w:hAnsi="仿宋" w:eastAsia="仿宋" w:cs="仿宋"/>
          <w:bCs/>
          <w:kern w:val="2"/>
          <w:sz w:val="32"/>
          <w:szCs w:val="32"/>
          <w:lang w:val="zh-CN"/>
        </w:rPr>
        <w:t>深圳市鹏劳人力资源管理有限公司</w:t>
      </w:r>
      <w:r>
        <w:rPr>
          <w:rFonts w:hint="eastAsia" w:ascii="仿宋" w:hAnsi="仿宋" w:eastAsia="仿宋" w:cs="仿宋"/>
          <w:bCs/>
          <w:kern w:val="2"/>
          <w:sz w:val="32"/>
          <w:szCs w:val="32"/>
          <w:lang w:val="zh-CN" w:eastAsia="zh-CN"/>
        </w:rPr>
        <w:t>常年法律顾问</w:t>
      </w:r>
      <w:r>
        <w:rPr>
          <w:rFonts w:hint="eastAsia" w:ascii="仿宋" w:hAnsi="仿宋" w:eastAsia="仿宋" w:cs="仿宋"/>
          <w:bCs/>
          <w:kern w:val="2"/>
          <w:sz w:val="32"/>
          <w:szCs w:val="32"/>
          <w:lang w:val="en-US" w:eastAsia="zh-CN"/>
        </w:rPr>
        <w:t>服务</w:t>
      </w:r>
      <w:r>
        <w:rPr>
          <w:rFonts w:hint="eastAsia" w:ascii="仿宋" w:hAnsi="仿宋" w:eastAsia="仿宋" w:cs="仿宋"/>
          <w:bCs/>
          <w:kern w:val="2"/>
          <w:sz w:val="32"/>
          <w:szCs w:val="32"/>
          <w:lang w:val="zh-CN" w:eastAsia="zh-CN"/>
        </w:rPr>
        <w:t>项目</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lang w:val="zh-CN"/>
        </w:rPr>
      </w:pPr>
      <w:bookmarkStart w:id="9" w:name="_Toc3905"/>
      <w:r>
        <w:rPr>
          <w:rFonts w:hint="eastAsia" w:ascii="黑体" w:hAnsi="黑体" w:eastAsia="黑体" w:cs="黑体"/>
          <w:b w:val="0"/>
          <w:sz w:val="32"/>
          <w:szCs w:val="32"/>
          <w:lang w:val="zh-CN"/>
        </w:rPr>
        <w:t>二、招标编号</w:t>
      </w:r>
      <w:bookmarkEnd w:id="9"/>
    </w:p>
    <w:p>
      <w:pPr>
        <w:pStyle w:val="8"/>
        <w:pageBreakBefore w:val="0"/>
        <w:tabs>
          <w:tab w:val="left" w:pos="7740"/>
        </w:tabs>
        <w:kinsoku/>
        <w:overflowPunct/>
        <w:topLinePunct w:val="0"/>
        <w:autoSpaceDE/>
        <w:autoSpaceDN/>
        <w:bidi w:val="0"/>
        <w:adjustRightInd w:val="0"/>
        <w:snapToGrid w:val="0"/>
        <w:spacing w:line="560" w:lineRule="exact"/>
        <w:ind w:firstLine="560" w:firstLineChars="0"/>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rPr>
        <w:t>PLHR-ZB-FW-202</w:t>
      </w:r>
      <w:r>
        <w:rPr>
          <w:rFonts w:hint="eastAsia" w:ascii="仿宋" w:hAnsi="仿宋" w:eastAsia="仿宋" w:cs="仿宋"/>
          <w:bCs/>
          <w:kern w:val="2"/>
          <w:sz w:val="32"/>
          <w:szCs w:val="32"/>
          <w:lang w:val="en-US" w:eastAsia="zh-CN"/>
        </w:rPr>
        <w:t>201</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rPr>
      </w:pPr>
      <w:bookmarkStart w:id="10" w:name="_Toc2751"/>
      <w:r>
        <w:rPr>
          <w:rFonts w:hint="eastAsia" w:ascii="黑体" w:hAnsi="黑体" w:eastAsia="黑体" w:cs="黑体"/>
          <w:b w:val="0"/>
          <w:sz w:val="32"/>
          <w:szCs w:val="32"/>
        </w:rPr>
        <w:t>三、投标人资质要求</w:t>
      </w:r>
      <w:bookmarkEnd w:id="10"/>
    </w:p>
    <w:p>
      <w:pPr>
        <w:pageBreakBefore w:val="0"/>
        <w:widowControl/>
        <w:numPr>
          <w:ilvl w:val="0"/>
          <w:numId w:val="1"/>
        </w:numPr>
        <w:kinsoku/>
        <w:overflowPunct/>
        <w:topLinePunct w:val="0"/>
        <w:autoSpaceDE/>
        <w:autoSpaceDN/>
        <w:bidi w:val="0"/>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bookmarkStart w:id="11" w:name="_Toc19081"/>
      <w:r>
        <w:rPr>
          <w:rFonts w:hint="eastAsia" w:ascii="仿宋" w:hAnsi="仿宋" w:eastAsia="仿宋" w:cs="仿宋"/>
          <w:bCs/>
          <w:sz w:val="32"/>
          <w:szCs w:val="32"/>
          <w:highlight w:val="none"/>
          <w:lang w:val="en-US" w:eastAsia="zh-CN"/>
        </w:rPr>
        <w:t>投标人须为中华人民共和国境内合法设立且具有履行合同所必须的专业人员和能力的律师事务所，具备司法行政部门颁发的律师事务所执业许可证。</w:t>
      </w:r>
    </w:p>
    <w:p>
      <w:pPr>
        <w:pageBreakBefore w:val="0"/>
        <w:widowControl/>
        <w:numPr>
          <w:ilvl w:val="0"/>
          <w:numId w:val="1"/>
        </w:numPr>
        <w:kinsoku/>
        <w:overflowPunct/>
        <w:topLinePunct w:val="0"/>
        <w:autoSpaceDE/>
        <w:autoSpaceDN/>
        <w:bidi w:val="0"/>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投标人具有完全响应本项目采购需求的能力；</w:t>
      </w:r>
    </w:p>
    <w:p>
      <w:pPr>
        <w:keepNext w:val="0"/>
        <w:keepLines w:val="0"/>
        <w:pageBreakBefore w:val="0"/>
        <w:widowControl/>
        <w:numPr>
          <w:ilvl w:val="0"/>
          <w:numId w:val="1"/>
        </w:numPr>
        <w:kinsoku/>
        <w:wordWrap/>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投标人无在“信用中国”网站(www.creditchina.gov.cn)、中国政府采购网(www.ccgp.gov.cn)、</w:t>
      </w:r>
      <w:r>
        <w:rPr>
          <w:rFonts w:hint="eastAsia" w:ascii="仿宋" w:hAnsi="仿宋" w:eastAsia="仿宋" w:cs="仿宋"/>
          <w:bCs/>
          <w:sz w:val="32"/>
          <w:szCs w:val="32"/>
          <w:highlight w:val="none"/>
          <w:lang w:val="en-US" w:eastAsia="zh-CN"/>
        </w:rPr>
        <w:fldChar w:fldCharType="begin"/>
      </w:r>
      <w:r>
        <w:rPr>
          <w:rFonts w:hint="eastAsia" w:ascii="仿宋" w:hAnsi="仿宋" w:eastAsia="仿宋" w:cs="仿宋"/>
          <w:bCs/>
          <w:sz w:val="32"/>
          <w:szCs w:val="32"/>
          <w:highlight w:val="none"/>
          <w:lang w:val="en-US" w:eastAsia="zh-CN"/>
        </w:rPr>
        <w:instrText xml:space="preserve"> HYPERLINK "https://wenshu.court.gov.cn/" </w:instrText>
      </w:r>
      <w:r>
        <w:rPr>
          <w:rFonts w:hint="eastAsia" w:ascii="仿宋" w:hAnsi="仿宋" w:eastAsia="仿宋" w:cs="仿宋"/>
          <w:bCs/>
          <w:sz w:val="32"/>
          <w:szCs w:val="32"/>
          <w:highlight w:val="none"/>
          <w:lang w:val="en-US" w:eastAsia="zh-CN"/>
        </w:rPr>
        <w:fldChar w:fldCharType="separate"/>
      </w:r>
      <w:r>
        <w:rPr>
          <w:rFonts w:hint="eastAsia" w:ascii="仿宋" w:hAnsi="仿宋" w:eastAsia="仿宋" w:cs="仿宋"/>
          <w:bCs/>
          <w:sz w:val="32"/>
          <w:szCs w:val="32"/>
          <w:highlight w:val="none"/>
          <w:lang w:val="en-US" w:eastAsia="zh-CN"/>
        </w:rPr>
        <w:t>中国裁判文书网（wenshu.court.gov.cn)</w:t>
      </w:r>
      <w:r>
        <w:rPr>
          <w:rFonts w:hint="eastAsia" w:ascii="仿宋" w:hAnsi="仿宋" w:eastAsia="仿宋" w:cs="仿宋"/>
          <w:bCs/>
          <w:sz w:val="32"/>
          <w:szCs w:val="32"/>
          <w:highlight w:val="none"/>
          <w:lang w:val="en-US" w:eastAsia="zh-CN"/>
        </w:rPr>
        <w:fldChar w:fldCharType="end"/>
      </w:r>
      <w:r>
        <w:rPr>
          <w:rFonts w:hint="eastAsia" w:ascii="仿宋" w:hAnsi="仿宋" w:eastAsia="仿宋" w:cs="仿宋"/>
          <w:bCs/>
          <w:sz w:val="32"/>
          <w:szCs w:val="32"/>
          <w:highlight w:val="none"/>
          <w:lang w:val="en-US" w:eastAsia="zh-CN"/>
        </w:rPr>
        <w:t>等渠道列入失信被执行人、重大税收违法案件当事人名单、政府采购严重违法失信行为记录名单、网络行贿行为记录的情况；</w:t>
      </w:r>
    </w:p>
    <w:p>
      <w:pPr>
        <w:pageBreakBefore w:val="0"/>
        <w:widowControl/>
        <w:numPr>
          <w:ilvl w:val="0"/>
          <w:numId w:val="1"/>
        </w:numPr>
        <w:kinsoku/>
        <w:overflowPunct/>
        <w:topLinePunct w:val="0"/>
        <w:autoSpaceDE/>
        <w:autoSpaceDN/>
        <w:bidi w:val="0"/>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投标人如为与招标人既往合作的供应商，需满足招标人关于供应商的管理规定，且2019年1月1日至本项目确定成交人之日前投标人无重大事故、服务投诉或质量不符合记录；</w:t>
      </w:r>
    </w:p>
    <w:p>
      <w:pPr>
        <w:pageBreakBefore w:val="0"/>
        <w:widowControl/>
        <w:numPr>
          <w:ilvl w:val="0"/>
          <w:numId w:val="1"/>
        </w:numPr>
        <w:kinsoku/>
        <w:overflowPunct/>
        <w:topLinePunct w:val="0"/>
        <w:autoSpaceDE/>
        <w:autoSpaceDN/>
        <w:bidi w:val="0"/>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投标人应具备良好的商业信誉和健全的财务会计制度，具有依法缴纳税收和社会保障资金的良好记录；</w:t>
      </w:r>
    </w:p>
    <w:p>
      <w:pPr>
        <w:pageBreakBefore w:val="0"/>
        <w:widowControl/>
        <w:numPr>
          <w:ilvl w:val="0"/>
          <w:numId w:val="1"/>
        </w:numPr>
        <w:kinsoku/>
        <w:overflowPunct/>
        <w:topLinePunct w:val="0"/>
        <w:autoSpaceDE/>
        <w:autoSpaceDN/>
        <w:bidi w:val="0"/>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pPr>
        <w:pageBreakBefore w:val="0"/>
        <w:widowControl/>
        <w:kinsoku/>
        <w:overflowPunct/>
        <w:topLinePunct w:val="0"/>
        <w:autoSpaceDE/>
        <w:autoSpaceDN/>
        <w:bidi w:val="0"/>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lang w:val="zh-CN"/>
        </w:rPr>
      </w:pPr>
      <w:bookmarkStart w:id="12" w:name="_四、项目内容、服务需求"/>
      <w:r>
        <w:rPr>
          <w:rFonts w:hint="eastAsia" w:ascii="黑体" w:hAnsi="黑体" w:eastAsia="黑体" w:cs="黑体"/>
          <w:b w:val="0"/>
          <w:sz w:val="32"/>
          <w:szCs w:val="32"/>
          <w:lang w:val="zh-CN"/>
        </w:rPr>
        <w:t>四、项目内容及需求</w:t>
      </w:r>
      <w:bookmarkEnd w:id="11"/>
    </w:p>
    <w:bookmarkEnd w:id="12"/>
    <w:p>
      <w:pPr>
        <w:pageBreakBefore w:val="0"/>
        <w:widowControl/>
        <w:numPr>
          <w:ilvl w:val="0"/>
          <w:numId w:val="2"/>
        </w:numPr>
        <w:kinsoku/>
        <w:overflowPunct/>
        <w:topLinePunct w:val="0"/>
        <w:autoSpaceDE/>
        <w:autoSpaceDN/>
        <w:bidi w:val="0"/>
        <w:snapToGrid w:val="0"/>
        <w:spacing w:line="560" w:lineRule="exact"/>
        <w:ind w:firstLine="640" w:firstLineChars="200"/>
        <w:jc w:val="left"/>
        <w:rPr>
          <w:rFonts w:hint="eastAsia" w:ascii="楷体" w:hAnsi="楷体" w:eastAsia="楷体" w:cs="楷体"/>
          <w:bCs/>
          <w:sz w:val="32"/>
          <w:szCs w:val="32"/>
        </w:rPr>
      </w:pPr>
      <w:bookmarkStart w:id="13" w:name="_Toc15949_WPSOffice_Level2"/>
      <w:r>
        <w:rPr>
          <w:rFonts w:hint="eastAsia" w:ascii="楷体" w:hAnsi="楷体" w:eastAsia="楷体" w:cs="楷体"/>
          <w:bCs/>
          <w:sz w:val="32"/>
          <w:szCs w:val="32"/>
        </w:rPr>
        <w:t>项目内容</w:t>
      </w:r>
      <w:bookmarkEnd w:id="13"/>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在项目周期内，根据招标人</w:t>
      </w:r>
      <w:r>
        <w:rPr>
          <w:rFonts w:hint="eastAsia" w:ascii="仿宋" w:hAnsi="仿宋" w:eastAsia="仿宋" w:cs="仿宋"/>
          <w:bCs/>
          <w:sz w:val="32"/>
          <w:szCs w:val="32"/>
          <w:lang w:val="en-US" w:eastAsia="zh-CN"/>
        </w:rPr>
        <w:t>需求提供日常经营管理法律问题解答、涉诉事项法律事务代理及其他与公司主营业务管理相关的法律服务等。</w:t>
      </w:r>
      <w:r>
        <w:rPr>
          <w:rFonts w:hint="eastAsia" w:ascii="仿宋" w:hAnsi="仿宋" w:eastAsia="仿宋" w:cs="仿宋"/>
          <w:bCs/>
          <w:sz w:val="32"/>
          <w:szCs w:val="32"/>
        </w:rPr>
        <w:t xml:space="preserve">  </w:t>
      </w:r>
    </w:p>
    <w:p>
      <w:pPr>
        <w:pageBreakBefore w:val="0"/>
        <w:widowControl/>
        <w:numPr>
          <w:ilvl w:val="0"/>
          <w:numId w:val="2"/>
        </w:numPr>
        <w:kinsoku/>
        <w:overflowPunct/>
        <w:topLinePunct w:val="0"/>
        <w:autoSpaceDE/>
        <w:autoSpaceDN/>
        <w:bidi w:val="0"/>
        <w:snapToGrid w:val="0"/>
        <w:spacing w:line="560" w:lineRule="exact"/>
        <w:ind w:firstLine="640" w:firstLineChars="200"/>
        <w:jc w:val="left"/>
        <w:rPr>
          <w:rFonts w:hint="eastAsia" w:ascii="楷体" w:hAnsi="楷体" w:eastAsia="楷体" w:cs="楷体"/>
          <w:bCs/>
          <w:sz w:val="32"/>
          <w:szCs w:val="32"/>
        </w:rPr>
      </w:pPr>
      <w:r>
        <w:rPr>
          <w:rFonts w:hint="eastAsia" w:ascii="楷体" w:hAnsi="楷体" w:eastAsia="楷体" w:cs="楷体"/>
          <w:bCs/>
          <w:sz w:val="32"/>
          <w:szCs w:val="32"/>
        </w:rPr>
        <w:t>项目需求</w:t>
      </w:r>
    </w:p>
    <w:p>
      <w:pPr>
        <w:pageBreakBefore w:val="0"/>
        <w:widowControl/>
        <w:numPr>
          <w:ilvl w:val="0"/>
          <w:numId w:val="3"/>
        </w:numPr>
        <w:kinsoku/>
        <w:overflowPunct/>
        <w:topLinePunct w:val="0"/>
        <w:autoSpaceDE/>
        <w:autoSpaceDN/>
        <w:bidi w:val="0"/>
        <w:spacing w:beforeLines="30"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服务范围概述如下，详细内容以招标文件第三章合同条款 为准：</w:t>
      </w:r>
    </w:p>
    <w:p>
      <w:pPr>
        <w:pageBreakBefore w:val="0"/>
        <w:widowControl/>
        <w:numPr>
          <w:ilvl w:val="0"/>
          <w:numId w:val="4"/>
        </w:numPr>
        <w:kinsoku/>
        <w:overflowPunct/>
        <w:topLinePunct w:val="0"/>
        <w:autoSpaceDE/>
        <w:autoSpaceDN/>
        <w:bidi w:val="0"/>
        <w:spacing w:beforeLines="30" w:line="560" w:lineRule="exact"/>
        <w:ind w:left="198"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解答招标人法律咨询；</w:t>
      </w:r>
    </w:p>
    <w:p>
      <w:pPr>
        <w:pageBreakBefore w:val="0"/>
        <w:widowControl/>
        <w:numPr>
          <w:ilvl w:val="0"/>
          <w:numId w:val="4"/>
        </w:numPr>
        <w:kinsoku/>
        <w:overflowPunct/>
        <w:topLinePunct w:val="0"/>
        <w:autoSpaceDE/>
        <w:autoSpaceDN/>
        <w:bidi w:val="0"/>
        <w:spacing w:beforeLines="30" w:line="560" w:lineRule="exact"/>
        <w:ind w:left="198"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对招标人咨询的事项提出建议或者出具法律意见书；</w:t>
      </w:r>
    </w:p>
    <w:p>
      <w:pPr>
        <w:pageBreakBefore w:val="0"/>
        <w:widowControl/>
        <w:numPr>
          <w:ilvl w:val="0"/>
          <w:numId w:val="4"/>
        </w:numPr>
        <w:kinsoku/>
        <w:overflowPunct/>
        <w:topLinePunct w:val="0"/>
        <w:autoSpaceDE/>
        <w:autoSpaceDN/>
        <w:bidi w:val="0"/>
        <w:spacing w:beforeLines="30" w:line="560" w:lineRule="exact"/>
        <w:ind w:left="198"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对招标人重大项目进行法律论证；</w:t>
      </w:r>
    </w:p>
    <w:p>
      <w:pPr>
        <w:pageBreakBefore w:val="0"/>
        <w:widowControl/>
        <w:numPr>
          <w:ilvl w:val="0"/>
          <w:numId w:val="4"/>
        </w:numPr>
        <w:kinsoku/>
        <w:overflowPunct/>
        <w:topLinePunct w:val="0"/>
        <w:autoSpaceDE/>
        <w:autoSpaceDN/>
        <w:bidi w:val="0"/>
        <w:spacing w:beforeLines="30" w:line="560" w:lineRule="exact"/>
        <w:ind w:left="198"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应招标人要求参与磋商、谈判活动；</w:t>
      </w:r>
    </w:p>
    <w:p>
      <w:pPr>
        <w:pageBreakBefore w:val="0"/>
        <w:widowControl/>
        <w:numPr>
          <w:ilvl w:val="0"/>
          <w:numId w:val="4"/>
        </w:numPr>
        <w:kinsoku/>
        <w:overflowPunct/>
        <w:topLinePunct w:val="0"/>
        <w:autoSpaceDE/>
        <w:autoSpaceDN/>
        <w:bidi w:val="0"/>
        <w:spacing w:beforeLines="30" w:line="560" w:lineRule="exact"/>
        <w:ind w:left="198"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协助招标人草拟、审查或者修改合同；</w:t>
      </w:r>
    </w:p>
    <w:p>
      <w:pPr>
        <w:pageBreakBefore w:val="0"/>
        <w:widowControl/>
        <w:numPr>
          <w:ilvl w:val="0"/>
          <w:numId w:val="4"/>
        </w:numPr>
        <w:kinsoku/>
        <w:overflowPunct/>
        <w:topLinePunct w:val="0"/>
        <w:autoSpaceDE/>
        <w:autoSpaceDN/>
        <w:bidi w:val="0"/>
        <w:spacing w:beforeLines="30" w:line="560" w:lineRule="exact"/>
        <w:ind w:left="198"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协助招标人制定规章制度；</w:t>
      </w:r>
    </w:p>
    <w:p>
      <w:pPr>
        <w:pageBreakBefore w:val="0"/>
        <w:widowControl/>
        <w:numPr>
          <w:ilvl w:val="0"/>
          <w:numId w:val="4"/>
        </w:numPr>
        <w:kinsoku/>
        <w:overflowPunct/>
        <w:topLinePunct w:val="0"/>
        <w:autoSpaceDE/>
        <w:autoSpaceDN/>
        <w:bidi w:val="0"/>
        <w:spacing w:beforeLines="30" w:line="560" w:lineRule="exact"/>
        <w:ind w:left="198"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应招标人要求就有关事项对外发表律师声明；</w:t>
      </w:r>
    </w:p>
    <w:p>
      <w:pPr>
        <w:pageBreakBefore w:val="0"/>
        <w:widowControl/>
        <w:numPr>
          <w:ilvl w:val="0"/>
          <w:numId w:val="4"/>
        </w:numPr>
        <w:kinsoku/>
        <w:overflowPunct/>
        <w:topLinePunct w:val="0"/>
        <w:autoSpaceDE/>
        <w:autoSpaceDN/>
        <w:bidi w:val="0"/>
        <w:spacing w:beforeLines="30" w:line="560" w:lineRule="exact"/>
        <w:ind w:left="198"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应招标人要求进行法律知识培训；</w:t>
      </w:r>
    </w:p>
    <w:p>
      <w:pPr>
        <w:pageBreakBefore w:val="0"/>
        <w:widowControl/>
        <w:numPr>
          <w:ilvl w:val="0"/>
          <w:numId w:val="4"/>
        </w:numPr>
        <w:kinsoku/>
        <w:overflowPunct/>
        <w:topLinePunct w:val="0"/>
        <w:autoSpaceDE/>
        <w:autoSpaceDN/>
        <w:bidi w:val="0"/>
        <w:spacing w:beforeLines="30" w:line="560" w:lineRule="exact"/>
        <w:ind w:left="198" w:leftChars="0" w:firstLine="640" w:firstLineChars="200"/>
        <w:jc w:val="both"/>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应招标人要求对重大经营管理项目或招标人认为有需要的事项出具法律意见、提供法律协助。</w:t>
      </w:r>
    </w:p>
    <w:p>
      <w:pPr>
        <w:pageBreakBefore w:val="0"/>
        <w:widowControl/>
        <w:numPr>
          <w:ilvl w:val="0"/>
          <w:numId w:val="5"/>
        </w:numPr>
        <w:kinsoku/>
        <w:overflowPunct/>
        <w:topLinePunct w:val="0"/>
        <w:autoSpaceDE/>
        <w:autoSpaceDN/>
        <w:bidi w:val="0"/>
        <w:spacing w:beforeLines="30" w:line="560" w:lineRule="exact"/>
        <w:ind w:left="0" w:leftChars="0" w:firstLine="640" w:firstLineChars="0"/>
        <w:jc w:val="both"/>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服务要求和服务方式：详细内容以招标文件第三章合同条款为准：</w:t>
      </w:r>
    </w:p>
    <w:p>
      <w:pPr>
        <w:keepNext w:val="0"/>
        <w:keepLines w:val="0"/>
        <w:pageBreakBefore w:val="0"/>
        <w:widowControl/>
        <w:numPr>
          <w:ilvl w:val="0"/>
          <w:numId w:val="6"/>
        </w:numPr>
        <w:kinsoku/>
        <w:wordWrap/>
        <w:overflowPunct/>
        <w:topLinePunct w:val="0"/>
        <w:autoSpaceDE/>
        <w:autoSpaceDN/>
        <w:bidi w:val="0"/>
        <w:adjustRightInd/>
        <w:snapToGrid/>
        <w:spacing w:beforeLines="30" w:line="560" w:lineRule="exact"/>
        <w:ind w:left="198"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遵守国家法律法规，诚实、信用、及时、勤勉地履行招标人交托的事项，维护招标人合法权益，为招标人提供优质、高效的法律服务；</w:t>
      </w:r>
    </w:p>
    <w:p>
      <w:pPr>
        <w:keepNext w:val="0"/>
        <w:keepLines w:val="0"/>
        <w:pageBreakBefore w:val="0"/>
        <w:widowControl/>
        <w:numPr>
          <w:ilvl w:val="0"/>
          <w:numId w:val="6"/>
        </w:numPr>
        <w:kinsoku/>
        <w:wordWrap/>
        <w:overflowPunct/>
        <w:topLinePunct w:val="0"/>
        <w:autoSpaceDE/>
        <w:autoSpaceDN/>
        <w:bidi w:val="0"/>
        <w:adjustRightInd/>
        <w:snapToGrid/>
        <w:spacing w:beforeLines="30" w:line="560" w:lineRule="exact"/>
        <w:ind w:left="198"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组建服务团队，以顾问律师为主，团队协作方式提供在线及现场服务，及时处理招标人交托的相关法律事项；</w:t>
      </w:r>
    </w:p>
    <w:p>
      <w:pPr>
        <w:keepNext w:val="0"/>
        <w:keepLines w:val="0"/>
        <w:pageBreakBefore w:val="0"/>
        <w:widowControl/>
        <w:numPr>
          <w:ilvl w:val="0"/>
          <w:numId w:val="6"/>
        </w:numPr>
        <w:kinsoku/>
        <w:wordWrap/>
        <w:overflowPunct/>
        <w:topLinePunct w:val="0"/>
        <w:autoSpaceDE/>
        <w:autoSpaceDN/>
        <w:bidi w:val="0"/>
        <w:adjustRightInd/>
        <w:snapToGrid/>
        <w:spacing w:beforeLines="30" w:line="560" w:lineRule="exact"/>
        <w:ind w:left="198" w:leftChars="0" w:firstLine="640" w:firstLineChars="200"/>
        <w:jc w:val="both"/>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招标人遇突发或紧急事务需要寻求法律支持的，根据需求及时介入处理。</w:t>
      </w:r>
    </w:p>
    <w:p>
      <w:pPr>
        <w:pStyle w:val="4"/>
        <w:ind w:firstLine="560"/>
        <w:rPr>
          <w:rFonts w:hint="eastAsia" w:ascii="黑体" w:hAnsi="黑体" w:eastAsia="黑体" w:cs="黑体"/>
          <w:b w:val="0"/>
          <w:bCs/>
          <w:sz w:val="32"/>
          <w:szCs w:val="32"/>
          <w:lang w:val="zh-CN"/>
        </w:rPr>
      </w:pPr>
      <w:bookmarkStart w:id="14" w:name="_五、项目期限"/>
      <w:r>
        <w:rPr>
          <w:rFonts w:hint="eastAsia" w:ascii="黑体" w:hAnsi="黑体" w:eastAsia="黑体" w:cs="黑体"/>
          <w:b w:val="0"/>
          <w:bCs/>
          <w:sz w:val="32"/>
          <w:szCs w:val="32"/>
          <w:lang w:val="zh-CN" w:eastAsia="zh-CN"/>
        </w:rPr>
        <w:t>五、</w:t>
      </w:r>
      <w:r>
        <w:rPr>
          <w:rFonts w:hint="eastAsia" w:ascii="黑体" w:hAnsi="黑体" w:eastAsia="黑体" w:cs="黑体"/>
          <w:b w:val="0"/>
          <w:bCs/>
          <w:sz w:val="32"/>
          <w:szCs w:val="32"/>
          <w:lang w:val="zh-CN"/>
        </w:rPr>
        <w:t>项目期限</w:t>
      </w:r>
    </w:p>
    <w:bookmarkEnd w:id="14"/>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本项目服务周期为两年，拟采用“1+1”模式，即在采购成交首年实施履约评价</w:t>
      </w:r>
      <w:r>
        <w:rPr>
          <w:rFonts w:hint="eastAsia" w:ascii="宋体" w:hAnsi="宋体" w:eastAsia="宋体" w:cs="宋体"/>
          <w:bCs/>
          <w:sz w:val="32"/>
          <w:szCs w:val="32"/>
          <w:highlight w:val="none"/>
          <w:lang w:val="en-US" w:eastAsia="zh-CN"/>
        </w:rPr>
        <w:t>≧</w:t>
      </w:r>
      <w:r>
        <w:rPr>
          <w:rFonts w:hint="eastAsia" w:ascii="仿宋" w:hAnsi="仿宋" w:eastAsia="仿宋" w:cs="仿宋"/>
          <w:bCs/>
          <w:sz w:val="32"/>
          <w:szCs w:val="32"/>
          <w:highlight w:val="none"/>
          <w:lang w:val="en-US" w:eastAsia="zh-CN"/>
        </w:rPr>
        <w:t>85分的，招标人与成交人以本项目成交价格及服务约定续签服务合同一年。</w:t>
      </w:r>
    </w:p>
    <w:p>
      <w:pPr>
        <w:pStyle w:val="4"/>
        <w:ind w:firstLine="560"/>
        <w:rPr>
          <w:rFonts w:hint="eastAsia" w:ascii="黑体" w:hAnsi="黑体" w:eastAsia="黑体" w:cs="黑体"/>
          <w:b w:val="0"/>
          <w:bCs/>
          <w:sz w:val="32"/>
          <w:szCs w:val="32"/>
          <w:lang w:val="zh-CN" w:eastAsia="zh-CN"/>
        </w:rPr>
      </w:pPr>
      <w:bookmarkStart w:id="15" w:name="_Toc2447"/>
      <w:bookmarkStart w:id="16" w:name="_六、项目服务费用"/>
      <w:r>
        <w:rPr>
          <w:rFonts w:hint="eastAsia" w:ascii="黑体" w:hAnsi="黑体" w:eastAsia="黑体" w:cs="黑体"/>
          <w:b w:val="0"/>
          <w:bCs/>
          <w:sz w:val="32"/>
          <w:szCs w:val="32"/>
          <w:lang w:val="zh-CN" w:eastAsia="zh-CN"/>
        </w:rPr>
        <w:t>六</w:t>
      </w:r>
      <w:r>
        <w:rPr>
          <w:rFonts w:hint="eastAsia" w:ascii="黑体" w:hAnsi="黑体" w:eastAsia="黑体" w:cs="黑体"/>
          <w:b w:val="0"/>
          <w:bCs/>
          <w:sz w:val="32"/>
          <w:szCs w:val="32"/>
          <w:lang w:val="zh-CN"/>
        </w:rPr>
        <w:t>、项目</w:t>
      </w:r>
      <w:bookmarkEnd w:id="15"/>
      <w:r>
        <w:rPr>
          <w:rFonts w:hint="eastAsia" w:ascii="黑体" w:hAnsi="黑体" w:eastAsia="黑体" w:cs="黑体"/>
          <w:b w:val="0"/>
          <w:bCs/>
          <w:sz w:val="32"/>
          <w:szCs w:val="32"/>
          <w:lang w:val="zh-CN" w:eastAsia="zh-CN"/>
        </w:rPr>
        <w:t>服务费用</w:t>
      </w:r>
    </w:p>
    <w:bookmarkEnd w:id="16"/>
    <w:p>
      <w:pPr>
        <w:pageBreakBefore w:val="0"/>
        <w:widowControl/>
        <w:numPr>
          <w:ilvl w:val="0"/>
          <w:numId w:val="0"/>
        </w:numPr>
        <w:kinsoku/>
        <w:overflowPunct/>
        <w:topLinePunct w:val="0"/>
        <w:autoSpaceDE/>
        <w:autoSpaceDN/>
        <w:bidi w:val="0"/>
        <w:snapToGrid/>
        <w:spacing w:beforeLines="30" w:line="560" w:lineRule="exact"/>
        <w:ind w:firstLine="640" w:firstLineChars="200"/>
        <w:jc w:val="both"/>
        <w:rPr>
          <w:rFonts w:hint="eastAsia" w:ascii="仿宋" w:hAnsi="仿宋" w:eastAsia="仿宋" w:cs="仿宋"/>
          <w:b/>
          <w:sz w:val="32"/>
          <w:szCs w:val="32"/>
          <w:highlight w:val="none"/>
        </w:rPr>
      </w:pPr>
      <w:r>
        <w:rPr>
          <w:rFonts w:hint="eastAsia" w:ascii="仿宋" w:hAnsi="仿宋" w:eastAsia="仿宋" w:cs="仿宋"/>
          <w:bCs/>
          <w:sz w:val="32"/>
          <w:szCs w:val="32"/>
          <w:highlight w:val="none"/>
          <w:lang w:eastAsia="zh-CN"/>
        </w:rPr>
        <w:t>本项目</w:t>
      </w:r>
      <w:r>
        <w:rPr>
          <w:rFonts w:hint="eastAsia" w:ascii="仿宋" w:hAnsi="仿宋" w:eastAsia="仿宋" w:cs="仿宋"/>
          <w:bCs/>
          <w:sz w:val="32"/>
          <w:szCs w:val="32"/>
          <w:highlight w:val="none"/>
          <w:lang w:val="en-US" w:eastAsia="zh-CN"/>
        </w:rPr>
        <w:t>不设置限价，项目服务费用构成</w:t>
      </w:r>
      <w:r>
        <w:rPr>
          <w:rFonts w:hint="eastAsia" w:ascii="仿宋" w:hAnsi="仿宋" w:eastAsia="仿宋" w:cs="仿宋"/>
          <w:bCs/>
          <w:sz w:val="32"/>
          <w:szCs w:val="32"/>
          <w:highlight w:val="none"/>
          <w:lang w:eastAsia="zh-CN"/>
        </w:rPr>
        <w:t>为“常年法律顾问服务费+办案费”</w:t>
      </w:r>
      <w:r>
        <w:rPr>
          <w:rFonts w:hint="eastAsia" w:ascii="仿宋" w:hAnsi="仿宋" w:eastAsia="仿宋" w:cs="仿宋"/>
          <w:bCs/>
          <w:sz w:val="32"/>
          <w:szCs w:val="32"/>
          <w:highlight w:val="none"/>
        </w:rPr>
        <w:t>投标人应</w:t>
      </w:r>
      <w:r>
        <w:rPr>
          <w:rFonts w:hint="eastAsia" w:ascii="仿宋" w:hAnsi="仿宋" w:eastAsia="仿宋" w:cs="仿宋"/>
          <w:bCs/>
          <w:sz w:val="32"/>
          <w:szCs w:val="32"/>
          <w:highlight w:val="none"/>
          <w:lang w:val="en-US" w:eastAsia="zh-CN"/>
        </w:rPr>
        <w:t>根据本文件附件《报价表》提供报价，并</w:t>
      </w:r>
      <w:r>
        <w:rPr>
          <w:rFonts w:hint="eastAsia" w:ascii="仿宋" w:hAnsi="仿宋" w:eastAsia="仿宋" w:cs="仿宋"/>
          <w:bCs/>
          <w:sz w:val="32"/>
          <w:szCs w:val="32"/>
          <w:highlight w:val="none"/>
        </w:rPr>
        <w:t>于报价文件中明确列示各</w:t>
      </w:r>
      <w:r>
        <w:rPr>
          <w:rFonts w:hint="eastAsia" w:ascii="仿宋" w:hAnsi="仿宋" w:eastAsia="仿宋" w:cs="仿宋"/>
          <w:bCs/>
          <w:sz w:val="32"/>
          <w:szCs w:val="32"/>
          <w:highlight w:val="none"/>
          <w:lang w:val="en-US" w:eastAsia="zh-CN"/>
        </w:rPr>
        <w:t>办案</w:t>
      </w:r>
      <w:r>
        <w:rPr>
          <w:rFonts w:hint="eastAsia" w:ascii="仿宋" w:hAnsi="仿宋" w:eastAsia="仿宋" w:cs="仿宋"/>
          <w:bCs/>
          <w:sz w:val="32"/>
          <w:szCs w:val="32"/>
          <w:highlight w:val="none"/>
        </w:rPr>
        <w:t>标准下</w:t>
      </w:r>
      <w:r>
        <w:rPr>
          <w:rFonts w:hint="eastAsia" w:ascii="仿宋" w:hAnsi="仿宋" w:eastAsia="仿宋" w:cs="仿宋"/>
          <w:bCs/>
          <w:sz w:val="32"/>
          <w:szCs w:val="32"/>
          <w:highlight w:val="none"/>
          <w:lang w:val="en-US" w:eastAsia="zh-CN"/>
        </w:rPr>
        <w:t>服务内容说明、</w:t>
      </w:r>
      <w:r>
        <w:rPr>
          <w:rFonts w:hint="eastAsia" w:ascii="仿宋" w:hAnsi="仿宋" w:eastAsia="仿宋" w:cs="仿宋"/>
          <w:bCs/>
          <w:sz w:val="32"/>
          <w:szCs w:val="32"/>
          <w:highlight w:val="none"/>
        </w:rPr>
        <w:t>项目</w:t>
      </w:r>
      <w:r>
        <w:rPr>
          <w:rFonts w:hint="eastAsia" w:ascii="仿宋" w:hAnsi="仿宋" w:eastAsia="仿宋" w:cs="仿宋"/>
          <w:bCs/>
          <w:sz w:val="32"/>
          <w:szCs w:val="32"/>
          <w:highlight w:val="none"/>
          <w:lang w:val="en-US" w:eastAsia="zh-CN"/>
        </w:rPr>
        <w:t>费用及其它投标人认为需要列示的费用及服务内容。</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highlight w:val="none"/>
        </w:rPr>
      </w:pPr>
      <w:bookmarkStart w:id="17" w:name="_Toc20924"/>
      <w:bookmarkStart w:id="18" w:name="_七、投标文件要求"/>
      <w:r>
        <w:rPr>
          <w:rFonts w:hint="eastAsia" w:ascii="黑体" w:hAnsi="黑体" w:eastAsia="黑体" w:cs="黑体"/>
          <w:b w:val="0"/>
          <w:sz w:val="32"/>
          <w:szCs w:val="32"/>
          <w:highlight w:val="none"/>
          <w:lang w:val="en-US" w:eastAsia="zh-CN"/>
        </w:rPr>
        <w:t>七</w:t>
      </w:r>
      <w:r>
        <w:rPr>
          <w:rFonts w:hint="eastAsia" w:ascii="黑体" w:hAnsi="黑体" w:eastAsia="黑体" w:cs="黑体"/>
          <w:b w:val="0"/>
          <w:sz w:val="32"/>
          <w:szCs w:val="32"/>
          <w:highlight w:val="none"/>
        </w:rPr>
        <w:t>、投标文件要求</w:t>
      </w:r>
      <w:bookmarkEnd w:id="17"/>
    </w:p>
    <w:bookmarkEnd w:id="18"/>
    <w:p>
      <w:pPr>
        <w:pageBreakBefore w:val="0"/>
        <w:widowControl/>
        <w:numPr>
          <w:ilvl w:val="0"/>
          <w:numId w:val="7"/>
        </w:numPr>
        <w:kinsoku/>
        <w:overflowPunct/>
        <w:topLinePunct w:val="0"/>
        <w:autoSpaceDE/>
        <w:autoSpaceDN/>
        <w:bidi w:val="0"/>
        <w:snapToGrid w:val="0"/>
        <w:spacing w:line="560" w:lineRule="exact"/>
        <w:ind w:firstLine="640" w:firstLineChars="200"/>
        <w:jc w:val="left"/>
        <w:rPr>
          <w:rFonts w:hint="eastAsia" w:ascii="楷体" w:hAnsi="楷体" w:eastAsia="楷体" w:cs="楷体"/>
          <w:bCs/>
          <w:sz w:val="32"/>
          <w:szCs w:val="32"/>
          <w:highlight w:val="none"/>
        </w:rPr>
      </w:pPr>
      <w:r>
        <w:rPr>
          <w:rFonts w:hint="eastAsia" w:ascii="楷体" w:hAnsi="楷体" w:eastAsia="楷体" w:cs="楷体"/>
          <w:bCs/>
          <w:sz w:val="32"/>
          <w:szCs w:val="32"/>
          <w:highlight w:val="none"/>
        </w:rPr>
        <w:t>投标文件构成</w:t>
      </w:r>
    </w:p>
    <w:p>
      <w:pPr>
        <w:pageBreakBefore w:val="0"/>
        <w:widowControl/>
        <w:kinsoku/>
        <w:overflowPunct/>
        <w:topLinePunct w:val="0"/>
        <w:autoSpaceDE/>
        <w:autoSpaceDN/>
        <w:bidi w:val="0"/>
        <w:snapToGrid w:val="0"/>
        <w:spacing w:line="560" w:lineRule="exact"/>
        <w:ind w:firstLine="729" w:firstLineChars="228"/>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1.唱标信封及开标一览表</w:t>
      </w:r>
    </w:p>
    <w:p>
      <w:pPr>
        <w:pageBreakBefore w:val="0"/>
        <w:widowControl/>
        <w:kinsoku/>
        <w:overflowPunct/>
        <w:topLinePunct w:val="0"/>
        <w:autoSpaceDE/>
        <w:autoSpaceDN/>
        <w:bidi w:val="0"/>
        <w:snapToGrid w:val="0"/>
        <w:spacing w:line="560" w:lineRule="exact"/>
        <w:ind w:firstLine="729" w:firstLineChars="228"/>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(1)唱标信封</w:t>
      </w:r>
    </w:p>
    <w:p>
      <w:pPr>
        <w:pageBreakBefore w:val="0"/>
        <w:widowControl/>
        <w:kinsoku/>
        <w:overflowPunct/>
        <w:topLinePunct w:val="0"/>
        <w:autoSpaceDE/>
        <w:autoSpaceDN/>
        <w:bidi w:val="0"/>
        <w:snapToGrid w:val="0"/>
        <w:spacing w:line="560" w:lineRule="exact"/>
        <w:ind w:firstLine="729" w:firstLineChars="228"/>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用以密封开标一览表，信封格式见本文件“第四章 投标文件格式 格式1 唱标信封”；</w:t>
      </w:r>
    </w:p>
    <w:p>
      <w:pPr>
        <w:pageBreakBefore w:val="0"/>
        <w:widowControl/>
        <w:kinsoku/>
        <w:overflowPunct/>
        <w:topLinePunct w:val="0"/>
        <w:autoSpaceDE/>
        <w:autoSpaceDN/>
        <w:bidi w:val="0"/>
        <w:snapToGrid w:val="0"/>
        <w:spacing w:line="560" w:lineRule="exact"/>
        <w:ind w:firstLine="729" w:firstLineChars="228"/>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(2)开标一览表</w:t>
      </w:r>
    </w:p>
    <w:p>
      <w:pPr>
        <w:pageBreakBefore w:val="0"/>
        <w:widowControl/>
        <w:kinsoku/>
        <w:overflowPunct/>
        <w:topLinePunct w:val="0"/>
        <w:autoSpaceDE/>
        <w:autoSpaceDN/>
        <w:bidi w:val="0"/>
        <w:snapToGrid w:val="0"/>
        <w:spacing w:line="560" w:lineRule="exact"/>
        <w:ind w:firstLine="729" w:firstLineChars="228"/>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用唱标信封单独封装，与投标文件一并递交，一览表指定格式见“第四章 投标文件格式 格式2 开标一览表”。</w:t>
      </w:r>
    </w:p>
    <w:p>
      <w:pPr>
        <w:pageBreakBefore w:val="0"/>
        <w:widowControl/>
        <w:kinsoku/>
        <w:overflowPunct/>
        <w:topLinePunct w:val="0"/>
        <w:autoSpaceDE/>
        <w:autoSpaceDN/>
        <w:bidi w:val="0"/>
        <w:snapToGrid w:val="0"/>
        <w:spacing w:line="560" w:lineRule="exact"/>
        <w:ind w:firstLine="729" w:firstLineChars="228"/>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2.投标文件</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(1)资质证明文件</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投标人资质证明文件应按以下顺序排序：</w:t>
      </w:r>
    </w:p>
    <w:p>
      <w:pPr>
        <w:pageBreakBefore w:val="0"/>
        <w:widowControl/>
        <w:numPr>
          <w:ilvl w:val="0"/>
          <w:numId w:val="8"/>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“三证合一”营业执照，非企业机构提供组织机构代码证（加盖公章）</w:t>
      </w:r>
      <w:r>
        <w:rPr>
          <w:rFonts w:hint="eastAsia" w:ascii="仿宋" w:hAnsi="仿宋" w:eastAsia="仿宋" w:cs="仿宋"/>
          <w:bCs/>
          <w:sz w:val="32"/>
          <w:szCs w:val="32"/>
          <w:highlight w:val="none"/>
          <w:lang w:eastAsia="zh-CN"/>
        </w:rPr>
        <w:t>；</w:t>
      </w:r>
    </w:p>
    <w:p>
      <w:pPr>
        <w:pageBreakBefore w:val="0"/>
        <w:widowControl/>
        <w:numPr>
          <w:ilvl w:val="0"/>
          <w:numId w:val="8"/>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中华人民共和国</w:t>
      </w:r>
      <w:r>
        <w:rPr>
          <w:rFonts w:hint="eastAsia" w:ascii="仿宋" w:hAnsi="仿宋" w:eastAsia="仿宋" w:cs="仿宋"/>
          <w:bCs/>
          <w:sz w:val="32"/>
          <w:szCs w:val="32"/>
          <w:highlight w:val="none"/>
          <w:lang w:val="en-US" w:eastAsia="zh-CN"/>
        </w:rPr>
        <w:t>律师事务所执业许可证；</w:t>
      </w:r>
    </w:p>
    <w:p>
      <w:pPr>
        <w:pageBreakBefore w:val="0"/>
        <w:widowControl/>
        <w:numPr>
          <w:ilvl w:val="0"/>
          <w:numId w:val="8"/>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法人授权委托书原件或同等效力的授权证明文件（加盖公章）</w:t>
      </w:r>
      <w:r>
        <w:rPr>
          <w:rFonts w:hint="eastAsia" w:ascii="仿宋" w:hAnsi="仿宋" w:eastAsia="仿宋" w:cs="仿宋"/>
          <w:bCs/>
          <w:sz w:val="32"/>
          <w:szCs w:val="32"/>
          <w:highlight w:val="none"/>
          <w:lang w:eastAsia="zh-CN"/>
        </w:rPr>
        <w:t>；</w:t>
      </w:r>
    </w:p>
    <w:p>
      <w:pPr>
        <w:pageBreakBefore w:val="0"/>
        <w:widowControl/>
        <w:numPr>
          <w:ilvl w:val="0"/>
          <w:numId w:val="8"/>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被委托人身份证复印件（加盖公章）</w:t>
      </w:r>
      <w:r>
        <w:rPr>
          <w:rFonts w:hint="eastAsia" w:ascii="仿宋" w:hAnsi="仿宋" w:eastAsia="仿宋" w:cs="仿宋"/>
          <w:bCs/>
          <w:sz w:val="32"/>
          <w:szCs w:val="32"/>
          <w:highlight w:val="none"/>
          <w:lang w:eastAsia="zh-CN"/>
        </w:rPr>
        <w:t>；</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(2)价格文件</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格式参见本文件“第二部分 第四章 投标文件格式 格式5 </w:t>
      </w:r>
      <w:r>
        <w:rPr>
          <w:rFonts w:hint="eastAsia" w:ascii="仿宋" w:hAnsi="仿宋" w:eastAsia="仿宋" w:cs="仿宋"/>
          <w:bCs/>
          <w:sz w:val="32"/>
          <w:szCs w:val="32"/>
          <w:highlight w:val="none"/>
          <w:lang w:val="en-US" w:eastAsia="zh-CN"/>
        </w:rPr>
        <w:t>法律顾问服务项目报价单</w:t>
      </w:r>
      <w:r>
        <w:rPr>
          <w:rFonts w:hint="eastAsia" w:ascii="仿宋" w:hAnsi="仿宋" w:eastAsia="仿宋" w:cs="仿宋"/>
          <w:bCs/>
          <w:sz w:val="32"/>
          <w:szCs w:val="32"/>
          <w:highlight w:val="none"/>
        </w:rPr>
        <w:t>”。</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(3)商务技术文件</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1)评标标准及细则内要求提供的证明文件（按本文件 </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第二章 评标程序及标准”内各评分项列示顺序排序并加盖公章）；</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2)服务方案</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服务方案应包括以下内容：</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yellow"/>
        </w:rPr>
      </w:pPr>
      <w:r>
        <w:rPr>
          <w:rFonts w:hint="eastAsia" w:ascii="仿宋" w:hAnsi="仿宋" w:eastAsia="仿宋" w:cs="仿宋"/>
          <w:bCs/>
          <w:sz w:val="32"/>
          <w:szCs w:val="32"/>
          <w:highlight w:val="none"/>
        </w:rPr>
        <w:t>A.与报价表列示各</w:t>
      </w:r>
      <w:r>
        <w:rPr>
          <w:rFonts w:hint="eastAsia" w:ascii="仿宋" w:hAnsi="仿宋" w:eastAsia="仿宋" w:cs="仿宋"/>
          <w:bCs/>
          <w:sz w:val="32"/>
          <w:szCs w:val="32"/>
          <w:highlight w:val="none"/>
          <w:lang w:val="en-US" w:eastAsia="zh-CN"/>
        </w:rPr>
        <w:t>服务</w:t>
      </w:r>
      <w:r>
        <w:rPr>
          <w:rFonts w:hint="eastAsia" w:ascii="仿宋" w:hAnsi="仿宋" w:eastAsia="仿宋" w:cs="仿宋"/>
          <w:bCs/>
          <w:sz w:val="32"/>
          <w:szCs w:val="32"/>
          <w:highlight w:val="none"/>
        </w:rPr>
        <w:t xml:space="preserve">项目内容一致的项目清单，格式参见本文件“第四章 投标文件格式 格式3 </w:t>
      </w:r>
      <w:r>
        <w:rPr>
          <w:rFonts w:hint="eastAsia" w:ascii="仿宋" w:hAnsi="仿宋" w:eastAsia="仿宋" w:cs="仿宋"/>
          <w:bCs/>
          <w:sz w:val="32"/>
          <w:szCs w:val="32"/>
          <w:highlight w:val="none"/>
          <w:lang w:val="en-US" w:eastAsia="zh-CN"/>
        </w:rPr>
        <w:t>表1法律顾问单位服务方案项目</w:t>
      </w:r>
      <w:r>
        <w:rPr>
          <w:rFonts w:hint="eastAsia" w:ascii="仿宋" w:hAnsi="仿宋" w:eastAsia="仿宋" w:cs="仿宋"/>
          <w:bCs/>
          <w:sz w:val="32"/>
          <w:szCs w:val="32"/>
          <w:highlight w:val="none"/>
        </w:rPr>
        <w:t>清单”，各投标人在项目要求上另行增加项目或</w:t>
      </w:r>
      <w:r>
        <w:rPr>
          <w:rFonts w:hint="eastAsia" w:ascii="仿宋" w:hAnsi="仿宋" w:eastAsia="仿宋" w:cs="仿宋"/>
          <w:bCs/>
          <w:sz w:val="32"/>
          <w:szCs w:val="32"/>
          <w:highlight w:val="none"/>
          <w:lang w:val="en-US" w:eastAsia="zh-CN"/>
        </w:rPr>
        <w:t>指导性文件</w:t>
      </w:r>
      <w:r>
        <w:rPr>
          <w:rFonts w:hint="eastAsia" w:ascii="仿宋" w:hAnsi="仿宋" w:eastAsia="仿宋" w:cs="仿宋"/>
          <w:bCs/>
          <w:sz w:val="32"/>
          <w:szCs w:val="32"/>
          <w:highlight w:val="none"/>
        </w:rPr>
        <w:t>的，应予列示说明；</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B.除招标文件要求外，投标人另行承诺的随附服务；</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C.服务有效期；</w:t>
      </w:r>
    </w:p>
    <w:p>
      <w:pPr>
        <w:widowControl/>
        <w:snapToGrid w:val="0"/>
        <w:spacing w:line="560" w:lineRule="exact"/>
        <w:ind w:firstLine="640" w:firstLineChars="200"/>
        <w:jc w:val="left"/>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D.列示服务团队成员信息，格式参见本文件“</w:t>
      </w:r>
      <w:r>
        <w:rPr>
          <w:rFonts w:hint="eastAsia" w:ascii="仿宋" w:hAnsi="仿宋" w:eastAsia="仿宋" w:cs="仿宋"/>
          <w:bCs/>
          <w:sz w:val="32"/>
          <w:szCs w:val="32"/>
          <w:highlight w:val="none"/>
        </w:rPr>
        <w:t xml:space="preserve">第四章 投标文件格式 格式3 </w:t>
      </w:r>
      <w:r>
        <w:rPr>
          <w:rFonts w:hint="eastAsia" w:ascii="仿宋" w:hAnsi="仿宋" w:eastAsia="仿宋" w:cs="仿宋"/>
          <w:bCs/>
          <w:sz w:val="32"/>
          <w:szCs w:val="32"/>
          <w:highlight w:val="none"/>
          <w:lang w:val="en-US" w:eastAsia="zh-CN"/>
        </w:rPr>
        <w:t>表2法律顾问服务团队成员名单”；</w:t>
      </w:r>
    </w:p>
    <w:p>
      <w:pPr>
        <w:widowControl/>
        <w:snapToGrid w:val="0"/>
        <w:spacing w:line="560" w:lineRule="exact"/>
        <w:ind w:firstLine="640" w:firstLineChars="200"/>
        <w:jc w:val="left"/>
        <w:rPr>
          <w:rFonts w:hint="default" w:eastAsia="仿宋"/>
          <w:lang w:val="en-US" w:eastAsia="zh-CN"/>
        </w:rPr>
      </w:pPr>
      <w:r>
        <w:rPr>
          <w:rFonts w:hint="eastAsia" w:ascii="仿宋" w:hAnsi="仿宋" w:eastAsia="仿宋" w:cs="仿宋"/>
          <w:bCs/>
          <w:sz w:val="32"/>
          <w:szCs w:val="32"/>
          <w:highlight w:val="none"/>
          <w:lang w:val="en-US" w:eastAsia="zh-CN"/>
        </w:rPr>
        <w:t>E</w:t>
      </w:r>
      <w:r>
        <w:rPr>
          <w:rFonts w:hint="eastAsia" w:ascii="仿宋" w:hAnsi="仿宋" w:eastAsia="仿宋" w:cs="仿宋"/>
          <w:bCs/>
          <w:sz w:val="32"/>
          <w:szCs w:val="32"/>
          <w:highlight w:val="none"/>
        </w:rPr>
        <w:t>.其他投标人认为需要说明的事项</w:t>
      </w:r>
      <w:r>
        <w:rPr>
          <w:rFonts w:hint="eastAsia" w:ascii="仿宋" w:hAnsi="仿宋" w:eastAsia="仿宋" w:cs="仿宋"/>
          <w:bCs/>
          <w:sz w:val="32"/>
          <w:szCs w:val="32"/>
          <w:highlight w:val="none"/>
          <w:lang w:eastAsia="zh-CN"/>
        </w:rPr>
        <w:t>。</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(4)合同条款</w:t>
      </w:r>
      <w:r>
        <w:rPr>
          <w:rFonts w:hint="eastAsia" w:ascii="仿宋" w:hAnsi="仿宋" w:eastAsia="仿宋" w:cs="仿宋"/>
          <w:bCs/>
          <w:sz w:val="32"/>
          <w:szCs w:val="32"/>
          <w:highlight w:val="none"/>
        </w:rPr>
        <w:t>要求响应清单</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yellow"/>
        </w:rPr>
      </w:pPr>
      <w:r>
        <w:rPr>
          <w:rFonts w:hint="eastAsia" w:ascii="仿宋" w:hAnsi="仿宋" w:eastAsia="仿宋" w:cs="仿宋"/>
          <w:bCs/>
          <w:sz w:val="32"/>
          <w:szCs w:val="32"/>
          <w:highlight w:val="none"/>
        </w:rPr>
        <w:t xml:space="preserve">投标人应制作与服务方案一致，按照本文件“第四章 投标文件格式 格式4 </w:t>
      </w:r>
      <w:r>
        <w:rPr>
          <w:rFonts w:hint="eastAsia" w:ascii="仿宋" w:hAnsi="仿宋" w:eastAsia="仿宋" w:cs="仿宋"/>
          <w:bCs/>
          <w:sz w:val="32"/>
          <w:szCs w:val="32"/>
          <w:highlight w:val="none"/>
          <w:lang w:val="en-US" w:eastAsia="zh-CN"/>
        </w:rPr>
        <w:t>合同条款</w:t>
      </w:r>
      <w:r>
        <w:rPr>
          <w:rFonts w:hint="eastAsia" w:ascii="仿宋" w:hAnsi="仿宋" w:eastAsia="仿宋" w:cs="仿宋"/>
          <w:bCs/>
          <w:sz w:val="32"/>
          <w:szCs w:val="32"/>
          <w:highlight w:val="none"/>
        </w:rPr>
        <w:t>响应</w:t>
      </w:r>
      <w:r>
        <w:rPr>
          <w:rFonts w:hint="eastAsia" w:ascii="仿宋" w:hAnsi="仿宋" w:eastAsia="仿宋" w:cs="仿宋"/>
          <w:bCs/>
          <w:sz w:val="32"/>
          <w:szCs w:val="32"/>
          <w:highlight w:val="none"/>
          <w:lang w:val="en-US" w:eastAsia="zh-CN"/>
        </w:rPr>
        <w:t>情况偏离表</w:t>
      </w:r>
      <w:r>
        <w:rPr>
          <w:rFonts w:hint="eastAsia" w:ascii="仿宋" w:hAnsi="仿宋" w:eastAsia="仿宋" w:cs="仿宋"/>
          <w:bCs/>
          <w:sz w:val="32"/>
          <w:szCs w:val="32"/>
          <w:highlight w:val="none"/>
        </w:rPr>
        <w:t>”模板填列的</w:t>
      </w:r>
      <w:r>
        <w:rPr>
          <w:rFonts w:hint="eastAsia" w:ascii="仿宋" w:hAnsi="仿宋" w:eastAsia="仿宋" w:cs="仿宋"/>
          <w:bCs/>
          <w:sz w:val="32"/>
          <w:szCs w:val="32"/>
          <w:highlight w:val="none"/>
          <w:lang w:val="en-US" w:eastAsia="zh-CN"/>
        </w:rPr>
        <w:t>合同条款</w:t>
      </w:r>
      <w:r>
        <w:rPr>
          <w:rFonts w:hint="eastAsia" w:ascii="仿宋" w:hAnsi="仿宋" w:eastAsia="仿宋" w:cs="仿宋"/>
          <w:bCs/>
          <w:sz w:val="32"/>
          <w:szCs w:val="32"/>
          <w:highlight w:val="none"/>
        </w:rPr>
        <w:t>响应情况，注明相关</w:t>
      </w:r>
      <w:r>
        <w:rPr>
          <w:rFonts w:hint="eastAsia" w:ascii="仿宋" w:hAnsi="仿宋" w:eastAsia="仿宋" w:cs="仿宋"/>
          <w:bCs/>
          <w:sz w:val="32"/>
          <w:szCs w:val="32"/>
          <w:highlight w:val="none"/>
          <w:lang w:val="en-US" w:eastAsia="zh-CN"/>
        </w:rPr>
        <w:t>合同条款</w:t>
      </w:r>
      <w:r>
        <w:rPr>
          <w:rFonts w:hint="eastAsia" w:ascii="仿宋" w:hAnsi="仿宋" w:eastAsia="仿宋" w:cs="仿宋"/>
          <w:bCs/>
          <w:sz w:val="32"/>
          <w:szCs w:val="32"/>
          <w:highlight w:val="none"/>
        </w:rPr>
        <w:t>响应的服务承诺及投标文件对应页数。</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)承诺函</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承诺函格式参见本文件“第四章 投标文件格式 格式6 承诺函”。</w:t>
      </w:r>
    </w:p>
    <w:p>
      <w:pPr>
        <w:pageBreakBefore w:val="0"/>
        <w:widowControl/>
        <w:numPr>
          <w:ilvl w:val="0"/>
          <w:numId w:val="7"/>
        </w:numPr>
        <w:kinsoku/>
        <w:overflowPunct/>
        <w:topLinePunct w:val="0"/>
        <w:autoSpaceDE/>
        <w:autoSpaceDN/>
        <w:bidi w:val="0"/>
        <w:snapToGrid w:val="0"/>
        <w:spacing w:line="560" w:lineRule="exact"/>
        <w:ind w:firstLine="640" w:firstLineChars="200"/>
        <w:jc w:val="left"/>
        <w:rPr>
          <w:rFonts w:hint="eastAsia" w:ascii="楷体" w:hAnsi="楷体" w:eastAsia="楷体" w:cs="楷体"/>
          <w:bCs/>
          <w:sz w:val="32"/>
          <w:szCs w:val="32"/>
          <w:highlight w:val="none"/>
        </w:rPr>
      </w:pPr>
      <w:r>
        <w:rPr>
          <w:rFonts w:hint="eastAsia" w:ascii="楷体" w:hAnsi="楷体" w:eastAsia="楷体" w:cs="楷体"/>
          <w:bCs/>
          <w:sz w:val="32"/>
          <w:szCs w:val="32"/>
          <w:highlight w:val="none"/>
        </w:rPr>
        <w:t>投标文件标注及封装</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投标人应将投标文件严格按以下要求进行标注、封装，并就封装做出清晰标注：</w:t>
      </w:r>
    </w:p>
    <w:p>
      <w:pPr>
        <w:pageBreakBefore w:val="0"/>
        <w:widowControl/>
        <w:numPr>
          <w:ilvl w:val="0"/>
          <w:numId w:val="9"/>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开标一览表单独用唱标信封封装；</w:t>
      </w:r>
    </w:p>
    <w:p>
      <w:pPr>
        <w:pageBreakBefore w:val="0"/>
        <w:widowControl/>
        <w:numPr>
          <w:ilvl w:val="0"/>
          <w:numId w:val="9"/>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投标文件汇编成册，形成正本1份，正本每页均需加盖公章，并盖骑缝章；</w:t>
      </w:r>
    </w:p>
    <w:p>
      <w:pPr>
        <w:pageBreakBefore w:val="0"/>
        <w:widowControl/>
        <w:numPr>
          <w:ilvl w:val="0"/>
          <w:numId w:val="9"/>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正本应与和其内容一致的投标文件电子文本的U盘共同封装至一个信封内；</w:t>
      </w:r>
    </w:p>
    <w:p>
      <w:pPr>
        <w:pageBreakBefore w:val="0"/>
        <w:widowControl/>
        <w:numPr>
          <w:ilvl w:val="0"/>
          <w:numId w:val="9"/>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投标文件应同时形成副本</w:t>
      </w: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份，副本可为正本的复印件，封装至一个信封内；</w:t>
      </w:r>
    </w:p>
    <w:p>
      <w:pPr>
        <w:pageBreakBefore w:val="0"/>
        <w:widowControl/>
        <w:numPr>
          <w:ilvl w:val="0"/>
          <w:numId w:val="9"/>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正副本封面及封装信封均应注明投标项目、招标编码、投标单位全称、正/副本性质，装于一个信封内密封；</w:t>
      </w:r>
    </w:p>
    <w:p>
      <w:pPr>
        <w:pageBreakBefore w:val="0"/>
        <w:widowControl/>
        <w:numPr>
          <w:ilvl w:val="0"/>
          <w:numId w:val="9"/>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封装信封除以上信息外，还应标注内件正/副本性质、份数，密封处加盖公章。</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投标人未按照招标文件要求进行排序、标注或封装导致招标人提前拆开或错误拆开投标文件造成废标的，由投标人自行承担不利后果。</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highlight w:val="none"/>
        </w:rPr>
      </w:pPr>
      <w:bookmarkStart w:id="19" w:name="_Toc10279"/>
      <w:r>
        <w:rPr>
          <w:rFonts w:hint="eastAsia" w:ascii="黑体" w:hAnsi="黑体" w:eastAsia="黑体" w:cs="黑体"/>
          <w:b w:val="0"/>
          <w:sz w:val="32"/>
          <w:szCs w:val="32"/>
          <w:highlight w:val="none"/>
          <w:lang w:val="en-US" w:eastAsia="zh-CN"/>
        </w:rPr>
        <w:t>八</w:t>
      </w:r>
      <w:r>
        <w:rPr>
          <w:rFonts w:hint="eastAsia" w:ascii="黑体" w:hAnsi="黑体" w:eastAsia="黑体" w:cs="黑体"/>
          <w:b w:val="0"/>
          <w:sz w:val="32"/>
          <w:szCs w:val="32"/>
          <w:highlight w:val="none"/>
        </w:rPr>
        <w:t>、投标人须知</w:t>
      </w:r>
      <w:bookmarkEnd w:id="19"/>
    </w:p>
    <w:p>
      <w:pPr>
        <w:pageBreakBefore w:val="0"/>
        <w:widowControl/>
        <w:numPr>
          <w:ilvl w:val="0"/>
          <w:numId w:val="10"/>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投标人因故不能参加投标的，须在开标会议至少前2个工作日内以书面形式通知招标人。如未按本条要求通知招标人而造成招标工作受到阻碍或不良影响的，三年内不得参与招标人采购项目投标。</w:t>
      </w:r>
    </w:p>
    <w:p>
      <w:pPr>
        <w:pageBreakBefore w:val="0"/>
        <w:widowControl/>
        <w:numPr>
          <w:ilvl w:val="0"/>
          <w:numId w:val="10"/>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投标人对招标文件有任何疑问的，可在</w:t>
      </w:r>
      <w:r>
        <w:rPr>
          <w:rFonts w:hint="eastAsia" w:ascii="仿宋" w:hAnsi="仿宋" w:eastAsia="仿宋" w:cs="仿宋"/>
          <w:bCs/>
          <w:sz w:val="32"/>
          <w:szCs w:val="32"/>
          <w:highlight w:val="yellow"/>
          <w:lang w:val="en-US" w:eastAsia="zh-CN"/>
        </w:rPr>
        <w:t>2022年7月7日12时</w:t>
      </w:r>
      <w:r>
        <w:rPr>
          <w:rFonts w:hint="eastAsia" w:ascii="仿宋" w:hAnsi="仿宋" w:eastAsia="仿宋" w:cs="仿宋"/>
          <w:bCs/>
          <w:sz w:val="32"/>
          <w:szCs w:val="32"/>
          <w:highlight w:val="yellow"/>
        </w:rPr>
        <w:t>前</w:t>
      </w:r>
      <w:r>
        <w:rPr>
          <w:rFonts w:hint="eastAsia" w:ascii="仿宋" w:hAnsi="仿宋" w:eastAsia="仿宋" w:cs="仿宋"/>
          <w:bCs/>
          <w:sz w:val="32"/>
          <w:szCs w:val="32"/>
          <w:highlight w:val="none"/>
        </w:rPr>
        <w:t>内</w:t>
      </w:r>
      <w:r>
        <w:rPr>
          <w:rFonts w:hint="eastAsia" w:ascii="仿宋" w:hAnsi="仿宋" w:eastAsia="仿宋" w:cs="仿宋"/>
          <w:bCs/>
          <w:sz w:val="32"/>
          <w:szCs w:val="32"/>
          <w:highlight w:val="none"/>
          <w:lang w:val="en-US" w:eastAsia="zh-CN"/>
        </w:rPr>
        <w:t>向</w:t>
      </w:r>
      <w:r>
        <w:rPr>
          <w:rFonts w:hint="eastAsia" w:ascii="仿宋" w:hAnsi="仿宋" w:eastAsia="仿宋" w:cs="仿宋"/>
          <w:bCs/>
          <w:sz w:val="32"/>
          <w:szCs w:val="32"/>
          <w:highlight w:val="none"/>
        </w:rPr>
        <w:t>本</w:t>
      </w:r>
      <w:r>
        <w:rPr>
          <w:rFonts w:hint="eastAsia" w:ascii="仿宋" w:hAnsi="仿宋" w:eastAsia="仿宋" w:cs="仿宋"/>
          <w:bCs/>
          <w:sz w:val="32"/>
          <w:szCs w:val="32"/>
          <w:highlight w:val="none"/>
          <w:lang w:val="en-US" w:eastAsia="zh-CN"/>
        </w:rPr>
        <w:t>项目招标公告“十一</w:t>
      </w:r>
      <w:r>
        <w:rPr>
          <w:rFonts w:hint="eastAsia" w:ascii="仿宋" w:hAnsi="仿宋" w:eastAsia="仿宋" w:cs="仿宋"/>
          <w:bCs/>
          <w:sz w:val="32"/>
          <w:szCs w:val="32"/>
          <w:highlight w:val="none"/>
        </w:rPr>
        <w:t>、联系方式”预留联系邮箱发送答疑请求，未在规定时间或未按指定方式提出的，视为对招标文件及程序的认可，不得再以任何理由要求修改或提出质疑。招标人将于</w:t>
      </w:r>
      <w:r>
        <w:rPr>
          <w:rFonts w:hint="eastAsia" w:ascii="仿宋" w:hAnsi="仿宋" w:eastAsia="仿宋" w:cs="仿宋"/>
          <w:bCs/>
          <w:sz w:val="32"/>
          <w:szCs w:val="32"/>
          <w:highlight w:val="yellow"/>
          <w:lang w:val="en-US" w:eastAsia="zh-CN"/>
        </w:rPr>
        <w:t>2022年7月</w:t>
      </w:r>
      <w:bookmarkStart w:id="70" w:name="_GoBack"/>
      <w:bookmarkEnd w:id="70"/>
      <w:r>
        <w:rPr>
          <w:rFonts w:hint="eastAsia" w:ascii="仿宋" w:hAnsi="仿宋" w:eastAsia="仿宋" w:cs="仿宋"/>
          <w:bCs/>
          <w:sz w:val="32"/>
          <w:szCs w:val="32"/>
          <w:highlight w:val="yellow"/>
          <w:lang w:val="en-US" w:eastAsia="zh-CN"/>
        </w:rPr>
        <w:t>8日17时</w:t>
      </w:r>
      <w:r>
        <w:rPr>
          <w:rFonts w:hint="eastAsia" w:ascii="仿宋" w:hAnsi="仿宋" w:eastAsia="仿宋" w:cs="仿宋"/>
          <w:bCs/>
          <w:sz w:val="32"/>
          <w:szCs w:val="32"/>
          <w:highlight w:val="yellow"/>
        </w:rPr>
        <w:t>前</w:t>
      </w:r>
      <w:r>
        <w:rPr>
          <w:rFonts w:hint="eastAsia" w:ascii="仿宋" w:hAnsi="仿宋" w:eastAsia="仿宋" w:cs="仿宋"/>
          <w:bCs/>
          <w:sz w:val="32"/>
          <w:szCs w:val="32"/>
          <w:highlight w:val="none"/>
        </w:rPr>
        <w:t>进行统一答疑。</w:t>
      </w:r>
    </w:p>
    <w:p>
      <w:pPr>
        <w:pageBreakBefore w:val="0"/>
        <w:widowControl/>
        <w:numPr>
          <w:ilvl w:val="0"/>
          <w:numId w:val="10"/>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投标人在开标现场递交加盖投标公司公章并密封的，以人民币为报价单位的报价表，包括对应</w:t>
      </w:r>
      <w:r>
        <w:rPr>
          <w:rFonts w:hint="eastAsia" w:ascii="仿宋" w:hAnsi="仿宋" w:eastAsia="仿宋" w:cs="仿宋"/>
          <w:bCs/>
          <w:sz w:val="32"/>
          <w:szCs w:val="32"/>
          <w:highlight w:val="none"/>
          <w:lang w:val="en-US" w:eastAsia="zh-CN"/>
        </w:rPr>
        <w:t>价格</w:t>
      </w:r>
      <w:r>
        <w:rPr>
          <w:rFonts w:hint="eastAsia" w:ascii="仿宋" w:hAnsi="仿宋" w:eastAsia="仿宋" w:cs="仿宋"/>
          <w:bCs/>
          <w:sz w:val="32"/>
          <w:szCs w:val="32"/>
          <w:highlight w:val="none"/>
        </w:rPr>
        <w:t>。投标人提出的报价应</w:t>
      </w:r>
      <w:r>
        <w:rPr>
          <w:rFonts w:hint="eastAsia" w:ascii="仿宋" w:hAnsi="仿宋" w:eastAsia="仿宋" w:cs="仿宋"/>
          <w:bCs/>
          <w:sz w:val="32"/>
          <w:szCs w:val="32"/>
          <w:highlight w:val="none"/>
          <w:lang w:val="en-US" w:eastAsia="zh-CN"/>
        </w:rPr>
        <w:t>严格按照</w:t>
      </w:r>
      <w:r>
        <w:rPr>
          <w:rFonts w:hint="eastAsia" w:ascii="仿宋" w:hAnsi="仿宋" w:eastAsia="仿宋" w:cs="仿宋"/>
          <w:bCs/>
          <w:sz w:val="32"/>
          <w:szCs w:val="32"/>
          <w:highlight w:val="none"/>
        </w:rPr>
        <w:t>本文件“第四章 投标文件格式 格式</w:t>
      </w: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法律顾问服务项目报价单</w:t>
      </w: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并所有涉及的法律服务提供项目明细报价。</w:t>
      </w:r>
    </w:p>
    <w:p>
      <w:pPr>
        <w:pageBreakBefore w:val="0"/>
        <w:widowControl/>
        <w:numPr>
          <w:ilvl w:val="0"/>
          <w:numId w:val="10"/>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定标完成后，招标人将在公司官网（www.plhr.cn）</w:t>
      </w:r>
      <w:r>
        <w:rPr>
          <w:rFonts w:hint="eastAsia" w:ascii="仿宋" w:hAnsi="仿宋" w:eastAsia="仿宋" w:cs="仿宋"/>
          <w:bCs/>
          <w:sz w:val="32"/>
          <w:szCs w:val="32"/>
          <w:highlight w:val="none"/>
          <w:lang w:val="en-US" w:eastAsia="zh-CN"/>
        </w:rPr>
        <w:t>及深圳阳光采购平台</w:t>
      </w:r>
      <w:r>
        <w:rPr>
          <w:rFonts w:hint="eastAsia" w:ascii="仿宋" w:hAnsi="仿宋" w:eastAsia="仿宋" w:cs="仿宋"/>
          <w:bCs/>
          <w:sz w:val="32"/>
          <w:szCs w:val="32"/>
          <w:highlight w:val="none"/>
        </w:rPr>
        <w:t>发布预中标结果公示，公示期为3个自然日。公示期结束无异议的，向中标人发放《中标通知书》。公示期内如有质疑，需书面、实名向招标人提出并提交随附证据。招标人对电子邮件、口头形式提出或无实际证据的质疑不予受理。经招标人审定存在恶意质疑或投诉的，三年内不得参与招标人项目招标。</w:t>
      </w:r>
    </w:p>
    <w:p>
      <w:pPr>
        <w:pageBreakBefore w:val="0"/>
        <w:widowControl/>
        <w:numPr>
          <w:ilvl w:val="0"/>
          <w:numId w:val="10"/>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若接受邀请、递交投标文件或投标文件符合性审查阶段中任一阶段的有效投标人数量不足 3 家，</w:t>
      </w:r>
      <w:r>
        <w:rPr>
          <w:rFonts w:hint="eastAsia" w:ascii="仿宋" w:hAnsi="仿宋" w:eastAsia="仿宋" w:cs="仿宋"/>
          <w:bCs/>
          <w:sz w:val="32"/>
          <w:szCs w:val="32"/>
          <w:highlight w:val="none"/>
          <w:lang w:val="en-US" w:eastAsia="zh-CN"/>
        </w:rPr>
        <w:t>则按规实施二次公告。经二次公告后，作出实质性响应的有效投标人仍不足3家的，招标人有权根据有效响应情况另行组织谈判。</w:t>
      </w:r>
      <w:r>
        <w:rPr>
          <w:rFonts w:hint="eastAsia" w:ascii="仿宋" w:hAnsi="仿宋" w:eastAsia="仿宋" w:cs="仿宋"/>
          <w:bCs/>
          <w:sz w:val="32"/>
          <w:szCs w:val="32"/>
          <w:highlight w:val="none"/>
        </w:rPr>
        <w:t>招标人不承担因招标失败给投标人造成的损失。</w:t>
      </w:r>
    </w:p>
    <w:p>
      <w:pPr>
        <w:pageBreakBefore w:val="0"/>
        <w:widowControl/>
        <w:numPr>
          <w:ilvl w:val="0"/>
          <w:numId w:val="10"/>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本项目采用综合评标法，招标人不承诺投标价格最低的投标人中标。</w:t>
      </w:r>
    </w:p>
    <w:p>
      <w:pPr>
        <w:pageBreakBefore w:val="0"/>
        <w:widowControl/>
        <w:numPr>
          <w:ilvl w:val="0"/>
          <w:numId w:val="10"/>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中标方应在接到招标人电话通知后3个工作日内到招标人地址领取中标通知书，若逾期未领取的，视为自动放弃中标资格，项目重新招标，自动放弃的</w:t>
      </w:r>
      <w:r>
        <w:rPr>
          <w:rFonts w:hint="eastAsia" w:ascii="仿宋" w:hAnsi="仿宋" w:eastAsia="仿宋" w:cs="仿宋"/>
          <w:bCs/>
          <w:sz w:val="32"/>
          <w:szCs w:val="32"/>
          <w:highlight w:val="none"/>
          <w:lang w:eastAsia="zh-CN"/>
        </w:rPr>
        <w:t>投标人</w:t>
      </w:r>
      <w:r>
        <w:rPr>
          <w:rFonts w:hint="eastAsia" w:ascii="仿宋" w:hAnsi="仿宋" w:eastAsia="仿宋" w:cs="仿宋"/>
          <w:bCs/>
          <w:sz w:val="32"/>
          <w:szCs w:val="32"/>
          <w:highlight w:val="none"/>
        </w:rPr>
        <w:t>不得再次参加本项目投标。</w:t>
      </w:r>
    </w:p>
    <w:p>
      <w:pPr>
        <w:pageBreakBefore w:val="0"/>
        <w:widowControl/>
        <w:numPr>
          <w:ilvl w:val="0"/>
          <w:numId w:val="10"/>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本项目不设置投标保证金及履约保证金，但招标人可以根据实际经营管理需要在定标完成后就合同条款、补充协议的订立与中标人进行协商以获得更有利于招标人经营管理的服务或价格。</w:t>
      </w:r>
    </w:p>
    <w:p>
      <w:pPr>
        <w:pageBreakBefore w:val="0"/>
        <w:widowControl/>
        <w:numPr>
          <w:ilvl w:val="0"/>
          <w:numId w:val="10"/>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投标人必须接受招标人对本项目的全部招标、谈判方法。招标人对投标人未中标的结果不负有解释义务，不退还投标文件，且不承担</w:t>
      </w:r>
      <w:r>
        <w:rPr>
          <w:rFonts w:hint="eastAsia" w:ascii="仿宋" w:hAnsi="仿宋" w:eastAsia="仿宋" w:cs="仿宋"/>
          <w:bCs/>
          <w:sz w:val="32"/>
          <w:szCs w:val="32"/>
          <w:highlight w:val="none"/>
          <w:lang w:eastAsia="zh-CN"/>
        </w:rPr>
        <w:t>投标人</w:t>
      </w:r>
      <w:r>
        <w:rPr>
          <w:rFonts w:hint="eastAsia" w:ascii="仿宋" w:hAnsi="仿宋" w:eastAsia="仿宋" w:cs="仿宋"/>
          <w:bCs/>
          <w:sz w:val="32"/>
          <w:szCs w:val="32"/>
          <w:highlight w:val="none"/>
        </w:rPr>
        <w:t>因投标产生的任何费用或损失。</w:t>
      </w:r>
    </w:p>
    <w:p>
      <w:pPr>
        <w:pageBreakBefore w:val="0"/>
        <w:widowControl/>
        <w:numPr>
          <w:ilvl w:val="0"/>
          <w:numId w:val="10"/>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投标人有义务在整个招标工作开展期间自行留意招标人官方网站（www.plhr.cn）</w:t>
      </w:r>
      <w:r>
        <w:rPr>
          <w:rFonts w:hint="eastAsia" w:ascii="仿宋" w:hAnsi="仿宋" w:eastAsia="仿宋" w:cs="仿宋"/>
          <w:bCs/>
          <w:sz w:val="32"/>
          <w:szCs w:val="32"/>
          <w:highlight w:val="none"/>
          <w:lang w:val="en-US" w:eastAsia="zh-CN"/>
        </w:rPr>
        <w:t>及深圳阳光采购平台</w:t>
      </w:r>
      <w:r>
        <w:rPr>
          <w:rFonts w:hint="eastAsia" w:ascii="仿宋" w:hAnsi="仿宋" w:eastAsia="仿宋" w:cs="仿宋"/>
          <w:bCs/>
          <w:sz w:val="32"/>
          <w:szCs w:val="32"/>
          <w:highlight w:val="none"/>
        </w:rPr>
        <w:t>发布的公告通知，所有在该网站发布的公告、通知均视为有效送达。因投标人疏于浏览而导致的不利后果由投标人自行承担。</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highlight w:val="none"/>
        </w:rPr>
      </w:pPr>
      <w:bookmarkStart w:id="20" w:name="_Toc7171"/>
      <w:r>
        <w:rPr>
          <w:rFonts w:hint="eastAsia" w:ascii="黑体" w:hAnsi="黑体" w:eastAsia="黑体" w:cs="黑体"/>
          <w:b w:val="0"/>
          <w:sz w:val="32"/>
          <w:szCs w:val="32"/>
          <w:highlight w:val="none"/>
          <w:lang w:val="en-US" w:eastAsia="zh-CN"/>
        </w:rPr>
        <w:t>九</w:t>
      </w:r>
      <w:r>
        <w:rPr>
          <w:rFonts w:hint="eastAsia" w:ascii="黑体" w:hAnsi="黑体" w:eastAsia="黑体" w:cs="黑体"/>
          <w:b w:val="0"/>
          <w:sz w:val="32"/>
          <w:szCs w:val="32"/>
          <w:highlight w:val="none"/>
        </w:rPr>
        <w:t>、投标文件作废</w:t>
      </w:r>
      <w:bookmarkEnd w:id="20"/>
    </w:p>
    <w:p>
      <w:pPr>
        <w:pageBreakBefore w:val="0"/>
        <w:widowControl/>
        <w:kinsoku/>
        <w:overflowPunct/>
        <w:topLinePunct w:val="0"/>
        <w:autoSpaceDE/>
        <w:autoSpaceDN/>
        <w:bidi w:val="0"/>
        <w:snapToGrid w:val="0"/>
        <w:spacing w:line="560" w:lineRule="exact"/>
        <w:ind w:firstLine="729" w:firstLineChars="228"/>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投标人在投标过程中存在以下任一行为的，投标文件作废，取消投标资格：</w:t>
      </w:r>
    </w:p>
    <w:p>
      <w:pPr>
        <w:pageBreakBefore w:val="0"/>
        <w:widowControl/>
        <w:numPr>
          <w:ilvl w:val="0"/>
          <w:numId w:val="11"/>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未按照投标邀请函示要求提交答复函、报名表及随附材料；</w:t>
      </w:r>
    </w:p>
    <w:p>
      <w:pPr>
        <w:pageBreakBefore w:val="0"/>
        <w:widowControl/>
        <w:numPr>
          <w:ilvl w:val="0"/>
          <w:numId w:val="11"/>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投标人在投标、评标、定标期间存在企图影响招标结果、泄密、违反《承诺函》函示内容等不公平竞争行为；</w:t>
      </w:r>
    </w:p>
    <w:p>
      <w:pPr>
        <w:pageBreakBefore w:val="0"/>
        <w:widowControl/>
        <w:numPr>
          <w:ilvl w:val="0"/>
          <w:numId w:val="11"/>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未按照招标文件要求制作投标文件；</w:t>
      </w:r>
    </w:p>
    <w:p>
      <w:pPr>
        <w:pageBreakBefore w:val="0"/>
        <w:widowControl/>
        <w:numPr>
          <w:ilvl w:val="0"/>
          <w:numId w:val="11"/>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未经招标</w:t>
      </w:r>
      <w:r>
        <w:rPr>
          <w:rFonts w:hint="eastAsia" w:ascii="仿宋" w:hAnsi="仿宋" w:eastAsia="仿宋" w:cs="仿宋"/>
          <w:bCs/>
          <w:sz w:val="32"/>
          <w:szCs w:val="32"/>
          <w:highlight w:val="none"/>
          <w:lang w:val="en-US" w:eastAsia="zh-CN"/>
        </w:rPr>
        <w:t>人</w:t>
      </w:r>
      <w:r>
        <w:rPr>
          <w:rFonts w:hint="eastAsia" w:ascii="仿宋" w:hAnsi="仿宋" w:eastAsia="仿宋" w:cs="仿宋"/>
          <w:bCs/>
          <w:sz w:val="32"/>
          <w:szCs w:val="32"/>
          <w:highlight w:val="none"/>
        </w:rPr>
        <w:t>同意擅自改动招标文件内容；</w:t>
      </w:r>
    </w:p>
    <w:p>
      <w:pPr>
        <w:pageBreakBefore w:val="0"/>
        <w:widowControl/>
        <w:numPr>
          <w:ilvl w:val="0"/>
          <w:numId w:val="11"/>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投标文件递交超过截止时限或未能递交投标文件；</w:t>
      </w:r>
    </w:p>
    <w:p>
      <w:pPr>
        <w:pageBreakBefore w:val="0"/>
        <w:widowControl/>
        <w:numPr>
          <w:ilvl w:val="0"/>
          <w:numId w:val="11"/>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在邀请投标及后续谈判的任意环节中提供虚假材料及信息；</w:t>
      </w:r>
    </w:p>
    <w:p>
      <w:pPr>
        <w:pageBreakBefore w:val="0"/>
        <w:widowControl/>
        <w:numPr>
          <w:ilvl w:val="0"/>
          <w:numId w:val="11"/>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本文件中规定的其它按废标处理的情形。</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highlight w:val="none"/>
        </w:rPr>
      </w:pPr>
      <w:bookmarkStart w:id="21" w:name="_Toc3906"/>
      <w:r>
        <w:rPr>
          <w:rFonts w:hint="eastAsia" w:ascii="黑体" w:hAnsi="黑体" w:eastAsia="黑体" w:cs="黑体"/>
          <w:b w:val="0"/>
          <w:sz w:val="32"/>
          <w:szCs w:val="32"/>
          <w:highlight w:val="none"/>
          <w:lang w:val="en-US" w:eastAsia="zh-CN"/>
        </w:rPr>
        <w:t>十</w:t>
      </w:r>
      <w:r>
        <w:rPr>
          <w:rFonts w:hint="eastAsia" w:ascii="黑体" w:hAnsi="黑体" w:eastAsia="黑体" w:cs="黑体"/>
          <w:b w:val="0"/>
          <w:sz w:val="32"/>
          <w:szCs w:val="32"/>
          <w:highlight w:val="none"/>
        </w:rPr>
        <w:t>、其他要求</w:t>
      </w:r>
      <w:bookmarkEnd w:id="21"/>
    </w:p>
    <w:p>
      <w:pPr>
        <w:pageBreakBefore w:val="0"/>
        <w:widowControl/>
        <w:numPr>
          <w:ilvl w:val="0"/>
          <w:numId w:val="12"/>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pPr>
        <w:pageBreakBefore w:val="0"/>
        <w:widowControl/>
        <w:numPr>
          <w:ilvl w:val="0"/>
          <w:numId w:val="12"/>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对恶意投标、中标后不能按照本招标文件“ 第三章 合同条款”要求的服务标准提供服务者，招标人有权即时停止履行合同，同时取消投标人供应商资格。对招标人造成实际经济或商誉损失的，招标人保留起诉、索赔等正当权利。</w:t>
      </w:r>
    </w:p>
    <w:p>
      <w:pPr>
        <w:pageBreakBefore w:val="0"/>
        <w:widowControl/>
        <w:numPr>
          <w:ilvl w:val="0"/>
          <w:numId w:val="12"/>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不论投标结果如何，投标人的投标文件均不退回，且不对未中标单位作任何解释。投标人因投标产生的一切费用不管投标结果如何，均由投标人承担。</w:t>
      </w:r>
    </w:p>
    <w:p>
      <w:pPr>
        <w:pageBreakBefore w:val="0"/>
        <w:widowControl/>
        <w:numPr>
          <w:ilvl w:val="0"/>
          <w:numId w:val="12"/>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投标人不得相互串通投标报价，不得排挤其他投标人的公平竞争。一经发现违规行为，招标人有权立即终止采购活动并取消违反规定的投标人资格。</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highlight w:val="none"/>
        </w:rPr>
      </w:pPr>
      <w:bookmarkStart w:id="22" w:name="_Toc1415"/>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一</w:t>
      </w:r>
      <w:r>
        <w:rPr>
          <w:rFonts w:hint="eastAsia" w:ascii="黑体" w:hAnsi="黑体" w:eastAsia="黑体" w:cs="黑体"/>
          <w:b w:val="0"/>
          <w:sz w:val="32"/>
          <w:szCs w:val="32"/>
          <w:highlight w:val="none"/>
        </w:rPr>
        <w:t>、投标文件递交</w:t>
      </w:r>
      <w:bookmarkEnd w:id="22"/>
    </w:p>
    <w:p>
      <w:pPr>
        <w:pageBreakBefore w:val="0"/>
        <w:widowControl/>
        <w:numPr>
          <w:ilvl w:val="0"/>
          <w:numId w:val="13"/>
        </w:numPr>
        <w:kinsoku/>
        <w:overflowPunct/>
        <w:topLinePunct w:val="0"/>
        <w:autoSpaceDE/>
        <w:autoSpaceDN/>
        <w:bidi w:val="0"/>
        <w:snapToGrid w:val="0"/>
        <w:spacing w:line="560" w:lineRule="exact"/>
        <w:ind w:left="0" w:firstLine="640" w:firstLineChars="200"/>
        <w:jc w:val="left"/>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rPr>
        <w:t>递交方式</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现场递交</w:t>
      </w:r>
    </w:p>
    <w:p>
      <w:pPr>
        <w:pageBreakBefore w:val="0"/>
        <w:widowControl/>
        <w:numPr>
          <w:ilvl w:val="0"/>
          <w:numId w:val="13"/>
        </w:numPr>
        <w:kinsoku/>
        <w:overflowPunct/>
        <w:topLinePunct w:val="0"/>
        <w:autoSpaceDE/>
        <w:autoSpaceDN/>
        <w:bidi w:val="0"/>
        <w:snapToGrid w:val="0"/>
        <w:spacing w:line="560" w:lineRule="exact"/>
        <w:ind w:left="0" w:firstLine="640" w:firstLineChars="200"/>
        <w:jc w:val="left"/>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rPr>
        <w:t>递交时间</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202</w:t>
      </w:r>
      <w:r>
        <w:rPr>
          <w:rFonts w:hint="eastAsia" w:ascii="仿宋" w:hAnsi="仿宋" w:eastAsia="仿宋" w:cs="仿宋"/>
          <w:bCs/>
          <w:sz w:val="32"/>
          <w:szCs w:val="32"/>
          <w:highlight w:val="none"/>
          <w:lang w:val="en-US" w:eastAsia="zh-CN"/>
        </w:rPr>
        <w:t>2</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lang w:val="en-US" w:eastAsia="zh-CN"/>
        </w:rPr>
        <w:t>7</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lang w:val="en-US" w:eastAsia="zh-CN"/>
        </w:rPr>
        <w:t>15</w:t>
      </w:r>
      <w:r>
        <w:rPr>
          <w:rFonts w:hint="eastAsia" w:ascii="仿宋" w:hAnsi="仿宋" w:eastAsia="仿宋" w:cs="仿宋"/>
          <w:bCs/>
          <w:sz w:val="32"/>
          <w:szCs w:val="32"/>
          <w:highlight w:val="none"/>
        </w:rPr>
        <w:t>日</w:t>
      </w:r>
      <w:r>
        <w:rPr>
          <w:rFonts w:hint="eastAsia" w:ascii="仿宋" w:hAnsi="仿宋" w:eastAsia="仿宋" w:cs="仿宋"/>
          <w:bCs/>
          <w:sz w:val="32"/>
          <w:szCs w:val="32"/>
          <w:highlight w:val="none"/>
          <w:lang w:val="en-US" w:eastAsia="zh-CN"/>
        </w:rPr>
        <w:t>9</w:t>
      </w:r>
      <w:r>
        <w:rPr>
          <w:rFonts w:hint="eastAsia" w:ascii="仿宋" w:hAnsi="仿宋" w:eastAsia="仿宋" w:cs="仿宋"/>
          <w:bCs/>
          <w:sz w:val="32"/>
          <w:szCs w:val="32"/>
          <w:highlight w:val="none"/>
        </w:rPr>
        <w:t>时00分</w:t>
      </w:r>
      <w:r>
        <w:rPr>
          <w:rFonts w:hint="eastAsia" w:ascii="仿宋" w:hAnsi="仿宋" w:eastAsia="仿宋" w:cs="仿宋"/>
          <w:bCs/>
          <w:sz w:val="32"/>
          <w:szCs w:val="32"/>
          <w:highlight w:val="none"/>
          <w:lang w:eastAsia="zh-CN"/>
        </w:rPr>
        <w:t>。</w:t>
      </w:r>
    </w:p>
    <w:p>
      <w:pPr>
        <w:widowControl/>
        <w:numPr>
          <w:ilvl w:val="0"/>
          <w:numId w:val="13"/>
        </w:numPr>
        <w:snapToGrid w:val="0"/>
        <w:spacing w:line="560" w:lineRule="exact"/>
        <w:ind w:left="0"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递交地址</w:t>
      </w:r>
      <w:r>
        <w:rPr>
          <w:rFonts w:hint="eastAsia" w:ascii="仿宋" w:hAnsi="仿宋" w:eastAsia="仿宋" w:cs="仿宋"/>
          <w:bCs/>
          <w:sz w:val="32"/>
          <w:szCs w:val="32"/>
          <w:lang w:eastAsia="zh-CN"/>
        </w:rPr>
        <w:t>：</w:t>
      </w:r>
      <w:r>
        <w:rPr>
          <w:rFonts w:hint="eastAsia" w:ascii="仿宋" w:hAnsi="仿宋" w:eastAsia="仿宋" w:cs="仿宋"/>
          <w:bCs/>
          <w:sz w:val="32"/>
          <w:szCs w:val="32"/>
        </w:rPr>
        <w:t>广东省深圳市罗湖区桂园路红围街19号深圳市鹏劳人力资源管理有限公司。</w:t>
      </w:r>
    </w:p>
    <w:p>
      <w:pPr>
        <w:widowControl/>
        <w:numPr>
          <w:ilvl w:val="0"/>
          <w:numId w:val="13"/>
        </w:numPr>
        <w:snapToGrid w:val="0"/>
        <w:spacing w:line="56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递交要求</w:t>
      </w:r>
      <w:r>
        <w:rPr>
          <w:rFonts w:hint="eastAsia" w:ascii="仿宋" w:hAnsi="仿宋" w:eastAsia="仿宋" w:cs="仿宋"/>
          <w:bCs/>
          <w:sz w:val="32"/>
          <w:szCs w:val="32"/>
          <w:lang w:eastAsia="zh-CN"/>
        </w:rPr>
        <w:t>：</w:t>
      </w:r>
      <w:r>
        <w:rPr>
          <w:rFonts w:hint="eastAsia" w:ascii="仿宋" w:hAnsi="仿宋" w:eastAsia="仿宋" w:cs="仿宋"/>
          <w:bCs/>
          <w:sz w:val="32"/>
          <w:szCs w:val="32"/>
        </w:rPr>
        <w:t>所有投标文件由投标人按照招标文件指定格式与方式逐一进场递交。</w:t>
      </w:r>
    </w:p>
    <w:p>
      <w:pPr>
        <w:widowControl/>
        <w:numPr>
          <w:ilvl w:val="0"/>
          <w:numId w:val="13"/>
        </w:numPr>
        <w:snapToGrid w:val="0"/>
        <w:spacing w:line="560" w:lineRule="exact"/>
        <w:ind w:firstLine="640" w:firstLineChars="200"/>
        <w:jc w:val="left"/>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招标人有权根据政府疫情防控要求等不可抗力因素变化变更递交方式或对项目开标日期实施调整。</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highlight w:val="none"/>
        </w:rPr>
      </w:pPr>
      <w:bookmarkStart w:id="23" w:name="_Toc26396"/>
      <w:r>
        <w:rPr>
          <w:rFonts w:hint="eastAsia" w:ascii="黑体" w:hAnsi="黑体" w:eastAsia="黑体" w:cs="黑体"/>
          <w:b w:val="0"/>
          <w:sz w:val="32"/>
          <w:szCs w:val="32"/>
        </w:rPr>
        <w:t>十</w:t>
      </w:r>
      <w:r>
        <w:rPr>
          <w:rFonts w:hint="eastAsia" w:ascii="黑体" w:hAnsi="黑体" w:eastAsia="黑体" w:cs="黑体"/>
          <w:b w:val="0"/>
          <w:sz w:val="32"/>
          <w:szCs w:val="32"/>
          <w:lang w:val="en-US" w:eastAsia="zh-CN"/>
        </w:rPr>
        <w:t>二</w:t>
      </w:r>
      <w:r>
        <w:rPr>
          <w:rFonts w:hint="eastAsia" w:ascii="黑体" w:hAnsi="黑体" w:eastAsia="黑体" w:cs="黑体"/>
          <w:b w:val="0"/>
          <w:sz w:val="32"/>
          <w:szCs w:val="32"/>
        </w:rPr>
        <w:t>、开标</w:t>
      </w:r>
      <w:bookmarkEnd w:id="23"/>
    </w:p>
    <w:p>
      <w:pPr>
        <w:pStyle w:val="8"/>
        <w:pageBreakBefore w:val="0"/>
        <w:numPr>
          <w:ilvl w:val="0"/>
          <w:numId w:val="14"/>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楷体" w:hAnsi="楷体" w:eastAsia="楷体" w:cs="楷体"/>
          <w:bCs/>
          <w:sz w:val="32"/>
          <w:szCs w:val="32"/>
          <w:highlight w:val="none"/>
        </w:rPr>
      </w:pPr>
      <w:r>
        <w:rPr>
          <w:rFonts w:hint="eastAsia" w:ascii="楷体" w:hAnsi="楷体" w:eastAsia="楷体" w:cs="楷体"/>
          <w:bCs/>
          <w:sz w:val="32"/>
          <w:szCs w:val="32"/>
          <w:highlight w:val="none"/>
        </w:rPr>
        <w:t>开标时间</w:t>
      </w:r>
    </w:p>
    <w:p>
      <w:pPr>
        <w:pStyle w:val="8"/>
        <w:pageBreakBefore w:val="0"/>
        <w:numPr>
          <w:ilvl w:val="-1"/>
          <w:numId w:val="0"/>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yellow"/>
        </w:rPr>
        <w:t>202</w:t>
      </w:r>
      <w:r>
        <w:rPr>
          <w:rFonts w:hint="eastAsia" w:ascii="仿宋" w:hAnsi="仿宋" w:eastAsia="仿宋" w:cs="仿宋"/>
          <w:bCs/>
          <w:sz w:val="32"/>
          <w:szCs w:val="32"/>
          <w:highlight w:val="yellow"/>
          <w:lang w:val="en-US" w:eastAsia="zh-CN"/>
        </w:rPr>
        <w:t>2</w:t>
      </w:r>
      <w:r>
        <w:rPr>
          <w:rFonts w:hint="eastAsia" w:ascii="仿宋" w:hAnsi="仿宋" w:eastAsia="仿宋" w:cs="仿宋"/>
          <w:bCs/>
          <w:sz w:val="32"/>
          <w:szCs w:val="32"/>
          <w:highlight w:val="yellow"/>
        </w:rPr>
        <w:t>年</w:t>
      </w:r>
      <w:r>
        <w:rPr>
          <w:rFonts w:hint="eastAsia" w:ascii="仿宋" w:hAnsi="仿宋" w:eastAsia="仿宋" w:cs="仿宋"/>
          <w:bCs/>
          <w:sz w:val="32"/>
          <w:szCs w:val="32"/>
          <w:highlight w:val="yellow"/>
          <w:lang w:val="en-US" w:eastAsia="zh-CN"/>
        </w:rPr>
        <w:t>7</w:t>
      </w:r>
      <w:r>
        <w:rPr>
          <w:rFonts w:hint="eastAsia" w:ascii="仿宋" w:hAnsi="仿宋" w:eastAsia="仿宋" w:cs="仿宋"/>
          <w:bCs/>
          <w:sz w:val="32"/>
          <w:szCs w:val="32"/>
          <w:highlight w:val="yellow"/>
        </w:rPr>
        <w:t>月</w:t>
      </w:r>
      <w:r>
        <w:rPr>
          <w:rFonts w:hint="eastAsia" w:ascii="仿宋" w:hAnsi="仿宋" w:eastAsia="仿宋" w:cs="仿宋"/>
          <w:bCs/>
          <w:sz w:val="32"/>
          <w:szCs w:val="32"/>
          <w:highlight w:val="yellow"/>
          <w:lang w:val="en-US" w:eastAsia="zh-CN"/>
        </w:rPr>
        <w:t>15</w:t>
      </w:r>
      <w:r>
        <w:rPr>
          <w:rFonts w:hint="eastAsia" w:ascii="仿宋" w:hAnsi="仿宋" w:eastAsia="仿宋" w:cs="仿宋"/>
          <w:bCs/>
          <w:sz w:val="32"/>
          <w:szCs w:val="32"/>
          <w:highlight w:val="yellow"/>
        </w:rPr>
        <w:t>日</w:t>
      </w:r>
      <w:r>
        <w:rPr>
          <w:rFonts w:hint="eastAsia" w:ascii="仿宋" w:hAnsi="仿宋" w:eastAsia="仿宋" w:cs="仿宋"/>
          <w:bCs/>
          <w:sz w:val="32"/>
          <w:szCs w:val="32"/>
          <w:highlight w:val="yellow"/>
          <w:lang w:val="en-US" w:eastAsia="zh-CN"/>
        </w:rPr>
        <w:t>9</w:t>
      </w:r>
      <w:r>
        <w:rPr>
          <w:rFonts w:hint="eastAsia" w:ascii="仿宋" w:hAnsi="仿宋" w:eastAsia="仿宋" w:cs="仿宋"/>
          <w:bCs/>
          <w:sz w:val="32"/>
          <w:szCs w:val="32"/>
          <w:highlight w:val="yellow"/>
        </w:rPr>
        <w:t>时30分。</w:t>
      </w:r>
    </w:p>
    <w:p>
      <w:pPr>
        <w:pStyle w:val="8"/>
        <w:pageBreakBefore w:val="0"/>
        <w:numPr>
          <w:ilvl w:val="0"/>
          <w:numId w:val="14"/>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楷体" w:hAnsi="楷体" w:eastAsia="楷体" w:cs="楷体"/>
          <w:bCs/>
          <w:sz w:val="32"/>
          <w:szCs w:val="32"/>
          <w:highlight w:val="none"/>
        </w:rPr>
      </w:pPr>
      <w:r>
        <w:rPr>
          <w:rFonts w:hint="eastAsia" w:ascii="楷体" w:hAnsi="楷体" w:eastAsia="楷体" w:cs="楷体"/>
          <w:bCs/>
          <w:sz w:val="32"/>
          <w:szCs w:val="32"/>
          <w:highlight w:val="none"/>
        </w:rPr>
        <w:t>开标方式</w:t>
      </w:r>
    </w:p>
    <w:p>
      <w:pPr>
        <w:pStyle w:val="8"/>
        <w:pageBreakBefore w:val="0"/>
        <w:numPr>
          <w:ilvl w:val="-1"/>
          <w:numId w:val="0"/>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现场开标。</w:t>
      </w:r>
    </w:p>
    <w:p>
      <w:pPr>
        <w:pStyle w:val="8"/>
        <w:pageBreakBefore w:val="0"/>
        <w:numPr>
          <w:ilvl w:val="0"/>
          <w:numId w:val="14"/>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楷体" w:hAnsi="楷体" w:eastAsia="楷体" w:cs="楷体"/>
          <w:bCs/>
          <w:sz w:val="32"/>
          <w:szCs w:val="32"/>
          <w:highlight w:val="none"/>
        </w:rPr>
      </w:pPr>
      <w:r>
        <w:rPr>
          <w:rFonts w:hint="eastAsia" w:ascii="楷体" w:hAnsi="楷体" w:eastAsia="楷体" w:cs="楷体"/>
          <w:bCs/>
          <w:sz w:val="32"/>
          <w:szCs w:val="32"/>
          <w:highlight w:val="none"/>
        </w:rPr>
        <w:t>开标地点</w:t>
      </w:r>
    </w:p>
    <w:p>
      <w:pPr>
        <w:pStyle w:val="8"/>
        <w:pageBreakBefore w:val="0"/>
        <w:numPr>
          <w:ilvl w:val="-1"/>
          <w:numId w:val="0"/>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广东省深圳市罗湖区桂园路红围街19号深圳市鹏劳人力资源管理有限公司。</w:t>
      </w:r>
    </w:p>
    <w:p>
      <w:pPr>
        <w:pStyle w:val="8"/>
        <w:pageBreakBefore w:val="0"/>
        <w:numPr>
          <w:ilvl w:val="0"/>
          <w:numId w:val="14"/>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楷体" w:hAnsi="楷体" w:eastAsia="楷体" w:cs="楷体"/>
          <w:bCs/>
          <w:sz w:val="32"/>
          <w:szCs w:val="32"/>
          <w:highlight w:val="none"/>
        </w:rPr>
      </w:pPr>
      <w:r>
        <w:rPr>
          <w:rFonts w:hint="eastAsia" w:ascii="楷体" w:hAnsi="楷体" w:eastAsia="楷体" w:cs="楷体"/>
          <w:bCs/>
          <w:sz w:val="32"/>
          <w:szCs w:val="32"/>
          <w:highlight w:val="none"/>
        </w:rPr>
        <w:t>开标程序</w:t>
      </w:r>
    </w:p>
    <w:p>
      <w:pPr>
        <w:pStyle w:val="8"/>
        <w:pageBreakBefore w:val="0"/>
        <w:numPr>
          <w:ilvl w:val="0"/>
          <w:numId w:val="15"/>
        </w:numPr>
        <w:tabs>
          <w:tab w:val="left" w:pos="7740"/>
        </w:tabs>
        <w:kinsoku/>
        <w:overflowPunct/>
        <w:topLinePunct w:val="0"/>
        <w:autoSpaceDE/>
        <w:autoSpaceDN/>
        <w:bidi w:val="0"/>
        <w:adjustRightInd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招标人工作组进场；</w:t>
      </w:r>
    </w:p>
    <w:p>
      <w:pPr>
        <w:pStyle w:val="8"/>
        <w:pageBreakBefore w:val="0"/>
        <w:numPr>
          <w:ilvl w:val="0"/>
          <w:numId w:val="15"/>
        </w:numPr>
        <w:tabs>
          <w:tab w:val="left" w:pos="7740"/>
        </w:tabs>
        <w:kinsoku/>
        <w:overflowPunct/>
        <w:topLinePunct w:val="0"/>
        <w:autoSpaceDE/>
        <w:autoSpaceDN/>
        <w:bidi w:val="0"/>
        <w:adjustRightInd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招标人监督员、投标人代表检查投标文件密封情况并向工作组组长通报加密情况；</w:t>
      </w:r>
    </w:p>
    <w:p>
      <w:pPr>
        <w:pStyle w:val="8"/>
        <w:pageBreakBefore w:val="0"/>
        <w:numPr>
          <w:ilvl w:val="0"/>
          <w:numId w:val="15"/>
        </w:numPr>
        <w:tabs>
          <w:tab w:val="left" w:pos="7740"/>
        </w:tabs>
        <w:kinsoku/>
        <w:overflowPunct/>
        <w:topLinePunct w:val="0"/>
        <w:autoSpaceDE/>
        <w:autoSpaceDN/>
        <w:bidi w:val="0"/>
        <w:adjustRightInd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招标人工作组组长宣布开标；</w:t>
      </w:r>
    </w:p>
    <w:p>
      <w:pPr>
        <w:pStyle w:val="8"/>
        <w:pageBreakBefore w:val="0"/>
        <w:numPr>
          <w:ilvl w:val="0"/>
          <w:numId w:val="15"/>
        </w:numPr>
        <w:tabs>
          <w:tab w:val="left" w:pos="7740"/>
        </w:tabs>
        <w:kinsoku/>
        <w:overflowPunct/>
        <w:topLinePunct w:val="0"/>
        <w:autoSpaceDE/>
        <w:autoSpaceDN/>
        <w:bidi w:val="0"/>
        <w:adjustRightInd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招标人工作组成员逐一拆开唱标信封，现场唱标并形成《开标记录表》；</w:t>
      </w:r>
    </w:p>
    <w:p>
      <w:pPr>
        <w:pStyle w:val="8"/>
        <w:pageBreakBefore w:val="0"/>
        <w:numPr>
          <w:ilvl w:val="0"/>
          <w:numId w:val="15"/>
        </w:numPr>
        <w:tabs>
          <w:tab w:val="left" w:pos="7740"/>
        </w:tabs>
        <w:kinsoku/>
        <w:overflowPunct/>
        <w:topLinePunct w:val="0"/>
        <w:autoSpaceDE/>
        <w:autoSpaceDN/>
        <w:bidi w:val="0"/>
        <w:adjustRightInd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投标人代表确认开标记录，签字确认并离场。</w:t>
      </w:r>
    </w:p>
    <w:p>
      <w:pPr>
        <w:pStyle w:val="8"/>
        <w:pageBreakBefore w:val="0"/>
        <w:numPr>
          <w:ilvl w:val="0"/>
          <w:numId w:val="14"/>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楷体" w:hAnsi="楷体" w:eastAsia="楷体" w:cs="楷体"/>
          <w:bCs/>
          <w:sz w:val="32"/>
          <w:szCs w:val="32"/>
          <w:highlight w:val="none"/>
        </w:rPr>
      </w:pPr>
      <w:r>
        <w:rPr>
          <w:rFonts w:hint="eastAsia" w:ascii="楷体" w:hAnsi="楷体" w:eastAsia="楷体" w:cs="楷体"/>
          <w:bCs/>
          <w:sz w:val="32"/>
          <w:szCs w:val="32"/>
          <w:highlight w:val="none"/>
        </w:rPr>
        <w:t>注意事项</w:t>
      </w:r>
    </w:p>
    <w:p>
      <w:pPr>
        <w:pStyle w:val="8"/>
        <w:pageBreakBefore w:val="0"/>
        <w:numPr>
          <w:ilvl w:val="0"/>
          <w:numId w:val="16"/>
        </w:numPr>
        <w:tabs>
          <w:tab w:val="left" w:pos="7740"/>
        </w:tabs>
        <w:kinsoku/>
        <w:overflowPunct/>
        <w:topLinePunct w:val="0"/>
        <w:autoSpaceDE/>
        <w:autoSpaceDN/>
        <w:bidi w:val="0"/>
        <w:adjustRightInd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开标全程由投标人代表、招标人派员监督；</w:t>
      </w:r>
    </w:p>
    <w:p>
      <w:pPr>
        <w:pStyle w:val="8"/>
        <w:pageBreakBefore w:val="0"/>
        <w:numPr>
          <w:ilvl w:val="0"/>
          <w:numId w:val="16"/>
        </w:numPr>
        <w:tabs>
          <w:tab w:val="left" w:pos="7740"/>
        </w:tabs>
        <w:kinsoku/>
        <w:overflowPunct/>
        <w:topLinePunct w:val="0"/>
        <w:autoSpaceDE/>
        <w:autoSpaceDN/>
        <w:bidi w:val="0"/>
        <w:adjustRightInd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开标会议全程录音录像；</w:t>
      </w:r>
    </w:p>
    <w:p>
      <w:pPr>
        <w:pStyle w:val="8"/>
        <w:pageBreakBefore w:val="0"/>
        <w:numPr>
          <w:ilvl w:val="0"/>
          <w:numId w:val="16"/>
        </w:numPr>
        <w:tabs>
          <w:tab w:val="left" w:pos="7740"/>
        </w:tabs>
        <w:kinsoku/>
        <w:overflowPunct/>
        <w:topLinePunct w:val="0"/>
        <w:autoSpaceDE/>
        <w:autoSpaceDN/>
        <w:bidi w:val="0"/>
        <w:adjustRightInd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投标人代表因故未能到场，或到场后中途离场的，视同为投标人主动放弃监督权利且投标人对开标结果完全认可，投标人不得再就此提出质疑或投诉。</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highlight w:val="none"/>
        </w:rPr>
      </w:pPr>
      <w:bookmarkStart w:id="24" w:name="_Toc16279"/>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三</w:t>
      </w:r>
      <w:r>
        <w:rPr>
          <w:rFonts w:hint="eastAsia" w:ascii="黑体" w:hAnsi="黑体" w:eastAsia="黑体" w:cs="黑体"/>
          <w:b w:val="0"/>
          <w:sz w:val="32"/>
          <w:szCs w:val="32"/>
          <w:highlight w:val="none"/>
        </w:rPr>
        <w:t>、评标</w:t>
      </w:r>
      <w:bookmarkEnd w:id="24"/>
    </w:p>
    <w:p>
      <w:pPr>
        <w:pStyle w:val="8"/>
        <w:pageBreakBefore w:val="0"/>
        <w:numPr>
          <w:ilvl w:val="0"/>
          <w:numId w:val="17"/>
        </w:numPr>
        <w:tabs>
          <w:tab w:val="left" w:pos="7740"/>
        </w:tabs>
        <w:kinsoku/>
        <w:overflowPunct/>
        <w:topLinePunct w:val="0"/>
        <w:autoSpaceDE/>
        <w:autoSpaceDN/>
        <w:bidi w:val="0"/>
        <w:adjustRightInd w:val="0"/>
        <w:snapToGrid w:val="0"/>
        <w:spacing w:line="560" w:lineRule="exact"/>
        <w:ind w:firstLine="640" w:firstLineChars="200"/>
        <w:rPr>
          <w:rFonts w:hint="eastAsia" w:ascii="楷体" w:hAnsi="楷体" w:eastAsia="楷体" w:cs="楷体"/>
          <w:bCs/>
          <w:sz w:val="32"/>
          <w:szCs w:val="32"/>
          <w:highlight w:val="none"/>
        </w:rPr>
      </w:pPr>
      <w:r>
        <w:rPr>
          <w:rFonts w:hint="eastAsia" w:ascii="楷体" w:hAnsi="楷体" w:eastAsia="楷体" w:cs="楷体"/>
          <w:bCs/>
          <w:sz w:val="32"/>
          <w:szCs w:val="32"/>
          <w:highlight w:val="none"/>
        </w:rPr>
        <w:t>评标方法</w:t>
      </w:r>
    </w:p>
    <w:p>
      <w:pPr>
        <w:pStyle w:val="8"/>
        <w:pageBreakBefore w:val="0"/>
        <w:tabs>
          <w:tab w:val="left" w:pos="7740"/>
        </w:tabs>
        <w:kinsoku/>
        <w:overflowPunct/>
        <w:topLinePunct w:val="0"/>
        <w:autoSpaceDE/>
        <w:autoSpaceDN/>
        <w:bidi w:val="0"/>
        <w:adjustRightInd w:val="0"/>
        <w:snapToGrid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本项目采用综合</w:t>
      </w:r>
      <w:r>
        <w:rPr>
          <w:rFonts w:hint="eastAsia" w:ascii="仿宋" w:hAnsi="仿宋" w:eastAsia="仿宋" w:cs="仿宋"/>
          <w:bCs/>
          <w:sz w:val="32"/>
          <w:szCs w:val="32"/>
          <w:highlight w:val="none"/>
          <w:lang w:eastAsia="zh-CN"/>
        </w:rPr>
        <w:t>评价</w:t>
      </w:r>
      <w:r>
        <w:rPr>
          <w:rFonts w:hint="eastAsia" w:ascii="仿宋" w:hAnsi="仿宋" w:eastAsia="仿宋" w:cs="仿宋"/>
          <w:bCs/>
          <w:sz w:val="32"/>
          <w:szCs w:val="32"/>
          <w:highlight w:val="none"/>
        </w:rPr>
        <w:t>法。</w:t>
      </w:r>
    </w:p>
    <w:p>
      <w:pPr>
        <w:pStyle w:val="8"/>
        <w:pageBreakBefore w:val="0"/>
        <w:numPr>
          <w:ilvl w:val="0"/>
          <w:numId w:val="17"/>
        </w:numPr>
        <w:tabs>
          <w:tab w:val="left" w:pos="7740"/>
        </w:tabs>
        <w:kinsoku/>
        <w:overflowPunct/>
        <w:topLinePunct w:val="0"/>
        <w:autoSpaceDE/>
        <w:autoSpaceDN/>
        <w:bidi w:val="0"/>
        <w:adjustRightInd w:val="0"/>
        <w:snapToGrid w:val="0"/>
        <w:spacing w:line="560" w:lineRule="exact"/>
        <w:ind w:left="0" w:firstLine="640" w:firstLineChars="200"/>
        <w:rPr>
          <w:rFonts w:hint="eastAsia" w:ascii="楷体" w:hAnsi="楷体" w:eastAsia="楷体" w:cs="楷体"/>
          <w:bCs/>
          <w:sz w:val="32"/>
          <w:szCs w:val="32"/>
          <w:highlight w:val="none"/>
        </w:rPr>
      </w:pPr>
      <w:r>
        <w:rPr>
          <w:rFonts w:hint="eastAsia" w:ascii="楷体" w:hAnsi="楷体" w:eastAsia="楷体" w:cs="楷体"/>
          <w:bCs/>
          <w:sz w:val="32"/>
          <w:szCs w:val="32"/>
          <w:highlight w:val="none"/>
        </w:rPr>
        <w:t>评标细则及标准</w:t>
      </w:r>
    </w:p>
    <w:p>
      <w:pPr>
        <w:pStyle w:val="8"/>
        <w:pageBreakBefore w:val="0"/>
        <w:numPr>
          <w:ilvl w:val="-1"/>
          <w:numId w:val="0"/>
        </w:numPr>
        <w:tabs>
          <w:tab w:val="left" w:pos="7740"/>
        </w:tabs>
        <w:kinsoku/>
        <w:overflowPunct/>
        <w:topLinePunct w:val="0"/>
        <w:autoSpaceDE/>
        <w:autoSpaceDN/>
        <w:bidi w:val="0"/>
        <w:adjustRightInd w:val="0"/>
        <w:snapToGrid w:val="0"/>
        <w:spacing w:line="560" w:lineRule="exact"/>
        <w:ind w:left="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见本文件“第二章 评标程序及标准”</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highlight w:val="none"/>
        </w:rPr>
      </w:pPr>
      <w:bookmarkStart w:id="25" w:name="_Toc29923"/>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四</w:t>
      </w:r>
      <w:r>
        <w:rPr>
          <w:rFonts w:hint="eastAsia" w:ascii="黑体" w:hAnsi="黑体" w:eastAsia="黑体" w:cs="黑体"/>
          <w:b w:val="0"/>
          <w:sz w:val="32"/>
          <w:szCs w:val="32"/>
          <w:highlight w:val="none"/>
        </w:rPr>
        <w:t>、定标</w:t>
      </w:r>
      <w:bookmarkEnd w:id="25"/>
    </w:p>
    <w:p>
      <w:pPr>
        <w:pStyle w:val="8"/>
        <w:pageBreakBefore w:val="0"/>
        <w:tabs>
          <w:tab w:val="left" w:pos="7740"/>
        </w:tabs>
        <w:kinsoku/>
        <w:overflowPunct/>
        <w:topLinePunct w:val="0"/>
        <w:autoSpaceDE/>
        <w:autoSpaceDN/>
        <w:bidi w:val="0"/>
        <w:adjustRightInd w:val="0"/>
        <w:snapToGrid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由招标人招标决策委员会依据评标报告综合评价定标。</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highlight w:val="none"/>
        </w:rPr>
      </w:pPr>
      <w:bookmarkStart w:id="26" w:name="_Toc13682"/>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五</w:t>
      </w:r>
      <w:r>
        <w:rPr>
          <w:rFonts w:hint="eastAsia" w:ascii="黑体" w:hAnsi="黑体" w:eastAsia="黑体" w:cs="黑体"/>
          <w:b w:val="0"/>
          <w:sz w:val="32"/>
          <w:szCs w:val="32"/>
          <w:highlight w:val="none"/>
        </w:rPr>
        <w:t>、结算方式</w:t>
      </w:r>
      <w:bookmarkEnd w:id="26"/>
    </w:p>
    <w:p>
      <w:pPr>
        <w:pStyle w:val="8"/>
        <w:pageBreakBefore w:val="0"/>
        <w:tabs>
          <w:tab w:val="left" w:pos="7740"/>
        </w:tabs>
        <w:kinsoku/>
        <w:overflowPunct/>
        <w:topLinePunct w:val="0"/>
        <w:autoSpaceDE/>
        <w:autoSpaceDN/>
        <w:bidi w:val="0"/>
        <w:adjustRightInd w:val="0"/>
        <w:snapToGrid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按本文件“第三章 合同条款”约定的结算方式执行。</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highlight w:val="none"/>
        </w:rPr>
      </w:pPr>
      <w:bookmarkStart w:id="27" w:name="_Toc15456"/>
      <w:bookmarkStart w:id="28" w:name="_十六、解释权"/>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六</w:t>
      </w:r>
      <w:r>
        <w:rPr>
          <w:rFonts w:hint="eastAsia" w:ascii="黑体" w:hAnsi="黑体" w:eastAsia="黑体" w:cs="黑体"/>
          <w:b w:val="0"/>
          <w:sz w:val="32"/>
          <w:szCs w:val="32"/>
          <w:highlight w:val="none"/>
        </w:rPr>
        <w:t>、解释权</w:t>
      </w:r>
      <w:bookmarkEnd w:id="27"/>
    </w:p>
    <w:bookmarkEnd w:id="28"/>
    <w:p>
      <w:pPr>
        <w:pStyle w:val="8"/>
        <w:pageBreakBefore w:val="0"/>
        <w:tabs>
          <w:tab w:val="left" w:pos="7740"/>
        </w:tabs>
        <w:kinsoku/>
        <w:overflowPunct/>
        <w:topLinePunct w:val="0"/>
        <w:autoSpaceDE/>
        <w:autoSpaceDN/>
        <w:bidi w:val="0"/>
        <w:adjustRightInd w:val="0"/>
        <w:snapToGrid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招标文件解释权归深圳市鹏劳人力资源管理有限公司招标决策委员会所有。</w:t>
      </w:r>
    </w:p>
    <w:p>
      <w:pPr>
        <w:pStyle w:val="13"/>
        <w:pageBreakBefore w:val="0"/>
        <w:kinsoku/>
        <w:overflowPunct/>
        <w:topLinePunct w:val="0"/>
        <w:autoSpaceDE/>
        <w:autoSpaceDN/>
        <w:bidi w:val="0"/>
        <w:spacing w:line="560" w:lineRule="exact"/>
        <w:ind w:firstLine="0" w:firstLineChars="0"/>
        <w:outlineLvl w:val="9"/>
        <w:rPr>
          <w:rFonts w:hint="eastAsia" w:ascii="仿宋" w:hAnsi="仿宋" w:eastAsia="仿宋" w:cs="仿宋"/>
          <w:bCs w:val="0"/>
          <w:sz w:val="32"/>
          <w:szCs w:val="32"/>
          <w:highlight w:val="none"/>
        </w:rPr>
      </w:pPr>
      <w:r>
        <w:rPr>
          <w:rFonts w:hint="eastAsia" w:ascii="仿宋" w:hAnsi="仿宋" w:eastAsia="仿宋" w:cs="仿宋"/>
          <w:b w:val="0"/>
          <w:sz w:val="32"/>
          <w:szCs w:val="32"/>
          <w:highlight w:val="none"/>
        </w:rPr>
        <w:br w:type="page"/>
      </w:r>
    </w:p>
    <w:p>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29" w:name="_Toc25565"/>
      <w:bookmarkStart w:id="30" w:name="_Toc20470"/>
      <w:bookmarkStart w:id="31" w:name="_第二章 评标程序及标准"/>
      <w:r>
        <w:rPr>
          <w:rFonts w:hint="eastAsia" w:ascii="黑体" w:hAnsi="黑体" w:eastAsia="黑体" w:cs="黑体"/>
          <w:b w:val="0"/>
          <w:bCs/>
          <w:sz w:val="32"/>
          <w:szCs w:val="32"/>
          <w:highlight w:val="none"/>
        </w:rPr>
        <w:t xml:space="preserve">第二章 </w:t>
      </w:r>
      <w:bookmarkEnd w:id="29"/>
      <w:r>
        <w:rPr>
          <w:rFonts w:hint="eastAsia" w:ascii="黑体" w:hAnsi="黑体" w:eastAsia="黑体" w:cs="黑体"/>
          <w:b w:val="0"/>
          <w:bCs/>
          <w:sz w:val="32"/>
          <w:szCs w:val="32"/>
          <w:highlight w:val="none"/>
        </w:rPr>
        <w:t>评标程序及标准</w:t>
      </w:r>
      <w:bookmarkEnd w:id="30"/>
    </w:p>
    <w:bookmarkEnd w:id="31"/>
    <w:p>
      <w:pPr>
        <w:pageBreakBefore w:val="0"/>
        <w:widowControl/>
        <w:kinsoku/>
        <w:overflowPunct/>
        <w:topLinePunct w:val="0"/>
        <w:autoSpaceDE/>
        <w:autoSpaceDN/>
        <w:bidi w:val="0"/>
        <w:spacing w:line="560" w:lineRule="exact"/>
        <w:jc w:val="left"/>
        <w:rPr>
          <w:rFonts w:hint="eastAsia" w:ascii="仿宋" w:hAnsi="仿宋" w:eastAsia="仿宋" w:cs="仿宋"/>
          <w:bCs/>
          <w:sz w:val="32"/>
          <w:szCs w:val="32"/>
          <w:highlight w:val="none"/>
        </w:rPr>
      </w:pPr>
    </w:p>
    <w:p>
      <w:pPr>
        <w:pageBreakBefore w:val="0"/>
        <w:kinsoku/>
        <w:overflowPunct/>
        <w:topLinePunct w:val="0"/>
        <w:autoSpaceDE/>
        <w:autoSpaceDN/>
        <w:bidi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本项目采用综合</w:t>
      </w:r>
      <w:r>
        <w:rPr>
          <w:rFonts w:hint="eastAsia" w:ascii="仿宋" w:hAnsi="仿宋" w:eastAsia="仿宋" w:cs="仿宋"/>
          <w:bCs/>
          <w:sz w:val="32"/>
          <w:szCs w:val="32"/>
          <w:highlight w:val="none"/>
          <w:lang w:eastAsia="zh-CN"/>
        </w:rPr>
        <w:t>评价</w:t>
      </w:r>
      <w:r>
        <w:rPr>
          <w:rFonts w:hint="eastAsia" w:ascii="仿宋" w:hAnsi="仿宋" w:eastAsia="仿宋" w:cs="仿宋"/>
          <w:bCs/>
          <w:sz w:val="32"/>
          <w:szCs w:val="32"/>
          <w:highlight w:val="none"/>
        </w:rPr>
        <w:t>法</w:t>
      </w:r>
      <w:r>
        <w:rPr>
          <w:rFonts w:hint="default" w:ascii="仿宋" w:hAnsi="仿宋" w:eastAsia="仿宋" w:cs="仿宋"/>
          <w:bCs/>
          <w:sz w:val="32"/>
          <w:szCs w:val="32"/>
          <w:highlight w:val="none"/>
        </w:rPr>
        <w:t>，</w:t>
      </w:r>
      <w:r>
        <w:rPr>
          <w:rFonts w:hint="eastAsia" w:ascii="仿宋" w:hAnsi="仿宋" w:eastAsia="仿宋" w:cs="仿宋"/>
          <w:bCs/>
          <w:sz w:val="32"/>
          <w:szCs w:val="32"/>
          <w:highlight w:val="none"/>
        </w:rPr>
        <w:t>是指在最大限度地满足招标文件实质性要求前提下，按照招标文件规定的评审标准进行评审，按评审因素的量化指标评审排序靠前的推荐中标候选人。得分相同的，按投标报价由低到高顺序排列；得分且投标报价相同的，按技术指标或服务方案得分顺序排列；如技术指标或服务方案得分仍然相同，则采用抽签的方法确定中标候选人的排序。具体程序如下：</w:t>
      </w:r>
    </w:p>
    <w:p>
      <w:pPr>
        <w:pageBreakBefore w:val="0"/>
        <w:kinsoku/>
        <w:overflowPunct/>
        <w:topLinePunct w:val="0"/>
        <w:autoSpaceDE/>
        <w:autoSpaceDN/>
        <w:bidi w:val="0"/>
        <w:spacing w:line="560" w:lineRule="exact"/>
        <w:ind w:firstLine="729" w:firstLineChars="228"/>
        <w:rPr>
          <w:rFonts w:hint="eastAsia" w:ascii="黑体" w:hAnsi="黑体" w:eastAsia="黑体" w:cs="黑体"/>
          <w:bCs/>
          <w:sz w:val="32"/>
          <w:szCs w:val="32"/>
          <w:highlight w:val="none"/>
        </w:rPr>
      </w:pPr>
      <w:bookmarkStart w:id="32" w:name="_Toc532127158"/>
      <w:bookmarkStart w:id="33" w:name="_Toc40445480"/>
      <w:r>
        <w:rPr>
          <w:rFonts w:hint="eastAsia" w:ascii="黑体" w:hAnsi="黑体" w:eastAsia="黑体" w:cs="黑体"/>
          <w:bCs/>
          <w:sz w:val="32"/>
          <w:szCs w:val="32"/>
          <w:highlight w:val="none"/>
          <w:lang w:val="en-US" w:eastAsia="zh-CN"/>
        </w:rPr>
        <w:t>一、</w:t>
      </w:r>
      <w:r>
        <w:rPr>
          <w:rFonts w:hint="eastAsia" w:ascii="黑体" w:hAnsi="黑体" w:eastAsia="黑体" w:cs="黑体"/>
          <w:bCs/>
          <w:sz w:val="32"/>
          <w:szCs w:val="32"/>
          <w:highlight w:val="none"/>
        </w:rPr>
        <w:t>初步评审</w:t>
      </w:r>
      <w:bookmarkEnd w:id="32"/>
      <w:bookmarkEnd w:id="33"/>
    </w:p>
    <w:p>
      <w:pPr>
        <w:pageBreakBefore w:val="0"/>
        <w:kinsoku/>
        <w:overflowPunct/>
        <w:topLinePunct w:val="0"/>
        <w:autoSpaceDE/>
        <w:autoSpaceDN/>
        <w:bidi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评标专家组根据投标人根据本文件“第一章 项目需求 </w:t>
      </w:r>
      <w:r>
        <w:rPr>
          <w:rFonts w:hint="eastAsia" w:ascii="仿宋" w:hAnsi="仿宋" w:eastAsia="仿宋" w:cs="仿宋"/>
          <w:bCs/>
          <w:sz w:val="32"/>
          <w:szCs w:val="32"/>
          <w:highlight w:val="none"/>
          <w:lang w:val="en-US" w:eastAsia="zh-CN"/>
        </w:rPr>
        <w:t>七</w:t>
      </w:r>
      <w:r>
        <w:rPr>
          <w:rFonts w:hint="eastAsia" w:ascii="仿宋" w:hAnsi="仿宋" w:eastAsia="仿宋" w:cs="仿宋"/>
          <w:bCs/>
          <w:sz w:val="32"/>
          <w:szCs w:val="32"/>
          <w:highlight w:val="none"/>
        </w:rPr>
        <w:t>、投标文件要求 2.资质证明文件 ”所提交的文件进行核验。有一项不符合评审标准的，评标专家组应否决其投标。</w:t>
      </w:r>
    </w:p>
    <w:p>
      <w:pPr>
        <w:pageBreakBefore w:val="0"/>
        <w:kinsoku/>
        <w:overflowPunct/>
        <w:topLinePunct w:val="0"/>
        <w:autoSpaceDE/>
        <w:autoSpaceDN/>
        <w:bidi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初步评审的结论是“通过”或“不通过”，只有结论为“通过”的投标</w:t>
      </w:r>
      <w:r>
        <w:rPr>
          <w:rFonts w:hint="eastAsia" w:ascii="仿宋" w:hAnsi="仿宋" w:eastAsia="仿宋" w:cs="仿宋"/>
          <w:bCs/>
          <w:sz w:val="32"/>
          <w:szCs w:val="32"/>
          <w:highlight w:val="none"/>
          <w:lang w:val="en-US" w:eastAsia="zh-CN"/>
        </w:rPr>
        <w:t>人</w:t>
      </w:r>
      <w:r>
        <w:rPr>
          <w:rFonts w:hint="eastAsia" w:ascii="仿宋" w:hAnsi="仿宋" w:eastAsia="仿宋" w:cs="仿宋"/>
          <w:bCs/>
          <w:sz w:val="32"/>
          <w:szCs w:val="32"/>
          <w:highlight w:val="none"/>
        </w:rPr>
        <w:t>能进入下一阶段的评标，否则其投标将按无效标处理。</w:t>
      </w:r>
    </w:p>
    <w:p>
      <w:pPr>
        <w:pageBreakBefore w:val="0"/>
        <w:kinsoku/>
        <w:overflowPunct/>
        <w:topLinePunct w:val="0"/>
        <w:autoSpaceDE/>
        <w:autoSpaceDN/>
        <w:bidi w:val="0"/>
        <w:spacing w:line="560" w:lineRule="exact"/>
        <w:ind w:firstLine="729" w:firstLineChars="228"/>
        <w:rPr>
          <w:rFonts w:hint="eastAsia" w:ascii="黑体" w:hAnsi="黑体" w:eastAsia="黑体" w:cs="黑体"/>
          <w:bCs/>
          <w:sz w:val="32"/>
          <w:szCs w:val="32"/>
          <w:highlight w:val="none"/>
        </w:rPr>
      </w:pPr>
      <w:bookmarkStart w:id="34" w:name="_bookmark89"/>
      <w:bookmarkEnd w:id="34"/>
      <w:bookmarkStart w:id="35" w:name="_Toc40445481"/>
      <w:bookmarkStart w:id="36" w:name="_Toc532127159"/>
      <w:r>
        <w:rPr>
          <w:rFonts w:hint="eastAsia" w:ascii="黑体" w:hAnsi="黑体" w:eastAsia="黑体" w:cs="黑体"/>
          <w:bCs/>
          <w:sz w:val="32"/>
          <w:szCs w:val="32"/>
          <w:highlight w:val="none"/>
          <w:lang w:val="en-US" w:eastAsia="zh-CN"/>
        </w:rPr>
        <w:t>二、</w:t>
      </w:r>
      <w:r>
        <w:rPr>
          <w:rFonts w:hint="eastAsia" w:ascii="黑体" w:hAnsi="黑体" w:eastAsia="黑体" w:cs="黑体"/>
          <w:bCs/>
          <w:sz w:val="32"/>
          <w:szCs w:val="32"/>
          <w:highlight w:val="none"/>
        </w:rPr>
        <w:t>详细评审</w:t>
      </w:r>
      <w:bookmarkEnd w:id="35"/>
      <w:bookmarkEnd w:id="36"/>
    </w:p>
    <w:p>
      <w:pPr>
        <w:pageBreakBefore w:val="0"/>
        <w:kinsoku/>
        <w:overflowPunct/>
        <w:topLinePunct w:val="0"/>
        <w:autoSpaceDE/>
        <w:autoSpaceDN/>
        <w:bidi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评标专家组按本章规定的量化因素和分值进行打分并计算出综合评估得分。</w:t>
      </w:r>
    </w:p>
    <w:p>
      <w:pPr>
        <w:pageBreakBefore w:val="0"/>
        <w:numPr>
          <w:ilvl w:val="0"/>
          <w:numId w:val="18"/>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按本章商务技术标评分标准规定的评审因素和权重对应分值对商务部分计算出得分A；</w:t>
      </w:r>
    </w:p>
    <w:p>
      <w:pPr>
        <w:pageBreakBefore w:val="0"/>
        <w:numPr>
          <w:ilvl w:val="0"/>
          <w:numId w:val="18"/>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按本章价格标评分方法规定的评审因素和权重对应分值对投标报价计算出得分B；</w:t>
      </w:r>
    </w:p>
    <w:p>
      <w:pPr>
        <w:pageBreakBefore w:val="0"/>
        <w:numPr>
          <w:ilvl w:val="0"/>
          <w:numId w:val="18"/>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评分分值计算保留小数点后两位，小数点后第三位“四舍五入”。</w:t>
      </w:r>
    </w:p>
    <w:p>
      <w:pPr>
        <w:pageBreakBefore w:val="0"/>
        <w:numPr>
          <w:ilvl w:val="0"/>
          <w:numId w:val="18"/>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最终</w:t>
      </w:r>
      <w:r>
        <w:rPr>
          <w:rFonts w:hint="eastAsia" w:ascii="仿宋" w:hAnsi="仿宋" w:eastAsia="仿宋" w:cs="仿宋"/>
          <w:bCs/>
          <w:sz w:val="32"/>
          <w:szCs w:val="32"/>
          <w:highlight w:val="none"/>
        </w:rPr>
        <w:t>得分=A+B。</w:t>
      </w:r>
    </w:p>
    <w:p>
      <w:pPr>
        <w:pageBreakBefore w:val="0"/>
        <w:numPr>
          <w:ilvl w:val="0"/>
          <w:numId w:val="18"/>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pPr>
        <w:pageBreakBefore w:val="0"/>
        <w:kinsoku/>
        <w:overflowPunct/>
        <w:topLinePunct w:val="0"/>
        <w:autoSpaceDE/>
        <w:autoSpaceDN/>
        <w:bidi w:val="0"/>
        <w:spacing w:line="560" w:lineRule="exact"/>
        <w:ind w:firstLine="729" w:firstLineChars="228"/>
        <w:rPr>
          <w:rFonts w:hint="eastAsia" w:ascii="黑体" w:hAnsi="黑体" w:eastAsia="黑体" w:cs="黑体"/>
          <w:bCs/>
          <w:sz w:val="32"/>
          <w:szCs w:val="32"/>
          <w:highlight w:val="none"/>
        </w:rPr>
      </w:pPr>
      <w:bookmarkStart w:id="37" w:name="_Toc40445482"/>
      <w:bookmarkStart w:id="38" w:name="_Toc532127160"/>
      <w:r>
        <w:rPr>
          <w:rFonts w:hint="eastAsia" w:ascii="黑体" w:hAnsi="黑体" w:eastAsia="黑体" w:cs="黑体"/>
          <w:bCs/>
          <w:sz w:val="32"/>
          <w:szCs w:val="32"/>
          <w:highlight w:val="none"/>
          <w:lang w:val="en-US" w:eastAsia="zh-CN"/>
        </w:rPr>
        <w:t>三、</w:t>
      </w:r>
      <w:r>
        <w:rPr>
          <w:rFonts w:hint="eastAsia" w:ascii="黑体" w:hAnsi="黑体" w:eastAsia="黑体" w:cs="黑体"/>
          <w:bCs/>
          <w:sz w:val="32"/>
          <w:szCs w:val="32"/>
          <w:highlight w:val="none"/>
        </w:rPr>
        <w:t>投标文件的澄清</w:t>
      </w:r>
      <w:bookmarkEnd w:id="37"/>
      <w:bookmarkEnd w:id="38"/>
    </w:p>
    <w:p>
      <w:pPr>
        <w:pageBreakBefore w:val="0"/>
        <w:numPr>
          <w:ilvl w:val="0"/>
          <w:numId w:val="19"/>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w:t>
      </w:r>
      <w:r>
        <w:rPr>
          <w:rFonts w:hint="eastAsia" w:ascii="仿宋" w:hAnsi="仿宋" w:eastAsia="仿宋" w:cs="仿宋"/>
          <w:bCs/>
          <w:sz w:val="32"/>
          <w:szCs w:val="32"/>
          <w:highlight w:val="none"/>
          <w:lang w:val="en-US" w:eastAsia="zh-CN"/>
        </w:rPr>
        <w:t>有权</w:t>
      </w:r>
      <w:r>
        <w:rPr>
          <w:rFonts w:hint="eastAsia" w:ascii="仿宋" w:hAnsi="仿宋" w:eastAsia="仿宋" w:cs="仿宋"/>
          <w:bCs/>
          <w:sz w:val="32"/>
          <w:szCs w:val="32"/>
          <w:highlight w:val="none"/>
        </w:rPr>
        <w:t>不接受投标人主动提出的澄清、说明或补正。</w:t>
      </w:r>
    </w:p>
    <w:p>
      <w:pPr>
        <w:pageBreakBefore w:val="0"/>
        <w:numPr>
          <w:ilvl w:val="0"/>
          <w:numId w:val="19"/>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澄清、说明或补正不得超出投标文件的范围且不得改变投标文件的实质性内容，并构成投标文件的组成部分。</w:t>
      </w:r>
    </w:p>
    <w:p>
      <w:pPr>
        <w:pageBreakBefore w:val="0"/>
        <w:numPr>
          <w:ilvl w:val="0"/>
          <w:numId w:val="19"/>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评标专家组对投标人提交的澄清、说明或补正有疑问的，可以要求投标人进一步澄清、说明或补正，直至满足评标专家组的要求。</w:t>
      </w:r>
    </w:p>
    <w:p>
      <w:pPr>
        <w:pageBreakBefore w:val="0"/>
        <w:numPr>
          <w:ilvl w:val="0"/>
          <w:numId w:val="19"/>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39" w:name="_Toc532127161"/>
    </w:p>
    <w:p>
      <w:pPr>
        <w:pageBreakBefore w:val="0"/>
        <w:kinsoku/>
        <w:overflowPunct/>
        <w:topLinePunct w:val="0"/>
        <w:autoSpaceDE/>
        <w:autoSpaceDN/>
        <w:bidi w:val="0"/>
        <w:spacing w:line="560" w:lineRule="exact"/>
        <w:ind w:firstLine="729" w:firstLineChars="228"/>
        <w:rPr>
          <w:rFonts w:hint="eastAsia" w:ascii="黑体" w:hAnsi="黑体" w:eastAsia="黑体" w:cs="黑体"/>
          <w:bCs/>
          <w:sz w:val="32"/>
          <w:szCs w:val="32"/>
          <w:highlight w:val="none"/>
        </w:rPr>
      </w:pPr>
      <w:bookmarkStart w:id="40" w:name="_Toc40445483"/>
      <w:r>
        <w:rPr>
          <w:rFonts w:hint="eastAsia" w:ascii="黑体" w:hAnsi="黑体" w:eastAsia="黑体" w:cs="黑体"/>
          <w:bCs/>
          <w:sz w:val="32"/>
          <w:szCs w:val="32"/>
          <w:highlight w:val="none"/>
          <w:lang w:val="en-US" w:eastAsia="zh-CN"/>
        </w:rPr>
        <w:t>四、</w:t>
      </w:r>
      <w:r>
        <w:rPr>
          <w:rFonts w:hint="eastAsia" w:ascii="黑体" w:hAnsi="黑体" w:eastAsia="黑体" w:cs="黑体"/>
          <w:bCs/>
          <w:sz w:val="32"/>
          <w:szCs w:val="32"/>
          <w:highlight w:val="none"/>
        </w:rPr>
        <w:t>评标结果</w:t>
      </w:r>
      <w:bookmarkEnd w:id="39"/>
      <w:bookmarkEnd w:id="40"/>
    </w:p>
    <w:p>
      <w:pPr>
        <w:pageBreakBefore w:val="0"/>
        <w:numPr>
          <w:ilvl w:val="0"/>
          <w:numId w:val="20"/>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评标专家组按照评审分数由低到高的顺序推荐中标候选人，并标明排序。</w:t>
      </w:r>
    </w:p>
    <w:p>
      <w:pPr>
        <w:pageBreakBefore w:val="0"/>
        <w:numPr>
          <w:ilvl w:val="0"/>
          <w:numId w:val="20"/>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评标专家组完成评标后，应当向招标决策委员会提交书面评标报告和中标候选人名单。</w:t>
      </w:r>
      <w:bookmarkStart w:id="41" w:name="_Toc532127162"/>
      <w:r>
        <w:rPr>
          <w:rFonts w:hint="eastAsia" w:ascii="仿宋" w:hAnsi="仿宋" w:eastAsia="仿宋" w:cs="仿宋"/>
          <w:bCs/>
          <w:sz w:val="32"/>
          <w:szCs w:val="32"/>
          <w:highlight w:val="none"/>
        </w:rPr>
        <w:t>具体程序如下:</w:t>
      </w:r>
    </w:p>
    <w:bookmarkEnd w:id="41"/>
    <w:p>
      <w:pPr>
        <w:pageBreakBefore w:val="0"/>
        <w:numPr>
          <w:ilvl w:val="0"/>
          <w:numId w:val="21"/>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按评审综合得分从高至低的顺序进行排序，向招标人决策委员会推荐评审总得分排名靠前的投标人为中标候选人，推荐数为2家。</w:t>
      </w:r>
    </w:p>
    <w:p>
      <w:pPr>
        <w:pageBreakBefore w:val="0"/>
        <w:numPr>
          <w:ilvl w:val="0"/>
          <w:numId w:val="21"/>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若出现评审综合得分相同的情形，按投标报价由低到高顺序排列；得分且投标报价相同的，按商务技术标得分顺序排列；如商务技术标得分仍然相同，则采用抽签的方法确定中标候选人的排序。</w:t>
      </w:r>
    </w:p>
    <w:p>
      <w:pPr>
        <w:pageBreakBefore w:val="0"/>
        <w:kinsoku/>
        <w:overflowPunct/>
        <w:topLinePunct w:val="0"/>
        <w:autoSpaceDE/>
        <w:autoSpaceDN/>
        <w:bidi w:val="0"/>
        <w:spacing w:line="560" w:lineRule="exact"/>
        <w:ind w:firstLine="729" w:firstLineChars="228"/>
        <w:rPr>
          <w:rFonts w:hint="eastAsia" w:ascii="黑体" w:hAnsi="黑体" w:eastAsia="黑体" w:cs="黑体"/>
          <w:bCs/>
          <w:sz w:val="32"/>
          <w:szCs w:val="32"/>
          <w:highlight w:val="none"/>
        </w:rPr>
      </w:pPr>
      <w:r>
        <w:rPr>
          <w:rFonts w:hint="eastAsia" w:ascii="黑体" w:hAnsi="黑体" w:eastAsia="黑体" w:cs="黑体"/>
          <w:bCs/>
          <w:sz w:val="32"/>
          <w:szCs w:val="32"/>
          <w:highlight w:val="none"/>
          <w:lang w:val="en-US" w:eastAsia="zh-CN"/>
        </w:rPr>
        <w:t>五、</w:t>
      </w:r>
      <w:r>
        <w:rPr>
          <w:rFonts w:hint="eastAsia" w:ascii="黑体" w:hAnsi="黑体" w:eastAsia="黑体" w:cs="黑体"/>
          <w:bCs/>
          <w:sz w:val="32"/>
          <w:szCs w:val="32"/>
          <w:highlight w:val="none"/>
        </w:rPr>
        <w:t>转为竞争性谈判的程序</w:t>
      </w:r>
    </w:p>
    <w:p>
      <w:pPr>
        <w:pageBreakBefore w:val="0"/>
        <w:kinsoku/>
        <w:overflowPunct/>
        <w:topLinePunct w:val="0"/>
        <w:autoSpaceDE/>
        <w:autoSpaceDN/>
        <w:bidi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遵照</w:t>
      </w:r>
      <w:r>
        <w:rPr>
          <w:rFonts w:hint="eastAsia" w:ascii="仿宋" w:hAnsi="仿宋" w:eastAsia="仿宋" w:cs="仿宋"/>
          <w:bCs/>
          <w:sz w:val="32"/>
          <w:szCs w:val="32"/>
          <w:highlight w:val="none"/>
        </w:rPr>
        <w:t>法律法规规定执行。</w:t>
      </w:r>
    </w:p>
    <w:p>
      <w:pPr>
        <w:pageBreakBefore w:val="0"/>
        <w:kinsoku/>
        <w:overflowPunct/>
        <w:topLinePunct w:val="0"/>
        <w:autoSpaceDE/>
        <w:autoSpaceDN/>
        <w:bidi w:val="0"/>
        <w:spacing w:line="560" w:lineRule="exact"/>
        <w:ind w:firstLine="729" w:firstLineChars="228"/>
        <w:rPr>
          <w:rFonts w:hint="eastAsia" w:ascii="黑体" w:hAnsi="黑体" w:eastAsia="黑体" w:cs="黑体"/>
          <w:bCs/>
          <w:sz w:val="32"/>
          <w:szCs w:val="32"/>
          <w:highlight w:val="none"/>
        </w:rPr>
      </w:pPr>
      <w:bookmarkStart w:id="42" w:name="_Toc40445485"/>
      <w:bookmarkStart w:id="43" w:name="_Toc532127163"/>
      <w:r>
        <w:rPr>
          <w:rFonts w:hint="eastAsia" w:ascii="黑体" w:hAnsi="黑体" w:eastAsia="黑体" w:cs="黑体"/>
          <w:bCs/>
          <w:sz w:val="32"/>
          <w:szCs w:val="32"/>
          <w:highlight w:val="none"/>
          <w:lang w:val="en-US" w:eastAsia="zh-CN"/>
        </w:rPr>
        <w:t>六、</w:t>
      </w:r>
      <w:r>
        <w:rPr>
          <w:rFonts w:hint="eastAsia" w:ascii="黑体" w:hAnsi="黑体" w:eastAsia="黑体" w:cs="黑体"/>
          <w:bCs/>
          <w:sz w:val="32"/>
          <w:szCs w:val="32"/>
          <w:highlight w:val="none"/>
        </w:rPr>
        <w:t>附表</w:t>
      </w:r>
      <w:bookmarkEnd w:id="42"/>
      <w:bookmarkEnd w:id="43"/>
    </w:p>
    <w:p>
      <w:pPr>
        <w:pageBreakBefore w:val="0"/>
        <w:kinsoku/>
        <w:overflowPunct/>
        <w:topLinePunct w:val="0"/>
        <w:autoSpaceDE/>
        <w:autoSpaceDN/>
        <w:bidi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附表1-1《商务技术标评审标准》</w:t>
      </w:r>
    </w:p>
    <w:p>
      <w:pPr>
        <w:pageBreakBefore w:val="0"/>
        <w:kinsoku/>
        <w:overflowPunct/>
        <w:topLinePunct w:val="0"/>
        <w:autoSpaceDE/>
        <w:autoSpaceDN/>
        <w:bidi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附表2-1《价格标评分方法》</w:t>
      </w:r>
    </w:p>
    <w:p>
      <w:pPr>
        <w:pageBreakBefore w:val="0"/>
        <w:kinsoku/>
        <w:overflowPunct/>
        <w:topLinePunct w:val="0"/>
        <w:autoSpaceDE/>
        <w:autoSpaceDN/>
        <w:bidi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附表3-1《商务技术标、价格标权重表》</w:t>
      </w:r>
    </w:p>
    <w:p>
      <w:pPr>
        <w:keepNext/>
        <w:keepLines/>
        <w:pageBreakBefore w:val="0"/>
        <w:widowControl/>
        <w:numPr>
          <w:ilvl w:val="3"/>
          <w:numId w:val="0"/>
        </w:numPr>
        <w:kinsoku/>
        <w:overflowPunct/>
        <w:topLinePunct w:val="0"/>
        <w:autoSpaceDE/>
        <w:autoSpaceDN/>
        <w:bidi w:val="0"/>
        <w:adjustRightInd w:val="0"/>
        <w:snapToGrid w:val="0"/>
        <w:spacing w:line="240" w:lineRule="auto"/>
        <w:ind w:firstLine="0" w:firstLineChars="0"/>
        <w:outlineLvl w:val="3"/>
        <w:rPr>
          <w:rFonts w:hint="eastAsia" w:ascii="仿宋" w:hAnsi="仿宋" w:eastAsia="仿宋" w:cs="仿宋"/>
          <w:b/>
          <w:sz w:val="32"/>
          <w:szCs w:val="32"/>
          <w:highlight w:val="none"/>
        </w:rPr>
      </w:pPr>
      <w:bookmarkStart w:id="44" w:name="_bookmark90"/>
      <w:bookmarkEnd w:id="44"/>
      <w:bookmarkStart w:id="45" w:name="_bookmark91"/>
      <w:bookmarkEnd w:id="45"/>
      <w:r>
        <w:rPr>
          <w:rFonts w:hint="eastAsia" w:ascii="仿宋" w:hAnsi="仿宋" w:eastAsia="仿宋" w:cs="仿宋"/>
          <w:b/>
          <w:sz w:val="32"/>
          <w:szCs w:val="32"/>
          <w:highlight w:val="none"/>
        </w:rPr>
        <w:br w:type="page"/>
      </w:r>
      <w:r>
        <w:rPr>
          <w:rFonts w:hint="eastAsia" w:ascii="仿宋" w:hAnsi="仿宋" w:eastAsia="仿宋" w:cs="仿宋"/>
          <w:b/>
          <w:sz w:val="21"/>
          <w:szCs w:val="21"/>
          <w:highlight w:val="none"/>
        </w:rPr>
        <w:t>附表1-1 商务技术标评审标准</w:t>
      </w:r>
    </w:p>
    <w:p>
      <w:pPr>
        <w:pageBreakBefore w:val="0"/>
        <w:widowControl/>
        <w:kinsoku/>
        <w:overflowPunct/>
        <w:topLinePunct w:val="0"/>
        <w:autoSpaceDE/>
        <w:autoSpaceDN/>
        <w:bidi w:val="0"/>
        <w:adjustRightInd w:val="0"/>
        <w:snapToGrid w:val="0"/>
        <w:spacing w:line="24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商务技术标评审标准</w:t>
      </w:r>
    </w:p>
    <w:tbl>
      <w:tblPr>
        <w:tblStyle w:val="15"/>
        <w:tblW w:w="101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84"/>
        <w:gridCol w:w="7402"/>
        <w:gridCol w:w="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1" w:hRule="atLeast"/>
          <w:tblHeader/>
          <w:jc w:val="center"/>
        </w:trPr>
        <w:tc>
          <w:tcPr>
            <w:tcW w:w="666"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序号</w:t>
            </w:r>
          </w:p>
        </w:tc>
        <w:tc>
          <w:tcPr>
            <w:tcW w:w="1184"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评分因素</w:t>
            </w:r>
          </w:p>
        </w:tc>
        <w:tc>
          <w:tcPr>
            <w:tcW w:w="7402"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评分准则</w:t>
            </w:r>
          </w:p>
        </w:tc>
        <w:tc>
          <w:tcPr>
            <w:tcW w:w="896"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666"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1</w:t>
            </w:r>
          </w:p>
        </w:tc>
        <w:tc>
          <w:tcPr>
            <w:tcW w:w="1184" w:type="dxa"/>
            <w:vMerge w:val="restart"/>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仿宋" w:hAnsi="仿宋" w:eastAsia="仿宋" w:cs="仿宋"/>
                <w:b/>
                <w:bCs w:val="0"/>
                <w:sz w:val="21"/>
                <w:szCs w:val="21"/>
                <w:highlight w:val="none"/>
                <w:lang w:val="en-US" w:eastAsia="zh-CN"/>
              </w:rPr>
            </w:pPr>
            <w:r>
              <w:rPr>
                <w:rStyle w:val="20"/>
                <w:rFonts w:hint="eastAsia" w:ascii="仿宋" w:hAnsi="仿宋" w:eastAsia="仿宋" w:cs="仿宋"/>
                <w:b/>
                <w:bCs w:val="0"/>
                <w:sz w:val="21"/>
                <w:szCs w:val="21"/>
                <w:highlight w:val="none"/>
                <w:lang w:val="en-US" w:eastAsia="zh-CN"/>
              </w:rPr>
              <w:t>事务所基本情况</w:t>
            </w:r>
          </w:p>
        </w:tc>
        <w:tc>
          <w:tcPr>
            <w:tcW w:w="7402" w:type="dxa"/>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40" w:lineRule="auto"/>
              <w:ind w:firstLine="451" w:firstLineChars="215"/>
              <w:jc w:val="lef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机构设立：总部设立于深圳得6分，分支机构设立于深圳得2分。</w:t>
            </w:r>
          </w:p>
          <w:p>
            <w:pPr>
              <w:keepNext w:val="0"/>
              <w:keepLines w:val="0"/>
              <w:pageBreakBefore w:val="0"/>
              <w:widowControl/>
              <w:shd w:val="clear" w:color="auto" w:fill="FFFFFF"/>
              <w:kinsoku/>
              <w:wordWrap/>
              <w:overflowPunct/>
              <w:topLinePunct w:val="0"/>
              <w:autoSpaceDE/>
              <w:autoSpaceDN/>
              <w:bidi w:val="0"/>
              <w:spacing w:line="240" w:lineRule="auto"/>
              <w:ind w:firstLine="32"/>
              <w:jc w:val="left"/>
              <w:textAlignment w:val="auto"/>
              <w:rPr>
                <w:rFonts w:hint="default"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w:t>
            </w:r>
            <w:r>
              <w:rPr>
                <w:rFonts w:hint="default" w:ascii="仿宋" w:hAnsi="仿宋" w:eastAsia="仿宋" w:cs="仿宋"/>
                <w:b w:val="0"/>
                <w:bCs/>
                <w:sz w:val="21"/>
                <w:szCs w:val="21"/>
                <w:highlight w:val="none"/>
                <w:lang w:val="en-US" w:eastAsia="zh-CN"/>
              </w:rPr>
              <w:t>提供</w:t>
            </w:r>
            <w:r>
              <w:rPr>
                <w:rFonts w:hint="eastAsia" w:ascii="仿宋" w:hAnsi="仿宋" w:eastAsia="仿宋" w:cs="仿宋"/>
                <w:b w:val="0"/>
                <w:bCs/>
                <w:sz w:val="21"/>
                <w:szCs w:val="21"/>
                <w:highlight w:val="none"/>
                <w:lang w:val="en-US" w:eastAsia="zh-CN"/>
              </w:rPr>
              <w:t>加盖公章</w:t>
            </w:r>
            <w:r>
              <w:rPr>
                <w:rFonts w:hint="default" w:ascii="仿宋" w:hAnsi="仿宋" w:eastAsia="仿宋" w:cs="仿宋"/>
                <w:b w:val="0"/>
                <w:bCs/>
                <w:sz w:val="21"/>
                <w:szCs w:val="21"/>
                <w:highlight w:val="none"/>
                <w:lang w:val="en-US" w:eastAsia="zh-CN"/>
              </w:rPr>
              <w:t>有效的营业执照</w:t>
            </w:r>
            <w:r>
              <w:rPr>
                <w:rFonts w:hint="eastAsia" w:ascii="仿宋" w:hAnsi="仿宋" w:eastAsia="仿宋" w:cs="仿宋"/>
                <w:b w:val="0"/>
                <w:bCs/>
                <w:sz w:val="21"/>
                <w:szCs w:val="21"/>
                <w:highlight w:val="none"/>
                <w:lang w:val="en-US" w:eastAsia="zh-CN"/>
              </w:rPr>
              <w:t>、自有物业产权证明或</w:t>
            </w:r>
            <w:r>
              <w:rPr>
                <w:rFonts w:hint="default" w:ascii="仿宋" w:hAnsi="仿宋" w:eastAsia="仿宋" w:cs="仿宋"/>
                <w:b w:val="0"/>
                <w:bCs/>
                <w:sz w:val="21"/>
                <w:szCs w:val="21"/>
                <w:highlight w:val="none"/>
                <w:lang w:val="en-US" w:eastAsia="zh-CN"/>
              </w:rPr>
              <w:t>房屋租赁合同扫描件。</w:t>
            </w:r>
            <w:r>
              <w:rPr>
                <w:rFonts w:hint="eastAsia" w:ascii="仿宋" w:hAnsi="仿宋" w:eastAsia="仿宋" w:cs="仿宋"/>
                <w:b w:val="0"/>
                <w:bCs/>
                <w:sz w:val="21"/>
                <w:szCs w:val="21"/>
                <w:highlight w:val="none"/>
                <w:lang w:val="en-US" w:eastAsia="zh-CN"/>
              </w:rPr>
              <w:t>】</w:t>
            </w:r>
          </w:p>
        </w:tc>
        <w:tc>
          <w:tcPr>
            <w:tcW w:w="89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6分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66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1"/>
                <w:szCs w:val="21"/>
                <w:highlight w:val="none"/>
                <w:lang w:val="en-US" w:eastAsia="zh-CN"/>
              </w:rPr>
            </w:pPr>
          </w:p>
        </w:tc>
        <w:tc>
          <w:tcPr>
            <w:tcW w:w="1184" w:type="dxa"/>
            <w:vMerge w:val="continue"/>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仿宋" w:hAnsi="仿宋" w:eastAsia="仿宋" w:cs="仿宋"/>
                <w:b/>
                <w:bCs w:val="0"/>
                <w:sz w:val="21"/>
                <w:szCs w:val="21"/>
                <w:highlight w:val="none"/>
                <w:lang w:val="en-US" w:eastAsia="zh-CN"/>
              </w:rPr>
            </w:pPr>
          </w:p>
        </w:tc>
        <w:tc>
          <w:tcPr>
            <w:tcW w:w="7402" w:type="dxa"/>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40" w:lineRule="auto"/>
              <w:ind w:firstLine="451" w:firstLineChars="215"/>
              <w:jc w:val="left"/>
              <w:textAlignment w:val="auto"/>
              <w:rPr>
                <w:rFonts w:hint="default" w:ascii="仿宋" w:hAnsi="仿宋" w:eastAsia="仿宋" w:cs="仿宋"/>
                <w:b w:val="0"/>
                <w:bCs/>
                <w:szCs w:val="21"/>
                <w:highlight w:val="none"/>
                <w:lang w:val="en-US" w:eastAsia="zh-CN"/>
              </w:rPr>
            </w:pPr>
            <w:r>
              <w:rPr>
                <w:rFonts w:hint="eastAsia" w:ascii="仿宋" w:hAnsi="仿宋" w:eastAsia="仿宋" w:cs="仿宋"/>
                <w:b w:val="0"/>
                <w:bCs/>
                <w:szCs w:val="21"/>
                <w:highlight w:val="none"/>
                <w:lang w:val="en-US" w:eastAsia="zh-CN"/>
              </w:rPr>
              <w:t>提供律所近三年的营业收入与注册资金比值，比值最高的得6分，次低的扣2分，以此类推。</w:t>
            </w:r>
          </w:p>
          <w:p>
            <w:pPr>
              <w:keepNext w:val="0"/>
              <w:keepLines w:val="0"/>
              <w:widowControl/>
              <w:shd w:val="clear" w:color="auto" w:fill="FFFFFF"/>
              <w:spacing w:line="240" w:lineRule="auto"/>
              <w:ind w:firstLine="0" w:firstLineChars="0"/>
              <w:jc w:val="left"/>
              <w:rPr>
                <w:rFonts w:hint="eastAsia" w:ascii="仿宋" w:hAnsi="仿宋" w:eastAsia="仿宋" w:cs="仿宋"/>
                <w:b w:val="0"/>
                <w:bCs/>
                <w:szCs w:val="21"/>
                <w:highlight w:val="none"/>
                <w:lang w:val="en-US" w:eastAsia="zh-CN"/>
              </w:rPr>
            </w:pPr>
            <w:r>
              <w:rPr>
                <w:rFonts w:hint="eastAsia" w:ascii="仿宋" w:hAnsi="仿宋" w:eastAsia="仿宋" w:cs="仿宋"/>
                <w:b w:val="0"/>
                <w:bCs/>
                <w:szCs w:val="21"/>
                <w:highlight w:val="none"/>
                <w:lang w:val="en-US" w:eastAsia="zh-CN"/>
              </w:rPr>
              <w:t>【提供加盖公章的律所财务报表，可遮盖其他信息。深圳本地设分支机构的，以分支机构营收评分，总部营收不纳入评分】</w:t>
            </w:r>
          </w:p>
        </w:tc>
        <w:tc>
          <w:tcPr>
            <w:tcW w:w="89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6分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66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1"/>
                <w:szCs w:val="21"/>
                <w:highlight w:val="none"/>
              </w:rPr>
            </w:pPr>
          </w:p>
        </w:tc>
        <w:tc>
          <w:tcPr>
            <w:tcW w:w="1184" w:type="dxa"/>
            <w:vMerge w:val="continue"/>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仿宋" w:hAnsi="仿宋" w:eastAsia="仿宋" w:cs="仿宋"/>
                <w:b/>
                <w:bCs w:val="0"/>
                <w:sz w:val="21"/>
                <w:szCs w:val="21"/>
                <w:highlight w:val="none"/>
                <w:lang w:val="en-US" w:eastAsia="zh-CN"/>
              </w:rPr>
            </w:pPr>
          </w:p>
        </w:tc>
        <w:tc>
          <w:tcPr>
            <w:tcW w:w="7402" w:type="dxa"/>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40" w:lineRule="auto"/>
              <w:ind w:firstLine="451" w:firstLineChars="215"/>
              <w:jc w:val="left"/>
              <w:textAlignment w:val="auto"/>
              <w:rPr>
                <w:rFonts w:hint="eastAsia" w:ascii="仿宋" w:hAnsi="仿宋" w:eastAsia="仿宋" w:cs="仿宋"/>
                <w:b w:val="0"/>
                <w:bCs/>
                <w:szCs w:val="21"/>
                <w:highlight w:val="none"/>
                <w:lang w:val="en-US" w:eastAsia="zh-CN"/>
              </w:rPr>
            </w:pPr>
            <w:r>
              <w:rPr>
                <w:rFonts w:hint="eastAsia" w:ascii="仿宋" w:hAnsi="仿宋" w:eastAsia="仿宋" w:cs="仿宋"/>
                <w:b w:val="0"/>
                <w:bCs/>
                <w:szCs w:val="21"/>
                <w:highlight w:val="none"/>
                <w:lang w:val="en-US" w:eastAsia="zh-CN"/>
              </w:rPr>
              <w:t>专业律师数量：70人以上得6分，60人以上得4分，50人以上得2分，40人以上得1分，40人以下不得分。</w:t>
            </w:r>
          </w:p>
          <w:p>
            <w:pPr>
              <w:keepNext w:val="0"/>
              <w:keepLines w:val="0"/>
              <w:widowControl/>
              <w:shd w:val="clear" w:color="auto" w:fill="FFFFFF"/>
              <w:spacing w:line="240" w:lineRule="auto"/>
              <w:ind w:firstLine="0" w:firstLineChars="0"/>
              <w:jc w:val="left"/>
              <w:rPr>
                <w:rFonts w:hint="eastAsia" w:ascii="仿宋" w:hAnsi="仿宋" w:eastAsia="仿宋" w:cs="仿宋"/>
                <w:b w:val="0"/>
                <w:bCs/>
                <w:szCs w:val="21"/>
                <w:highlight w:val="none"/>
                <w:lang w:val="en-US" w:eastAsia="zh-CN"/>
              </w:rPr>
            </w:pPr>
            <w:r>
              <w:rPr>
                <w:rFonts w:hint="eastAsia" w:ascii="仿宋" w:hAnsi="仿宋" w:eastAsia="仿宋" w:cs="仿宋"/>
                <w:b w:val="0"/>
                <w:bCs/>
                <w:szCs w:val="21"/>
                <w:highlight w:val="none"/>
                <w:lang w:val="en-US" w:eastAsia="zh-CN"/>
              </w:rPr>
              <w:t>【提供投标人在</w:t>
            </w:r>
            <w:r>
              <w:rPr>
                <w:rFonts w:hint="eastAsia" w:ascii="仿宋" w:hAnsi="仿宋" w:eastAsia="仿宋" w:cs="仿宋"/>
                <w:b w:val="0"/>
                <w:bCs/>
                <w:szCs w:val="21"/>
                <w:highlight w:val="none"/>
                <w:lang w:val="en-US" w:eastAsia="zh-CN"/>
              </w:rPr>
              <w:fldChar w:fldCharType="begin"/>
            </w:r>
            <w:r>
              <w:rPr>
                <w:rFonts w:hint="eastAsia" w:ascii="仿宋" w:hAnsi="仿宋" w:eastAsia="仿宋" w:cs="仿宋"/>
                <w:b w:val="0"/>
                <w:bCs/>
                <w:szCs w:val="21"/>
                <w:highlight w:val="none"/>
                <w:lang w:val="en-US" w:eastAsia="zh-CN"/>
              </w:rPr>
              <w:instrText xml:space="preserve"> HYPERLINK "http://szlawyer.lsxh.homolo.net/" \t "https://cn.bing.com/_blank" </w:instrText>
            </w:r>
            <w:r>
              <w:rPr>
                <w:rFonts w:hint="eastAsia" w:ascii="仿宋" w:hAnsi="仿宋" w:eastAsia="仿宋" w:cs="仿宋"/>
                <w:b w:val="0"/>
                <w:bCs/>
                <w:szCs w:val="21"/>
                <w:highlight w:val="none"/>
                <w:lang w:val="en-US" w:eastAsia="zh-CN"/>
              </w:rPr>
              <w:fldChar w:fldCharType="separate"/>
            </w:r>
            <w:r>
              <w:rPr>
                <w:rFonts w:hint="eastAsia" w:ascii="仿宋" w:hAnsi="仿宋" w:eastAsia="仿宋" w:cs="仿宋"/>
                <w:b w:val="0"/>
                <w:bCs/>
                <w:szCs w:val="21"/>
                <w:highlight w:val="none"/>
                <w:lang w:val="en-US" w:eastAsia="zh-CN"/>
              </w:rPr>
              <w:t>深圳市律师协会官方网站</w:t>
            </w:r>
            <w:r>
              <w:rPr>
                <w:rFonts w:hint="eastAsia" w:ascii="仿宋" w:hAnsi="仿宋" w:eastAsia="仿宋" w:cs="仿宋"/>
                <w:b w:val="0"/>
                <w:bCs/>
                <w:szCs w:val="21"/>
                <w:highlight w:val="none"/>
                <w:lang w:val="en-US" w:eastAsia="zh-CN"/>
              </w:rPr>
              <w:fldChar w:fldCharType="end"/>
            </w:r>
            <w:r>
              <w:rPr>
                <w:rFonts w:hint="eastAsia" w:ascii="仿宋" w:hAnsi="仿宋" w:eastAsia="仿宋" w:cs="仿宋"/>
                <w:b w:val="0"/>
                <w:bCs/>
                <w:szCs w:val="21"/>
                <w:highlight w:val="none"/>
                <w:lang w:val="en-US" w:eastAsia="zh-CN"/>
              </w:rPr>
              <w:t>的律师名录律师事务所信息页并加盖公章。】</w:t>
            </w:r>
          </w:p>
        </w:tc>
        <w:tc>
          <w:tcPr>
            <w:tcW w:w="89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6分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11" w:hRule="atLeast"/>
          <w:jc w:val="center"/>
        </w:trPr>
        <w:tc>
          <w:tcPr>
            <w:tcW w:w="66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2</w:t>
            </w:r>
          </w:p>
        </w:tc>
        <w:tc>
          <w:tcPr>
            <w:tcW w:w="1184" w:type="dxa"/>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仿宋" w:hAnsi="仿宋" w:eastAsia="仿宋" w:cs="仿宋"/>
                <w:b/>
                <w:bCs w:val="0"/>
                <w:sz w:val="21"/>
                <w:szCs w:val="21"/>
                <w:highlight w:val="none"/>
              </w:rPr>
            </w:pPr>
            <w:r>
              <w:rPr>
                <w:rFonts w:hint="eastAsia" w:ascii="仿宋" w:hAnsi="仿宋" w:eastAsia="仿宋" w:cs="仿宋"/>
                <w:b/>
                <w:bCs w:val="0"/>
                <w:sz w:val="21"/>
                <w:szCs w:val="21"/>
                <w:highlight w:val="none"/>
                <w:lang w:val="en-US" w:eastAsia="zh-CN"/>
              </w:rPr>
              <w:t>投标人或拟派顾问律师荣誉情况</w:t>
            </w:r>
          </w:p>
        </w:tc>
        <w:tc>
          <w:tcPr>
            <w:tcW w:w="7402" w:type="dxa"/>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lang w:val="en-US" w:eastAsia="zh-CN"/>
              </w:rPr>
            </w:pPr>
            <w:r>
              <w:rPr>
                <w:rFonts w:hint="eastAsia" w:ascii="仿宋" w:hAnsi="仿宋" w:eastAsia="仿宋" w:cs="仿宋"/>
                <w:lang w:val="en-US" w:eastAsia="zh-CN"/>
              </w:rPr>
              <w:t>获省级以上司法部门或者省级律师协会授予称号或奖项得得4分；获市级司法部门或市级律师协会授予称号或奖项得2分；不同奖项可累计，同一奖项不同年度多次得奖不累计得分，最高不超过8分。</w:t>
            </w:r>
          </w:p>
          <w:p>
            <w:pPr>
              <w:ind w:firstLine="0" w:firstLineChars="0"/>
              <w:rPr>
                <w:rFonts w:hint="eastAsia" w:ascii="仿宋" w:hAnsi="仿宋" w:eastAsia="仿宋" w:cs="仿宋"/>
                <w:lang w:val="en-US" w:eastAsia="zh-CN"/>
              </w:rPr>
            </w:pPr>
            <w:r>
              <w:rPr>
                <w:rFonts w:hint="eastAsia" w:ascii="仿宋" w:hAnsi="仿宋" w:eastAsia="仿宋" w:cs="仿宋"/>
                <w:bCs/>
                <w:color w:val="auto"/>
                <w:szCs w:val="21"/>
                <w:highlight w:val="none"/>
                <w:lang w:val="en-US" w:eastAsia="zh-CN"/>
              </w:rPr>
              <w:t>【提供</w:t>
            </w:r>
            <w:r>
              <w:rPr>
                <w:rFonts w:hint="eastAsia" w:ascii="仿宋" w:hAnsi="仿宋" w:eastAsia="仿宋" w:cs="仿宋"/>
                <w:b w:val="0"/>
                <w:bCs/>
                <w:color w:val="auto"/>
                <w:szCs w:val="21"/>
                <w:highlight w:val="none"/>
                <w:lang w:val="en-US" w:eastAsia="zh-CN"/>
              </w:rPr>
              <w:t>加盖公章的有效权威网站证明信息及荣誉证书复印件。】</w:t>
            </w:r>
          </w:p>
        </w:tc>
        <w:tc>
          <w:tcPr>
            <w:tcW w:w="89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lang w:val="en-US" w:eastAsia="zh-CN"/>
              </w:rPr>
              <w:t>8</w:t>
            </w:r>
            <w:r>
              <w:rPr>
                <w:rFonts w:hint="eastAsia" w:ascii="仿宋" w:hAnsi="仿宋" w:eastAsia="仿宋" w:cs="仿宋"/>
                <w:bCs/>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66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3</w:t>
            </w:r>
          </w:p>
        </w:tc>
        <w:tc>
          <w:tcPr>
            <w:tcW w:w="1184" w:type="dxa"/>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仿宋" w:hAnsi="仿宋" w:eastAsia="仿宋" w:cs="仿宋"/>
                <w:b/>
                <w:bCs w:val="0"/>
                <w:sz w:val="21"/>
                <w:szCs w:val="21"/>
                <w:highlight w:val="none"/>
                <w:lang w:val="en-US" w:eastAsia="zh-CN"/>
              </w:rPr>
            </w:pPr>
            <w:r>
              <w:rPr>
                <w:rStyle w:val="20"/>
                <w:rFonts w:hint="eastAsia" w:ascii="仿宋" w:hAnsi="仿宋" w:eastAsia="仿宋" w:cs="仿宋"/>
                <w:b/>
                <w:bCs w:val="0"/>
                <w:sz w:val="21"/>
                <w:szCs w:val="21"/>
                <w:highlight w:val="none"/>
                <w:lang w:val="en-US" w:eastAsia="zh-CN"/>
              </w:rPr>
              <w:t>业绩证明</w:t>
            </w:r>
          </w:p>
        </w:tc>
        <w:tc>
          <w:tcPr>
            <w:tcW w:w="740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提供在深圳近三年以来完成的常年法律顾问服务项目</w:t>
            </w:r>
            <w:r>
              <w:rPr>
                <w:rFonts w:hint="eastAsia" w:ascii="仿宋" w:hAnsi="仿宋" w:eastAsia="仿宋" w:cs="仿宋"/>
                <w:color w:val="auto"/>
                <w:lang w:val="en-US" w:eastAsia="zh-CN"/>
              </w:rPr>
              <w:t>的</w:t>
            </w:r>
            <w:r>
              <w:rPr>
                <w:rFonts w:hint="eastAsia" w:ascii="仿宋" w:hAnsi="仿宋" w:eastAsia="仿宋" w:cs="仿宋"/>
                <w:bCs/>
                <w:color w:val="auto"/>
                <w:sz w:val="21"/>
                <w:szCs w:val="21"/>
                <w:highlight w:val="none"/>
                <w:lang w:val="en-US" w:eastAsia="zh-CN"/>
              </w:rPr>
              <w:t>业绩证明每份加2分，与招标人所在行业企业服务项目业绩的额外加0.5分。【投标人为分支机构，总部业绩不纳入评审】</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仿宋" w:hAnsi="仿宋" w:eastAsia="仿宋" w:cs="仿宋"/>
                <w:bCs/>
                <w:sz w:val="21"/>
                <w:szCs w:val="21"/>
                <w:highlight w:val="none"/>
                <w:lang w:val="en-US" w:eastAsia="zh-CN"/>
              </w:rPr>
            </w:pPr>
            <w:r>
              <w:rPr>
                <w:rFonts w:hint="eastAsia" w:ascii="仿宋" w:hAnsi="仿宋" w:eastAsia="仿宋" w:cs="仿宋"/>
                <w:bCs/>
                <w:color w:val="auto"/>
                <w:sz w:val="21"/>
                <w:szCs w:val="21"/>
                <w:highlight w:val="none"/>
                <w:lang w:val="en-US" w:eastAsia="zh-CN"/>
              </w:rPr>
              <w:t>【提供加盖公章的业绩合同关键页（项目名称、服务范围及内容、签订日期、双方盖章页）扫描件。】</w:t>
            </w:r>
          </w:p>
        </w:tc>
        <w:tc>
          <w:tcPr>
            <w:tcW w:w="89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20分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66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4</w:t>
            </w:r>
          </w:p>
        </w:tc>
        <w:tc>
          <w:tcPr>
            <w:tcW w:w="1184" w:type="dxa"/>
            <w:vMerge w:val="restart"/>
            <w:tcBorders>
              <w:tl2br w:val="nil"/>
              <w:tr2bl w:val="nil"/>
            </w:tcBorders>
            <w:vAlign w:val="center"/>
          </w:tcPr>
          <w:p>
            <w:pPr>
              <w:keepNext w:val="0"/>
              <w:keepLines w:val="0"/>
              <w:snapToGrid w:val="0"/>
              <w:spacing w:line="240" w:lineRule="auto"/>
              <w:jc w:val="center"/>
              <w:rPr>
                <w:rFonts w:hint="eastAsia" w:ascii="仿宋" w:hAnsi="仿宋" w:eastAsia="仿宋" w:cs="仿宋"/>
                <w:lang w:val="en-US" w:eastAsia="zh-CN"/>
              </w:rPr>
            </w:pPr>
            <w:r>
              <w:rPr>
                <w:rFonts w:hint="eastAsia" w:ascii="仿宋" w:hAnsi="仿宋" w:eastAsia="仿宋" w:cs="仿宋"/>
                <w:b/>
                <w:bCs/>
                <w:lang w:val="en-US" w:eastAsia="zh-CN"/>
              </w:rPr>
              <w:t>拟派顾问律师专业能力情况</w:t>
            </w:r>
          </w:p>
        </w:tc>
        <w:tc>
          <w:tcPr>
            <w:tcW w:w="740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拟派顾问律师为律所合伙人的，得10分；为高级律师的，得5分，高级律师以下不得分；</w:t>
            </w:r>
          </w:p>
          <w:p>
            <w:pPr>
              <w:keepNext w:val="0"/>
              <w:keepLines w:val="0"/>
              <w:widowControl/>
              <w:spacing w:line="240" w:lineRule="auto"/>
              <w:ind w:firstLine="0" w:firstLineChars="0"/>
              <w:jc w:val="left"/>
              <w:rPr>
                <w:rFonts w:hint="eastAsia" w:ascii="仿宋" w:hAnsi="仿宋" w:eastAsia="仿宋" w:cs="仿宋"/>
                <w:lang w:val="en-US" w:eastAsia="zh-CN"/>
              </w:rPr>
            </w:pPr>
            <w:r>
              <w:rPr>
                <w:rFonts w:hint="eastAsia" w:ascii="仿宋" w:hAnsi="仿宋" w:eastAsia="仿宋" w:cs="仿宋"/>
                <w:lang w:val="en-US" w:eastAsia="zh-CN"/>
              </w:rPr>
              <w:t>【提供投标人在</w:t>
            </w:r>
            <w:r>
              <w:rPr>
                <w:rFonts w:hint="eastAsia" w:ascii="仿宋" w:hAnsi="仿宋" w:eastAsia="仿宋" w:cs="仿宋"/>
                <w:lang w:val="en-US" w:eastAsia="zh-CN"/>
              </w:rPr>
              <w:fldChar w:fldCharType="begin"/>
            </w:r>
            <w:r>
              <w:rPr>
                <w:rFonts w:hint="eastAsia" w:ascii="仿宋" w:hAnsi="仿宋" w:eastAsia="仿宋" w:cs="仿宋"/>
                <w:lang w:val="en-US" w:eastAsia="zh-CN"/>
              </w:rPr>
              <w:instrText xml:space="preserve"> HYPERLINK "http://szlawyer.lsxh.homolo.net/" \t "https://cn.bing.com/_blank" </w:instrText>
            </w:r>
            <w:r>
              <w:rPr>
                <w:rFonts w:hint="eastAsia" w:ascii="仿宋" w:hAnsi="仿宋" w:eastAsia="仿宋" w:cs="仿宋"/>
                <w:lang w:val="en-US" w:eastAsia="zh-CN"/>
              </w:rPr>
              <w:fldChar w:fldCharType="separate"/>
            </w:r>
            <w:r>
              <w:rPr>
                <w:rFonts w:hint="eastAsia" w:ascii="仿宋" w:hAnsi="仿宋" w:eastAsia="仿宋" w:cs="仿宋"/>
                <w:lang w:val="en-US" w:eastAsia="zh-CN"/>
              </w:rPr>
              <w:t>深圳市律师协会官方网站</w:t>
            </w:r>
            <w:r>
              <w:rPr>
                <w:rFonts w:hint="eastAsia" w:ascii="仿宋" w:hAnsi="仿宋" w:eastAsia="仿宋" w:cs="仿宋"/>
                <w:lang w:val="en-US" w:eastAsia="zh-CN"/>
              </w:rPr>
              <w:fldChar w:fldCharType="end"/>
            </w:r>
            <w:r>
              <w:rPr>
                <w:rFonts w:hint="eastAsia" w:ascii="仿宋" w:hAnsi="仿宋" w:eastAsia="仿宋" w:cs="仿宋"/>
                <w:lang w:val="en-US" w:eastAsia="zh-CN"/>
              </w:rPr>
              <w:t>的律师名录律师事务所信息页并加盖公章。】</w:t>
            </w:r>
          </w:p>
        </w:tc>
        <w:tc>
          <w:tcPr>
            <w:tcW w:w="89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10</w:t>
            </w:r>
            <w:r>
              <w:rPr>
                <w:rFonts w:hint="eastAsia" w:ascii="仿宋" w:hAnsi="仿宋" w:eastAsia="仿宋" w:cs="仿宋"/>
                <w:bCs/>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66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5</w:t>
            </w:r>
          </w:p>
        </w:tc>
        <w:tc>
          <w:tcPr>
            <w:tcW w:w="1184" w:type="dxa"/>
            <w:vMerge w:val="continue"/>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仿宋" w:hAnsi="仿宋" w:eastAsia="仿宋" w:cs="仿宋"/>
                <w:b/>
                <w:bCs w:val="0"/>
                <w:sz w:val="21"/>
                <w:szCs w:val="21"/>
                <w:highlight w:val="none"/>
                <w:lang w:val="en-US" w:eastAsia="zh-CN"/>
              </w:rPr>
            </w:pPr>
          </w:p>
        </w:tc>
        <w:tc>
          <w:tcPr>
            <w:tcW w:w="740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提供拟派顾问律师近三年以来代理企业办理胜诉案件及非诉服务案例（诉讼及非诉服务案例提供比例3:1），每提供1例加3分。每案件代理企业为国有企业的，额外加1分；每案件代理企业为人力资源服务企业的，额外加0.5分，不满足以上条件不加分。最高得分不超过20分。</w:t>
            </w:r>
          </w:p>
          <w:p>
            <w:pPr>
              <w:keepNext w:val="0"/>
              <w:keepLines w:val="0"/>
              <w:widowControl/>
              <w:spacing w:line="240" w:lineRule="auto"/>
              <w:ind w:firstLine="0" w:firstLineChars="0"/>
              <w:jc w:val="left"/>
              <w:rPr>
                <w:rFonts w:hint="default" w:ascii="仿宋" w:hAnsi="仿宋" w:eastAsia="仿宋" w:cs="仿宋"/>
                <w:bCs/>
                <w:color w:val="0000FF"/>
                <w:szCs w:val="21"/>
                <w:highlight w:val="none"/>
                <w:lang w:val="en-US" w:eastAsia="zh-CN"/>
              </w:rPr>
            </w:pPr>
            <w:r>
              <w:rPr>
                <w:rFonts w:hint="eastAsia" w:ascii="仿宋" w:hAnsi="仿宋" w:eastAsia="仿宋" w:cs="仿宋"/>
                <w:bCs/>
                <w:color w:val="auto"/>
                <w:szCs w:val="21"/>
                <w:highlight w:val="none"/>
                <w:lang w:val="en-US" w:eastAsia="zh-CN"/>
              </w:rPr>
              <w:t>【诉讼案件提供可在中国裁判文书网查证的案件号或有效的胜诉案件判决书关键页，非诉讼案件提供有效的项目纠纷调解协议书，并加盖公章。】</w:t>
            </w:r>
          </w:p>
        </w:tc>
        <w:tc>
          <w:tcPr>
            <w:tcW w:w="89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20分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66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6</w:t>
            </w:r>
          </w:p>
        </w:tc>
        <w:tc>
          <w:tcPr>
            <w:tcW w:w="1184" w:type="dxa"/>
            <w:vMerge w:val="continue"/>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仿宋" w:hAnsi="仿宋" w:eastAsia="仿宋" w:cs="仿宋"/>
                <w:b/>
                <w:bCs w:val="0"/>
                <w:sz w:val="21"/>
                <w:szCs w:val="21"/>
                <w:highlight w:val="none"/>
                <w:lang w:val="en-US" w:eastAsia="zh-CN"/>
              </w:rPr>
            </w:pPr>
          </w:p>
        </w:tc>
        <w:tc>
          <w:tcPr>
            <w:tcW w:w="740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拟派顾问律师担任以下职务或获得以下资质的：仲裁员得8分，劳动人事争议调解员得5分，其他同类型资质得2分。最高得分不超过10分。</w:t>
            </w:r>
          </w:p>
          <w:p>
            <w:pPr>
              <w:keepNext w:val="0"/>
              <w:keepLines w:val="0"/>
              <w:widowControl/>
              <w:spacing w:line="240" w:lineRule="auto"/>
              <w:ind w:firstLine="0" w:firstLineChars="0"/>
              <w:jc w:val="left"/>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【提供</w:t>
            </w:r>
            <w:r>
              <w:rPr>
                <w:rFonts w:hint="eastAsia" w:ascii="仿宋" w:hAnsi="仿宋" w:eastAsia="仿宋" w:cs="仿宋"/>
                <w:b w:val="0"/>
                <w:bCs/>
                <w:color w:val="auto"/>
                <w:szCs w:val="21"/>
                <w:highlight w:val="none"/>
                <w:lang w:val="en-US" w:eastAsia="zh-CN"/>
              </w:rPr>
              <w:t>加盖公章的有效权威网站证明信息及资格证明原件复印件。】</w:t>
            </w:r>
          </w:p>
        </w:tc>
        <w:tc>
          <w:tcPr>
            <w:tcW w:w="89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66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7</w:t>
            </w:r>
          </w:p>
        </w:tc>
        <w:tc>
          <w:tcPr>
            <w:tcW w:w="1184" w:type="dxa"/>
            <w:vMerge w:val="continue"/>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仿宋" w:hAnsi="仿宋" w:eastAsia="仿宋" w:cs="仿宋"/>
                <w:b/>
                <w:bCs w:val="0"/>
                <w:color w:val="0000FF"/>
                <w:sz w:val="21"/>
                <w:szCs w:val="21"/>
                <w:highlight w:val="green"/>
                <w:lang w:val="en-US" w:eastAsia="zh-CN"/>
              </w:rPr>
            </w:pPr>
          </w:p>
        </w:tc>
        <w:tc>
          <w:tcPr>
            <w:tcW w:w="7402" w:type="dxa"/>
            <w:tcBorders>
              <w:tl2br w:val="nil"/>
              <w:tr2bl w:val="nil"/>
            </w:tcBorders>
            <w:vAlign w:val="center"/>
          </w:tcPr>
          <w:p>
            <w:pPr>
              <w:keepNext w:val="0"/>
              <w:keepLines w:val="0"/>
              <w:widowControl/>
              <w:spacing w:line="240" w:lineRule="auto"/>
              <w:ind w:firstLine="420" w:firstLineChars="200"/>
              <w:jc w:val="left"/>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拟派顾问律师在深圳市律师协会任职的得4分；如无，则不加分。</w:t>
            </w:r>
          </w:p>
          <w:p>
            <w:pPr>
              <w:keepNext w:val="0"/>
              <w:keepLines w:val="0"/>
              <w:widowControl/>
              <w:spacing w:line="240" w:lineRule="auto"/>
              <w:ind w:firstLine="0" w:firstLineChars="0"/>
              <w:jc w:val="left"/>
              <w:rPr>
                <w:rFonts w:hint="default" w:ascii="仿宋" w:hAnsi="仿宋" w:eastAsia="仿宋" w:cs="仿宋"/>
                <w:bCs/>
                <w:color w:val="0000FF"/>
                <w:szCs w:val="21"/>
                <w:highlight w:val="none"/>
                <w:lang w:val="en-US" w:eastAsia="zh-CN"/>
              </w:rPr>
            </w:pPr>
            <w:r>
              <w:rPr>
                <w:rFonts w:hint="eastAsia" w:ascii="仿宋" w:hAnsi="仿宋" w:eastAsia="仿宋" w:cs="仿宋"/>
                <w:bCs/>
                <w:color w:val="auto"/>
                <w:szCs w:val="21"/>
                <w:highlight w:val="none"/>
                <w:lang w:val="en-US" w:eastAsia="zh-CN"/>
              </w:rPr>
              <w:t>【提供有效的任职情况证明信息并加盖公章。】</w:t>
            </w:r>
          </w:p>
        </w:tc>
        <w:tc>
          <w:tcPr>
            <w:tcW w:w="89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sz w:val="21"/>
                <w:szCs w:val="21"/>
                <w:highlight w:val="green"/>
                <w:lang w:val="en-US" w:eastAsia="zh-CN"/>
              </w:rPr>
            </w:pPr>
            <w:r>
              <w:rPr>
                <w:rFonts w:hint="eastAsia" w:ascii="仿宋" w:hAnsi="仿宋" w:eastAsia="仿宋" w:cs="仿宋"/>
                <w:bCs/>
                <w:color w:val="auto"/>
                <w:sz w:val="21"/>
                <w:szCs w:val="21"/>
                <w:highlight w:val="none"/>
                <w:lang w:val="en-US" w:eastAsia="zh-CN"/>
              </w:rPr>
              <w:t>4分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66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8</w:t>
            </w:r>
          </w:p>
        </w:tc>
        <w:tc>
          <w:tcPr>
            <w:tcW w:w="1184" w:type="dxa"/>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Style w:val="20"/>
                <w:rFonts w:hint="default" w:ascii="仿宋" w:hAnsi="仿宋" w:eastAsia="仿宋" w:cs="仿宋"/>
                <w:b/>
                <w:bCs w:val="0"/>
                <w:color w:val="auto"/>
                <w:sz w:val="21"/>
                <w:szCs w:val="21"/>
                <w:highlight w:val="green"/>
                <w:lang w:val="en-US" w:eastAsia="zh-CN"/>
              </w:rPr>
            </w:pPr>
            <w:r>
              <w:rPr>
                <w:rStyle w:val="20"/>
                <w:rFonts w:hint="eastAsia" w:ascii="仿宋" w:hAnsi="仿宋" w:eastAsia="仿宋" w:cs="仿宋"/>
                <w:b/>
                <w:bCs w:val="0"/>
                <w:color w:val="auto"/>
                <w:sz w:val="21"/>
                <w:szCs w:val="21"/>
                <w:highlight w:val="none"/>
                <w:lang w:val="en-US" w:eastAsia="zh-CN"/>
              </w:rPr>
              <w:t>团队支持及随附增值 服务</w:t>
            </w:r>
          </w:p>
        </w:tc>
        <w:tc>
          <w:tcPr>
            <w:tcW w:w="740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根据投标人填制得《合同条款响应偏离表》实施打分，具体如下：</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1.对合同文件所有内容无偏离，此项得5分；</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2.除招标人所示服务要求外，服务方案中每提出一项正偏离（额外增值服务）的加2分，总分不超过10分。</w:t>
            </w:r>
          </w:p>
          <w:p>
            <w:pPr>
              <w:keepNext w:val="0"/>
              <w:keepLines w:val="0"/>
              <w:widowControl/>
              <w:spacing w:line="240" w:lineRule="auto"/>
              <w:ind w:firstLine="420" w:firstLineChars="200"/>
              <w:jc w:val="left"/>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3.每出现1项负偏离扣2分，合计出现3项及以上偏离，此项不得分。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仿宋" w:hAnsi="仿宋" w:eastAsia="仿宋" w:cs="仿宋"/>
                <w:bCs/>
                <w:sz w:val="21"/>
                <w:szCs w:val="21"/>
                <w:highlight w:val="green"/>
                <w:lang w:val="en-US" w:eastAsia="zh-CN"/>
              </w:rPr>
            </w:pPr>
            <w:r>
              <w:rPr>
                <w:rFonts w:hint="eastAsia" w:ascii="仿宋" w:hAnsi="仿宋" w:eastAsia="仿宋" w:cs="仿宋"/>
                <w:bCs/>
                <w:sz w:val="21"/>
                <w:szCs w:val="21"/>
                <w:lang w:eastAsia="zh-CN"/>
              </w:rPr>
              <w:t>【</w:t>
            </w:r>
            <w:r>
              <w:rPr>
                <w:rFonts w:hint="eastAsia" w:ascii="仿宋" w:hAnsi="仿宋" w:eastAsia="仿宋" w:cs="仿宋"/>
                <w:bCs/>
                <w:sz w:val="21"/>
                <w:szCs w:val="21"/>
              </w:rPr>
              <w:t>根据投标人</w:t>
            </w:r>
            <w:r>
              <w:rPr>
                <w:rFonts w:hint="eastAsia" w:ascii="仿宋" w:hAnsi="仿宋" w:eastAsia="仿宋" w:cs="仿宋"/>
                <w:bCs/>
                <w:sz w:val="21"/>
                <w:szCs w:val="21"/>
                <w:lang w:val="en-US" w:eastAsia="zh-CN"/>
              </w:rPr>
              <w:t>填制加盖公章</w:t>
            </w:r>
            <w:r>
              <w:rPr>
                <w:rFonts w:hint="eastAsia" w:ascii="仿宋" w:hAnsi="仿宋" w:eastAsia="仿宋" w:cs="仿宋"/>
                <w:bCs/>
                <w:sz w:val="21"/>
                <w:szCs w:val="21"/>
              </w:rPr>
              <w:t>的《</w:t>
            </w:r>
            <w:r>
              <w:rPr>
                <w:rFonts w:hint="eastAsia" w:ascii="仿宋" w:hAnsi="仿宋" w:eastAsia="仿宋" w:cs="仿宋"/>
                <w:bCs/>
                <w:sz w:val="21"/>
                <w:szCs w:val="21"/>
                <w:lang w:val="en-US" w:eastAsia="zh-CN"/>
              </w:rPr>
              <w:t>合同条款</w:t>
            </w:r>
            <w:r>
              <w:rPr>
                <w:rFonts w:hint="eastAsia" w:ascii="仿宋" w:hAnsi="仿宋" w:eastAsia="仿宋" w:cs="仿宋"/>
                <w:bCs/>
                <w:sz w:val="21"/>
                <w:szCs w:val="21"/>
              </w:rPr>
              <w:t>响应偏离表》实施打分</w:t>
            </w:r>
            <w:r>
              <w:rPr>
                <w:rFonts w:hint="eastAsia" w:ascii="仿宋" w:hAnsi="仿宋" w:eastAsia="仿宋" w:cs="仿宋"/>
                <w:bCs/>
                <w:sz w:val="21"/>
                <w:szCs w:val="21"/>
                <w:lang w:eastAsia="zh-CN"/>
              </w:rPr>
              <w:t>。】</w:t>
            </w:r>
          </w:p>
        </w:tc>
        <w:tc>
          <w:tcPr>
            <w:tcW w:w="89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sz w:val="21"/>
                <w:szCs w:val="21"/>
                <w:highlight w:val="green"/>
                <w:lang w:val="en-US" w:eastAsia="zh-CN"/>
              </w:rPr>
            </w:pPr>
            <w:r>
              <w:rPr>
                <w:rFonts w:hint="eastAsia" w:ascii="仿宋" w:hAnsi="仿宋" w:eastAsia="仿宋" w:cs="仿宋"/>
                <w:bCs/>
                <w:sz w:val="21"/>
                <w:szCs w:val="21"/>
                <w:highlight w:val="none"/>
                <w:lang w:val="en-US" w:eastAsia="zh-CN"/>
              </w:rPr>
              <w:t>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9252" w:type="dxa"/>
            <w:gridSpan w:val="3"/>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合计</w:t>
            </w:r>
          </w:p>
        </w:tc>
        <w:tc>
          <w:tcPr>
            <w:tcW w:w="89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lang w:val="en-US" w:eastAsia="zh-CN"/>
              </w:rPr>
              <w:t>100</w:t>
            </w:r>
            <w:r>
              <w:rPr>
                <w:rFonts w:hint="eastAsia" w:ascii="仿宋" w:hAnsi="仿宋" w:eastAsia="仿宋" w:cs="仿宋"/>
                <w:b/>
                <w:sz w:val="21"/>
                <w:szCs w:val="21"/>
                <w:highlight w:val="none"/>
              </w:rPr>
              <w:t>分</w:t>
            </w:r>
          </w:p>
        </w:tc>
      </w:tr>
    </w:tbl>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sz w:val="21"/>
          <w:szCs w:val="21"/>
          <w:highlight w:val="none"/>
        </w:rPr>
      </w:pPr>
      <w:r>
        <w:rPr>
          <w:rFonts w:hint="eastAsia" w:ascii="仿宋" w:hAnsi="仿宋" w:eastAsia="仿宋" w:cs="仿宋"/>
          <w:b/>
          <w:sz w:val="21"/>
          <w:szCs w:val="21"/>
          <w:highlight w:val="none"/>
        </w:rPr>
        <w:t>说明：</w:t>
      </w:r>
      <w:r>
        <w:rPr>
          <w:rFonts w:hint="eastAsia" w:ascii="仿宋" w:hAnsi="仿宋" w:eastAsia="仿宋" w:cs="仿宋"/>
          <w:sz w:val="21"/>
          <w:szCs w:val="21"/>
          <w:highlight w:val="none"/>
        </w:rPr>
        <w:t>1.本表评审依据要求的各项证明文件须编入投标文件，复印件加盖投标人公章。</w:t>
      </w:r>
    </w:p>
    <w:p>
      <w:pPr>
        <w:keepNext w:val="0"/>
        <w:keepLines w:val="0"/>
        <w:widowControl/>
        <w:adjustRightInd w:val="0"/>
        <w:snapToGrid w:val="0"/>
        <w:spacing w:line="240" w:lineRule="auto"/>
        <w:ind w:firstLine="630" w:firstLineChars="300"/>
        <w:rPr>
          <w:rFonts w:hint="eastAsia" w:ascii="仿宋" w:hAnsi="仿宋" w:eastAsia="仿宋" w:cs="仿宋"/>
          <w:sz w:val="21"/>
          <w:szCs w:val="21"/>
          <w:highlight w:val="none"/>
        </w:rPr>
      </w:pPr>
      <w:r>
        <w:rPr>
          <w:rFonts w:hint="eastAsia" w:ascii="仿宋" w:hAnsi="仿宋" w:eastAsia="仿宋" w:cs="仿宋"/>
          <w:sz w:val="21"/>
          <w:szCs w:val="21"/>
          <w:highlight w:val="none"/>
        </w:rPr>
        <w:t>2.表中要求提供相关证明文件的内容，投标文件中须明确加以说明并提供，未按要求提供相关文件或说明不清楚或评标专家组无法凭所提供的材料判断是否得分的情况，一律作不得分处理。</w:t>
      </w:r>
    </w:p>
    <w:p>
      <w:pPr>
        <w:keepNext w:val="0"/>
        <w:keepLines w:val="0"/>
        <w:widowControl/>
        <w:adjustRightInd w:val="0"/>
        <w:snapToGrid w:val="0"/>
        <w:spacing w:line="240" w:lineRule="auto"/>
        <w:ind w:firstLine="630" w:firstLineChars="300"/>
        <w:rPr>
          <w:rFonts w:hint="default" w:eastAsia="仿宋"/>
          <w:lang w:val="en-US" w:eastAsia="zh-CN"/>
        </w:rPr>
      </w:pPr>
      <w:r>
        <w:rPr>
          <w:rFonts w:hint="eastAsia" w:ascii="仿宋" w:hAnsi="仿宋" w:eastAsia="仿宋" w:cs="仿宋"/>
          <w:sz w:val="21"/>
          <w:szCs w:val="21"/>
          <w:highlight w:val="none"/>
          <w:lang w:val="en-US" w:eastAsia="zh-CN"/>
        </w:rPr>
        <w:t>3.本表要求提交的所有复印件需清晰完整，否则招标人有权视为无效，并根据具体文件性质予以扣减或废标处理。</w:t>
      </w:r>
    </w:p>
    <w:p>
      <w:pPr>
        <w:keepNext/>
        <w:keepLines/>
        <w:pageBreakBefore w:val="0"/>
        <w:widowControl/>
        <w:numPr>
          <w:ilvl w:val="3"/>
          <w:numId w:val="0"/>
        </w:numPr>
        <w:kinsoku/>
        <w:wordWrap/>
        <w:overflowPunct/>
        <w:topLinePunct w:val="0"/>
        <w:autoSpaceDE/>
        <w:autoSpaceDN/>
        <w:bidi w:val="0"/>
        <w:adjustRightInd w:val="0"/>
        <w:snapToGrid w:val="0"/>
        <w:spacing w:line="560" w:lineRule="exact"/>
        <w:ind w:firstLine="643" w:firstLineChars="200"/>
        <w:jc w:val="left"/>
        <w:textAlignment w:val="auto"/>
        <w:outlineLvl w:val="3"/>
        <w:rPr>
          <w:rFonts w:hint="eastAsia" w:ascii="仿宋" w:hAnsi="仿宋" w:eastAsia="仿宋" w:cs="仿宋"/>
          <w:b/>
          <w:sz w:val="21"/>
          <w:szCs w:val="21"/>
          <w:highlight w:val="none"/>
        </w:rPr>
      </w:pPr>
      <w:r>
        <w:rPr>
          <w:rFonts w:hint="eastAsia" w:ascii="仿宋" w:hAnsi="仿宋" w:eastAsia="仿宋" w:cs="仿宋"/>
          <w:b/>
          <w:sz w:val="32"/>
          <w:szCs w:val="32"/>
          <w:highlight w:val="none"/>
        </w:rPr>
        <w:br w:type="page"/>
      </w:r>
      <w:r>
        <w:rPr>
          <w:rFonts w:hint="eastAsia" w:ascii="仿宋" w:hAnsi="仿宋" w:eastAsia="仿宋" w:cs="仿宋"/>
          <w:b/>
          <w:sz w:val="21"/>
          <w:szCs w:val="21"/>
          <w:highlight w:val="none"/>
        </w:rPr>
        <w:t xml:space="preserve"> 附表2-1 《价格标评分方法》</w:t>
      </w:r>
    </w:p>
    <w:p>
      <w:pPr>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rPr>
        <w:t>价格标评分方法</w:t>
      </w:r>
    </w:p>
    <w:tbl>
      <w:tblPr>
        <w:tblStyle w:val="15"/>
        <w:tblW w:w="9617" w:type="dxa"/>
        <w:tblInd w:w="-2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26"/>
        <w:gridCol w:w="4008"/>
        <w:gridCol w:w="98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59" w:type="dxa"/>
            <w:tcBorders>
              <w:tl2br w:val="nil"/>
              <w:tr2bl w:val="nil"/>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序号</w:t>
            </w:r>
          </w:p>
        </w:tc>
        <w:tc>
          <w:tcPr>
            <w:tcW w:w="1726" w:type="dxa"/>
            <w:tcBorders>
              <w:tl2br w:val="nil"/>
              <w:tr2bl w:val="nil"/>
            </w:tcBorders>
            <w:vAlign w:val="center"/>
          </w:tcPr>
          <w:p>
            <w:pPr>
              <w:pageBreakBefore w:val="0"/>
              <w:widowControl/>
              <w:kinsoku/>
              <w:wordWrap/>
              <w:overflowPunct/>
              <w:topLinePunct w:val="0"/>
              <w:autoSpaceDE/>
              <w:autoSpaceDN/>
              <w:bidi w:val="0"/>
              <w:adjustRightInd w:val="0"/>
              <w:snapToGrid w:val="0"/>
              <w:spacing w:line="240" w:lineRule="auto"/>
              <w:ind w:firstLine="211" w:firstLineChars="100"/>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评分因素</w:t>
            </w:r>
          </w:p>
        </w:tc>
        <w:tc>
          <w:tcPr>
            <w:tcW w:w="4008" w:type="dxa"/>
            <w:tcBorders>
              <w:tl2br w:val="nil"/>
              <w:tr2bl w:val="nil"/>
            </w:tcBorders>
            <w:vAlign w:val="center"/>
          </w:tcPr>
          <w:p>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评分准则</w:t>
            </w:r>
          </w:p>
        </w:tc>
        <w:tc>
          <w:tcPr>
            <w:tcW w:w="984" w:type="dxa"/>
            <w:tcBorders>
              <w:tl2br w:val="nil"/>
              <w:tr2bl w:val="nil"/>
            </w:tcBorders>
            <w:vAlign w:val="center"/>
          </w:tcPr>
          <w:p>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分值</w:t>
            </w:r>
          </w:p>
        </w:tc>
        <w:tc>
          <w:tcPr>
            <w:tcW w:w="2140" w:type="dxa"/>
            <w:tcBorders>
              <w:tl2br w:val="nil"/>
              <w:tr2bl w:val="nil"/>
            </w:tcBorders>
            <w:vAlign w:val="center"/>
          </w:tcPr>
          <w:p>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759" w:type="dxa"/>
            <w:tcBorders>
              <w:tl2br w:val="nil"/>
              <w:tr2bl w:val="nil"/>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1</w:t>
            </w:r>
          </w:p>
        </w:tc>
        <w:tc>
          <w:tcPr>
            <w:tcW w:w="1726" w:type="dxa"/>
            <w:tcBorders>
              <w:tl2br w:val="nil"/>
              <w:tr2bl w:val="nil"/>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lang w:eastAsia="zh-CN"/>
              </w:rPr>
              <w:t>常年法律顾问</w:t>
            </w:r>
          </w:p>
          <w:p>
            <w:pPr>
              <w:pageBreakBefore w:val="0"/>
              <w:kinsoku/>
              <w:wordWrap/>
              <w:overflowPunct/>
              <w:topLinePunct w:val="0"/>
              <w:autoSpaceDE/>
              <w:autoSpaceDN/>
              <w:bidi w:val="0"/>
              <w:spacing w:line="240" w:lineRule="auto"/>
              <w:jc w:val="center"/>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lang w:eastAsia="zh-CN"/>
              </w:rPr>
              <w:t>服务费</w:t>
            </w:r>
          </w:p>
        </w:tc>
        <w:tc>
          <w:tcPr>
            <w:tcW w:w="4008" w:type="dxa"/>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有效投标服务费报价的平均价为基准评标价得30分，每减少5000元得5分，最高得50分；每多5000元减5分，最低得分不少于10分。</w:t>
            </w:r>
          </w:p>
        </w:tc>
        <w:tc>
          <w:tcPr>
            <w:tcW w:w="984" w:type="dxa"/>
            <w:tcBorders>
              <w:tl2br w:val="nil"/>
              <w:tr2bl w:val="nil"/>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lang w:val="en-US" w:eastAsia="zh-CN"/>
              </w:rPr>
              <w:t>50</w:t>
            </w:r>
            <w:r>
              <w:rPr>
                <w:rFonts w:hint="eastAsia" w:ascii="仿宋" w:hAnsi="仿宋" w:eastAsia="仿宋" w:cs="仿宋"/>
                <w:bCs/>
                <w:sz w:val="21"/>
                <w:szCs w:val="21"/>
                <w:highlight w:val="none"/>
              </w:rPr>
              <w:t>分</w:t>
            </w:r>
          </w:p>
        </w:tc>
        <w:tc>
          <w:tcPr>
            <w:tcW w:w="2140" w:type="dxa"/>
            <w:tcBorders>
              <w:tl2br w:val="nil"/>
              <w:tr2bl w:val="nil"/>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759" w:type="dxa"/>
            <w:tcBorders>
              <w:tl2br w:val="nil"/>
              <w:tr2bl w:val="nil"/>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2</w:t>
            </w:r>
          </w:p>
        </w:tc>
        <w:tc>
          <w:tcPr>
            <w:tcW w:w="1726" w:type="dxa"/>
            <w:tcBorders>
              <w:tl2br w:val="nil"/>
              <w:tr2bl w:val="nil"/>
            </w:tcBorders>
            <w:vAlign w:val="center"/>
          </w:tcPr>
          <w:p>
            <w:pPr>
              <w:pageBreakBefore w:val="0"/>
              <w:kinsoku/>
              <w:wordWrap/>
              <w:overflowPunct/>
              <w:topLinePunct w:val="0"/>
              <w:autoSpaceDE/>
              <w:autoSpaceDN/>
              <w:bidi w:val="0"/>
              <w:spacing w:line="240" w:lineRule="auto"/>
              <w:jc w:val="center"/>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办案费</w:t>
            </w:r>
          </w:p>
        </w:tc>
        <w:tc>
          <w:tcPr>
            <w:tcW w:w="4008" w:type="dxa"/>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根据投标报价表中各项目的每办案阶段或分项服务报价实施逐一比价。每办案阶段或分项服务单价最低的该分项按最高得分计分；每案件办案阶段或分项服务的次低价比照最高得分扣1分，以此类推。评分细则如下：</w:t>
            </w:r>
          </w:p>
          <w:p>
            <w:pPr>
              <w:keepNext w:val="0"/>
              <w:keepLines w:val="0"/>
              <w:wordWrap w:val="0"/>
              <w:spacing w:line="240" w:lineRule="auto"/>
              <w:ind w:firstLine="422" w:firstLineChars="200"/>
              <w:jc w:val="left"/>
              <w:rPr>
                <w:rFonts w:hint="eastAsia" w:ascii="仿宋" w:hAnsi="仿宋" w:eastAsia="仿宋" w:cs="仿宋"/>
                <w:bCs/>
                <w:color w:val="auto"/>
                <w:szCs w:val="21"/>
                <w:highlight w:val="none"/>
                <w:lang w:val="en-US" w:eastAsia="zh-CN"/>
              </w:rPr>
            </w:pPr>
            <w:r>
              <w:rPr>
                <w:rFonts w:hint="eastAsia" w:ascii="仿宋" w:hAnsi="仿宋" w:eastAsia="仿宋" w:cs="仿宋"/>
                <w:b/>
                <w:bCs w:val="0"/>
                <w:color w:val="auto"/>
                <w:szCs w:val="21"/>
                <w:highlight w:val="none"/>
                <w:lang w:val="en-US" w:eastAsia="zh-CN"/>
              </w:rPr>
              <w:t>经济案件：</w:t>
            </w:r>
            <w:r>
              <w:rPr>
                <w:rFonts w:hint="eastAsia" w:ascii="仿宋" w:hAnsi="仿宋" w:eastAsia="仿宋" w:cs="仿宋"/>
                <w:bCs/>
                <w:color w:val="auto"/>
                <w:szCs w:val="21"/>
                <w:highlight w:val="none"/>
                <w:lang w:val="en-US" w:eastAsia="zh-CN"/>
              </w:rPr>
              <w:t>一审最高得分6分，二审最高得分3分，终审最高得分3分。</w:t>
            </w:r>
          </w:p>
          <w:p>
            <w:pPr>
              <w:keepNext w:val="0"/>
              <w:keepLines w:val="0"/>
              <w:wordWrap w:val="0"/>
              <w:spacing w:line="240" w:lineRule="auto"/>
              <w:ind w:firstLine="422" w:firstLineChars="200"/>
              <w:jc w:val="left"/>
              <w:rPr>
                <w:rFonts w:hint="default" w:ascii="仿宋" w:hAnsi="仿宋" w:eastAsia="仿宋" w:cs="仿宋"/>
                <w:bCs/>
                <w:color w:val="auto"/>
                <w:szCs w:val="21"/>
                <w:highlight w:val="none"/>
                <w:lang w:val="en-US" w:eastAsia="zh-CN"/>
              </w:rPr>
            </w:pPr>
            <w:r>
              <w:rPr>
                <w:rFonts w:hint="eastAsia" w:ascii="仿宋" w:hAnsi="仿宋" w:eastAsia="仿宋" w:cs="仿宋"/>
                <w:b/>
                <w:bCs w:val="0"/>
                <w:color w:val="auto"/>
                <w:szCs w:val="21"/>
                <w:highlight w:val="none"/>
                <w:lang w:val="en-US" w:eastAsia="zh-CN"/>
              </w:rPr>
              <w:t>劳动争议案件：</w:t>
            </w:r>
            <w:r>
              <w:rPr>
                <w:rFonts w:hint="eastAsia" w:ascii="仿宋" w:hAnsi="仿宋" w:eastAsia="仿宋" w:cs="仿宋"/>
                <w:bCs/>
                <w:color w:val="auto"/>
                <w:szCs w:val="21"/>
                <w:highlight w:val="none"/>
                <w:lang w:val="en-US" w:eastAsia="zh-CN"/>
              </w:rPr>
              <w:t>仲裁最高得分15分，一审最高得分11分，二审最高得分6分；</w:t>
            </w:r>
          </w:p>
          <w:p>
            <w:pPr>
              <w:wordWrap w:val="0"/>
              <w:ind w:firstLine="422" w:firstLineChars="200"/>
              <w:jc w:val="left"/>
              <w:rPr>
                <w:rFonts w:hint="default" w:ascii="仿宋" w:hAnsi="仿宋" w:eastAsia="仿宋" w:cs="仿宋"/>
                <w:bCs/>
                <w:color w:val="auto"/>
                <w:szCs w:val="21"/>
                <w:highlight w:val="none"/>
                <w:lang w:val="en-US" w:eastAsia="zh-CN"/>
              </w:rPr>
            </w:pPr>
            <w:r>
              <w:rPr>
                <w:rFonts w:hint="eastAsia" w:ascii="仿宋" w:hAnsi="仿宋" w:eastAsia="仿宋" w:cs="仿宋"/>
                <w:b/>
                <w:bCs w:val="0"/>
                <w:color w:val="auto"/>
                <w:szCs w:val="21"/>
                <w:highlight w:val="none"/>
                <w:lang w:val="en-US" w:eastAsia="zh-CN"/>
              </w:rPr>
              <w:t>行政案件：</w:t>
            </w:r>
            <w:r>
              <w:rPr>
                <w:rFonts w:hint="eastAsia" w:ascii="仿宋" w:hAnsi="仿宋" w:eastAsia="仿宋" w:cs="仿宋"/>
                <w:bCs/>
                <w:color w:val="auto"/>
                <w:szCs w:val="21"/>
                <w:highlight w:val="none"/>
                <w:lang w:val="en-US" w:eastAsia="zh-CN"/>
              </w:rPr>
              <w:t>一审最高得分2分，二审最高得分1分，终审最高得分1分；</w:t>
            </w:r>
          </w:p>
          <w:p>
            <w:pPr>
              <w:keepNext w:val="0"/>
              <w:keepLines w:val="0"/>
              <w:wordWrap w:val="0"/>
              <w:spacing w:line="240" w:lineRule="auto"/>
              <w:ind w:firstLine="422" w:firstLineChars="200"/>
              <w:jc w:val="left"/>
              <w:rPr>
                <w:rFonts w:hint="default" w:ascii="仿宋" w:hAnsi="仿宋" w:eastAsia="仿宋" w:cs="仿宋"/>
                <w:bCs/>
                <w:color w:val="auto"/>
                <w:szCs w:val="21"/>
                <w:highlight w:val="none"/>
                <w:lang w:val="en-US" w:eastAsia="zh-CN"/>
              </w:rPr>
            </w:pPr>
            <w:r>
              <w:rPr>
                <w:rFonts w:hint="eastAsia" w:ascii="仿宋" w:hAnsi="仿宋" w:eastAsia="仿宋" w:cs="仿宋"/>
                <w:b/>
                <w:bCs w:val="0"/>
                <w:color w:val="auto"/>
                <w:szCs w:val="21"/>
                <w:highlight w:val="none"/>
                <w:lang w:val="en-US" w:eastAsia="zh-CN"/>
              </w:rPr>
              <w:t>其他</w:t>
            </w:r>
            <w:r>
              <w:rPr>
                <w:rFonts w:hint="eastAsia" w:ascii="仿宋" w:hAnsi="仿宋" w:eastAsia="仿宋" w:cs="仿宋"/>
                <w:b w:val="0"/>
                <w:bCs/>
                <w:color w:val="auto"/>
                <w:szCs w:val="21"/>
                <w:highlight w:val="none"/>
                <w:lang w:val="en-US" w:eastAsia="zh-CN"/>
              </w:rPr>
              <w:t>分项服务（需说明分项服务内容）</w:t>
            </w:r>
            <w:r>
              <w:rPr>
                <w:rFonts w:hint="eastAsia" w:ascii="仿宋" w:hAnsi="仿宋" w:eastAsia="仿宋" w:cs="仿宋"/>
                <w:b/>
                <w:bCs w:val="0"/>
                <w:color w:val="auto"/>
                <w:szCs w:val="21"/>
                <w:highlight w:val="none"/>
                <w:lang w:val="en-US" w:eastAsia="zh-CN"/>
              </w:rPr>
              <w:t>：</w:t>
            </w:r>
            <w:r>
              <w:rPr>
                <w:rFonts w:hint="eastAsia" w:ascii="仿宋" w:hAnsi="仿宋" w:eastAsia="仿宋" w:cs="仿宋"/>
                <w:b w:val="0"/>
                <w:bCs/>
                <w:color w:val="auto"/>
                <w:szCs w:val="21"/>
                <w:highlight w:val="none"/>
                <w:lang w:val="en-US" w:eastAsia="zh-CN"/>
              </w:rPr>
              <w:t>最高得分</w:t>
            </w:r>
            <w:r>
              <w:rPr>
                <w:rFonts w:hint="eastAsia" w:ascii="仿宋" w:hAnsi="仿宋" w:eastAsia="仿宋" w:cs="仿宋"/>
                <w:bCs/>
                <w:color w:val="auto"/>
                <w:szCs w:val="21"/>
                <w:highlight w:val="none"/>
                <w:lang w:val="en-US" w:eastAsia="zh-CN"/>
              </w:rPr>
              <w:t>2分。</w:t>
            </w:r>
          </w:p>
          <w:p>
            <w:pPr>
              <w:rPr>
                <w:rFonts w:hint="default"/>
                <w:lang w:val="en-US" w:eastAsia="zh-CN"/>
              </w:rPr>
            </w:pPr>
          </w:p>
        </w:tc>
        <w:tc>
          <w:tcPr>
            <w:tcW w:w="984" w:type="dxa"/>
            <w:tcBorders>
              <w:tl2br w:val="nil"/>
              <w:tr2bl w:val="nil"/>
            </w:tcBorders>
            <w:vAlign w:val="center"/>
          </w:tcPr>
          <w:p>
            <w:pPr>
              <w:pageBreakBefore w:val="0"/>
              <w:kinsoku/>
              <w:wordWrap/>
              <w:overflowPunct/>
              <w:topLinePunct w:val="0"/>
              <w:autoSpaceDE/>
              <w:autoSpaceDN/>
              <w:bidi w:val="0"/>
              <w:spacing w:line="240" w:lineRule="auto"/>
              <w:jc w:val="center"/>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50分</w:t>
            </w:r>
          </w:p>
        </w:tc>
        <w:tc>
          <w:tcPr>
            <w:tcW w:w="2140" w:type="dxa"/>
            <w:tcBorders>
              <w:tl2br w:val="nil"/>
              <w:tr2bl w:val="nil"/>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493" w:type="dxa"/>
            <w:gridSpan w:val="3"/>
            <w:tcBorders>
              <w:tl2br w:val="nil"/>
              <w:tr2bl w:val="nil"/>
            </w:tcBorders>
            <w:vAlign w:val="center"/>
          </w:tcPr>
          <w:p>
            <w:pPr>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合计</w:t>
            </w:r>
          </w:p>
        </w:tc>
        <w:tc>
          <w:tcPr>
            <w:tcW w:w="984" w:type="dxa"/>
            <w:tcBorders>
              <w:tl2br w:val="nil"/>
              <w:tr2bl w:val="nil"/>
            </w:tcBorders>
            <w:vAlign w:val="center"/>
          </w:tcPr>
          <w:p>
            <w:pPr>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lang w:val="en-US" w:eastAsia="zh-CN"/>
              </w:rPr>
              <w:t>100</w:t>
            </w:r>
            <w:r>
              <w:rPr>
                <w:rFonts w:hint="eastAsia" w:ascii="仿宋" w:hAnsi="仿宋" w:eastAsia="仿宋" w:cs="仿宋"/>
                <w:b/>
                <w:kern w:val="0"/>
                <w:sz w:val="21"/>
                <w:szCs w:val="21"/>
                <w:highlight w:val="none"/>
              </w:rPr>
              <w:t>分</w:t>
            </w:r>
          </w:p>
        </w:tc>
        <w:tc>
          <w:tcPr>
            <w:tcW w:w="2140" w:type="dxa"/>
            <w:tcBorders>
              <w:tl2br w:val="nil"/>
              <w:tr2bl w:val="nil"/>
            </w:tcBorders>
            <w:vAlign w:val="center"/>
          </w:tcPr>
          <w:p>
            <w:pPr>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kern w:val="0"/>
                <w:sz w:val="21"/>
                <w:szCs w:val="21"/>
                <w:highlight w:val="none"/>
              </w:rPr>
            </w:pPr>
          </w:p>
        </w:tc>
      </w:tr>
    </w:tbl>
    <w:p>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Cs/>
          <w:sz w:val="32"/>
          <w:szCs w:val="32"/>
          <w:highlight w:val="none"/>
        </w:rPr>
      </w:pPr>
    </w:p>
    <w:p>
      <w:pPr>
        <w:keepNext w:val="0"/>
        <w:keepLines w:val="0"/>
        <w:widowControl/>
        <w:adjustRightInd w:val="0"/>
        <w:snapToGrid w:val="0"/>
        <w:spacing w:line="240" w:lineRule="auto"/>
        <w:ind w:firstLine="422" w:firstLineChars="200"/>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rPr>
        <w:t>说明</w:t>
      </w:r>
      <w:r>
        <w:rPr>
          <w:rFonts w:hint="eastAsia" w:ascii="仿宋" w:hAnsi="仿宋" w:eastAsia="仿宋" w:cs="仿宋"/>
          <w:b/>
          <w:bCs/>
          <w:sz w:val="21"/>
          <w:szCs w:val="21"/>
          <w:highlight w:val="none"/>
          <w:lang w:eastAsia="zh-CN"/>
        </w:rPr>
        <w:t>：</w:t>
      </w:r>
    </w:p>
    <w:p>
      <w:pPr>
        <w:keepNext w:val="0"/>
        <w:keepLines w:val="0"/>
        <w:pageBreakBefore w:val="0"/>
        <w:widowControl/>
        <w:numPr>
          <w:ilvl w:val="0"/>
          <w:numId w:val="22"/>
        </w:numPr>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评标价格的计算：</w:t>
      </w:r>
    </w:p>
    <w:p>
      <w:pPr>
        <w:keepNext w:val="0"/>
        <w:keepLines w:val="0"/>
        <w:pageBreakBefore w:val="0"/>
        <w:widowControl/>
        <w:numPr>
          <w:ilvl w:val="0"/>
          <w:numId w:val="23"/>
        </w:numPr>
        <w:kinsoku/>
        <w:wordWrap/>
        <w:overflowPunct/>
        <w:topLinePunct w:val="0"/>
        <w:autoSpaceDE/>
        <w:autoSpaceDN/>
        <w:bidi w:val="0"/>
        <w:adjustRightInd w:val="0"/>
        <w:snapToGrid w:val="0"/>
        <w:spacing w:line="240" w:lineRule="auto"/>
        <w:ind w:left="845" w:hanging="425" w:firstLineChars="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投标文件存在投标报价问题的，进行投标报价的算术修正，投标报价算术修正具体原则为：</w:t>
      </w:r>
    </w:p>
    <w:p>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240" w:lineRule="auto"/>
        <w:ind w:left="0"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lang w:val="en-US" w:eastAsia="zh-CN"/>
        </w:rPr>
        <w:t>1)</w:t>
      </w:r>
      <w:r>
        <w:rPr>
          <w:rFonts w:hint="eastAsia" w:ascii="仿宋" w:hAnsi="仿宋" w:eastAsia="仿宋" w:cs="仿宋"/>
          <w:bCs/>
          <w:sz w:val="21"/>
          <w:szCs w:val="21"/>
          <w:highlight w:val="none"/>
        </w:rPr>
        <w:t>若投标报价一览表中投标价与投标文件中投标价格不一致，以投标报价一览表为准；</w:t>
      </w:r>
    </w:p>
    <w:p>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240" w:lineRule="auto"/>
        <w:ind w:left="0"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lang w:val="en-US" w:eastAsia="zh-CN"/>
        </w:rPr>
        <w:t>2)</w:t>
      </w:r>
      <w:r>
        <w:rPr>
          <w:rFonts w:hint="eastAsia" w:ascii="仿宋" w:hAnsi="仿宋" w:eastAsia="仿宋" w:cs="仿宋"/>
          <w:bCs/>
          <w:sz w:val="21"/>
          <w:szCs w:val="21"/>
          <w:highlight w:val="none"/>
        </w:rPr>
        <w:t>当小写金额与大写金额有差异时，以大写金额为准（有明显错误的除外）；</w:t>
      </w:r>
    </w:p>
    <w:p>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240" w:lineRule="auto"/>
        <w:ind w:left="0"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lang w:val="en-US" w:eastAsia="zh-CN"/>
        </w:rPr>
        <w:t>3)</w:t>
      </w:r>
      <w:r>
        <w:rPr>
          <w:rFonts w:hint="eastAsia" w:ascii="仿宋" w:hAnsi="仿宋" w:eastAsia="仿宋" w:cs="仿宋"/>
          <w:bCs/>
          <w:sz w:val="21"/>
          <w:szCs w:val="21"/>
          <w:highlight w:val="none"/>
        </w:rPr>
        <w:t>单价金额小数点有明显错位的，应以总价为准，并修改单价；</w:t>
      </w:r>
    </w:p>
    <w:p>
      <w:pPr>
        <w:keepNext w:val="0"/>
        <w:keepLines w:val="0"/>
        <w:widowControl/>
        <w:numPr>
          <w:ilvl w:val="-1"/>
          <w:numId w:val="0"/>
        </w:numPr>
        <w:tabs>
          <w:tab w:val="left" w:pos="0"/>
        </w:tabs>
        <w:adjustRightInd w:val="0"/>
        <w:snapToGrid w:val="0"/>
        <w:spacing w:line="240" w:lineRule="auto"/>
        <w:ind w:left="0" w:firstLine="420" w:firstLineChars="200"/>
        <w:rPr>
          <w:rFonts w:hint="eastAsia" w:ascii="仿宋" w:hAnsi="仿宋" w:eastAsia="仿宋" w:cs="仿宋"/>
          <w:bCs/>
          <w:sz w:val="21"/>
          <w:szCs w:val="21"/>
          <w:highlight w:val="none"/>
        </w:rPr>
      </w:pPr>
      <w:r>
        <w:rPr>
          <w:rFonts w:hint="eastAsia" w:ascii="仿宋" w:hAnsi="仿宋" w:eastAsia="仿宋" w:cs="仿宋"/>
          <w:bCs/>
          <w:sz w:val="21"/>
          <w:szCs w:val="21"/>
          <w:highlight w:val="none"/>
          <w:lang w:val="en-US" w:eastAsia="zh-CN"/>
        </w:rPr>
        <w:t>4)</w:t>
      </w:r>
      <w:r>
        <w:rPr>
          <w:rFonts w:hint="eastAsia" w:ascii="仿宋" w:hAnsi="仿宋" w:eastAsia="仿宋" w:cs="仿宋"/>
          <w:bCs/>
          <w:sz w:val="21"/>
          <w:szCs w:val="21"/>
          <w:highlight w:val="none"/>
        </w:rPr>
        <w:t>投标报价为各分项报价金额之和，总价金额与依据单价计算出的结果不一致的，以单价合同金额以经修正后的投标报价为准，缺漏项部分由投标人自行承担。</w:t>
      </w:r>
    </w:p>
    <w:p>
      <w:pPr>
        <w:keepNext w:val="0"/>
        <w:keepLines w:val="0"/>
        <w:pageBreakBefore w:val="0"/>
        <w:widowControl/>
        <w:numPr>
          <w:ilvl w:val="0"/>
          <w:numId w:val="22"/>
        </w:numPr>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价格标评分的计算：</w:t>
      </w:r>
    </w:p>
    <w:p>
      <w:pPr>
        <w:keepNext w:val="0"/>
        <w:keepLines w:val="0"/>
        <w:pageBreakBefore w:val="0"/>
        <w:widowControl/>
        <w:numPr>
          <w:ilvl w:val="0"/>
          <w:numId w:val="24"/>
        </w:numPr>
        <w:kinsoku/>
        <w:wordWrap/>
        <w:overflowPunct/>
        <w:topLinePunct w:val="0"/>
        <w:autoSpaceDE/>
        <w:autoSpaceDN/>
        <w:bidi w:val="0"/>
        <w:adjustRightInd w:val="0"/>
        <w:snapToGrid w:val="0"/>
        <w:spacing w:line="240" w:lineRule="auto"/>
        <w:ind w:left="0" w:leftChars="0"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评标专家组按附表2-1《价格标评分方法》进行评分。</w:t>
      </w:r>
    </w:p>
    <w:p>
      <w:pPr>
        <w:keepNext w:val="0"/>
        <w:keepLines w:val="0"/>
        <w:pageBreakBefore w:val="0"/>
        <w:widowControl/>
        <w:numPr>
          <w:ilvl w:val="0"/>
          <w:numId w:val="24"/>
        </w:numPr>
        <w:kinsoku/>
        <w:wordWrap/>
        <w:overflowPunct/>
        <w:topLinePunct w:val="0"/>
        <w:autoSpaceDE/>
        <w:autoSpaceDN/>
        <w:bidi w:val="0"/>
        <w:adjustRightInd w:val="0"/>
        <w:snapToGrid w:val="0"/>
        <w:spacing w:line="240" w:lineRule="auto"/>
        <w:ind w:left="0" w:leftChars="0"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经以上算法得出的数值即为投标人的价格得分（计算过程及计算结果四舍五入保留小数点后两位）。</w:t>
      </w:r>
    </w:p>
    <w:p>
      <w:pPr>
        <w:keepNext w:val="0"/>
        <w:keepLines w:val="0"/>
        <w:pageBreakBefore w:val="0"/>
        <w:widowControl/>
        <w:numPr>
          <w:ilvl w:val="0"/>
          <w:numId w:val="24"/>
        </w:numPr>
        <w:kinsoku/>
        <w:wordWrap/>
        <w:overflowPunct/>
        <w:topLinePunct w:val="0"/>
        <w:autoSpaceDE/>
        <w:autoSpaceDN/>
        <w:bidi w:val="0"/>
        <w:adjustRightInd w:val="0"/>
        <w:snapToGrid w:val="0"/>
        <w:spacing w:line="240" w:lineRule="auto"/>
        <w:ind w:left="0" w:leftChars="0" w:firstLine="420" w:firstLineChars="200"/>
        <w:textAlignment w:val="auto"/>
        <w:rPr>
          <w:rFonts w:hint="eastAsia" w:ascii="仿宋" w:hAnsi="仿宋" w:eastAsia="仿宋" w:cs="仿宋"/>
          <w:bCs/>
          <w:sz w:val="21"/>
          <w:szCs w:val="21"/>
          <w:highlight w:val="none"/>
          <w:shd w:val="clear" w:color="auto" w:fill="FFFF00"/>
        </w:rPr>
      </w:pPr>
      <w:r>
        <w:rPr>
          <w:rFonts w:hint="eastAsia" w:ascii="仿宋" w:hAnsi="仿宋" w:eastAsia="仿宋" w:cs="仿宋"/>
          <w:bCs/>
          <w:sz w:val="21"/>
          <w:szCs w:val="21"/>
          <w:highlight w:val="none"/>
        </w:rPr>
        <w:t>价格得分为负数时，计为0分。</w:t>
      </w: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color w:val="FF0000"/>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pPr>
        <w:keepNext/>
        <w:keepLines/>
        <w:pageBreakBefore w:val="0"/>
        <w:widowControl/>
        <w:numPr>
          <w:ilvl w:val="3"/>
          <w:numId w:val="0"/>
        </w:numPr>
        <w:kinsoku/>
        <w:overflowPunct/>
        <w:topLinePunct w:val="0"/>
        <w:autoSpaceDE/>
        <w:autoSpaceDN/>
        <w:bidi w:val="0"/>
        <w:adjustRightInd w:val="0"/>
        <w:snapToGrid w:val="0"/>
        <w:spacing w:line="560" w:lineRule="exact"/>
        <w:ind w:firstLine="422" w:firstLineChars="200"/>
        <w:outlineLvl w:val="3"/>
        <w:rPr>
          <w:rFonts w:hint="eastAsia" w:ascii="仿宋" w:hAnsi="仿宋" w:eastAsia="仿宋" w:cs="仿宋"/>
          <w:b/>
          <w:sz w:val="21"/>
          <w:szCs w:val="21"/>
          <w:highlight w:val="none"/>
        </w:rPr>
      </w:pPr>
      <w:r>
        <w:rPr>
          <w:rFonts w:hint="eastAsia" w:ascii="仿宋" w:hAnsi="仿宋" w:eastAsia="仿宋" w:cs="仿宋"/>
          <w:b/>
          <w:sz w:val="21"/>
          <w:szCs w:val="21"/>
          <w:highlight w:val="none"/>
        </w:rPr>
        <w:t>附表3-1 《商务技术标、价格标权重表》</w:t>
      </w:r>
    </w:p>
    <w:p>
      <w:pPr>
        <w:keepNext/>
        <w:keepLines/>
        <w:pageBreakBefore w:val="0"/>
        <w:widowControl/>
        <w:numPr>
          <w:ilvl w:val="3"/>
          <w:numId w:val="0"/>
        </w:numPr>
        <w:kinsoku/>
        <w:overflowPunct/>
        <w:topLinePunct w:val="0"/>
        <w:autoSpaceDE/>
        <w:autoSpaceDN/>
        <w:bidi w:val="0"/>
        <w:adjustRightInd w:val="0"/>
        <w:snapToGrid w:val="0"/>
        <w:spacing w:line="560" w:lineRule="exact"/>
        <w:ind w:firstLine="422" w:firstLineChars="200"/>
        <w:outlineLvl w:val="3"/>
        <w:rPr>
          <w:rFonts w:hint="eastAsia" w:ascii="仿宋" w:hAnsi="仿宋" w:eastAsia="仿宋" w:cs="仿宋"/>
          <w:b/>
          <w:sz w:val="21"/>
          <w:szCs w:val="21"/>
          <w:highlight w:val="none"/>
        </w:rPr>
      </w:pPr>
    </w:p>
    <w:p>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商务技术标、价格标权重表</w:t>
      </w:r>
    </w:p>
    <w:tbl>
      <w:tblPr>
        <w:tblStyle w:val="15"/>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3024"/>
        <w:gridCol w:w="2772"/>
        <w:gridCol w:w="32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024" w:type="dxa"/>
            <w:tcBorders>
              <w:tl2br w:val="nil"/>
              <w:tr2bl w:val="nil"/>
            </w:tcBorders>
            <w:shd w:val="clear" w:color="auto" w:fill="FFFFFF" w:themeFill="background1"/>
            <w:vAlign w:val="center"/>
          </w:tcPr>
          <w:p>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权重名称</w:t>
            </w:r>
          </w:p>
        </w:tc>
        <w:tc>
          <w:tcPr>
            <w:tcW w:w="2772" w:type="dxa"/>
            <w:tcBorders>
              <w:tl2br w:val="nil"/>
              <w:tr2bl w:val="nil"/>
            </w:tcBorders>
            <w:shd w:val="clear" w:color="auto" w:fill="FFFFFF" w:themeFill="background1"/>
            <w:vAlign w:val="center"/>
          </w:tcPr>
          <w:p>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商务技术权重</w:t>
            </w:r>
          </w:p>
        </w:tc>
        <w:tc>
          <w:tcPr>
            <w:tcW w:w="3213" w:type="dxa"/>
            <w:tcBorders>
              <w:tl2br w:val="nil"/>
              <w:tr2bl w:val="nil"/>
            </w:tcBorders>
            <w:shd w:val="clear" w:color="auto" w:fill="FFFFFF" w:themeFill="background1"/>
            <w:vAlign w:val="center"/>
          </w:tcPr>
          <w:p>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价格权重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2" w:hRule="atLeast"/>
          <w:jc w:val="center"/>
        </w:trPr>
        <w:tc>
          <w:tcPr>
            <w:tcW w:w="3024" w:type="dxa"/>
            <w:tcBorders>
              <w:tl2br w:val="nil"/>
              <w:tr2bl w:val="nil"/>
            </w:tcBorders>
            <w:shd w:val="clear" w:color="auto" w:fill="FFFFFF" w:themeFill="background1"/>
            <w:vAlign w:val="center"/>
          </w:tcPr>
          <w:p>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权重</w:t>
            </w:r>
          </w:p>
        </w:tc>
        <w:tc>
          <w:tcPr>
            <w:tcW w:w="2772" w:type="dxa"/>
            <w:tcBorders>
              <w:tl2br w:val="nil"/>
              <w:tr2bl w:val="nil"/>
            </w:tcBorders>
            <w:shd w:val="clear" w:color="auto" w:fill="FFFFFF" w:themeFill="background1"/>
            <w:vAlign w:val="center"/>
          </w:tcPr>
          <w:p>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40</w:t>
            </w:r>
            <w:r>
              <w:rPr>
                <w:rFonts w:hint="eastAsia" w:ascii="仿宋" w:hAnsi="仿宋" w:eastAsia="仿宋" w:cs="仿宋"/>
                <w:bCs/>
                <w:sz w:val="24"/>
                <w:szCs w:val="24"/>
                <w:highlight w:val="none"/>
              </w:rPr>
              <w:t>%</w:t>
            </w:r>
          </w:p>
        </w:tc>
        <w:tc>
          <w:tcPr>
            <w:tcW w:w="3213" w:type="dxa"/>
            <w:tcBorders>
              <w:tl2br w:val="nil"/>
              <w:tr2bl w:val="nil"/>
            </w:tcBorders>
            <w:shd w:val="clear" w:color="auto" w:fill="FFFFFF" w:themeFill="background1"/>
            <w:vAlign w:val="center"/>
          </w:tcPr>
          <w:p>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60</w:t>
            </w:r>
            <w:r>
              <w:rPr>
                <w:rFonts w:hint="eastAsia" w:ascii="仿宋" w:hAnsi="仿宋" w:eastAsia="仿宋" w:cs="仿宋"/>
                <w:bCs/>
                <w:sz w:val="24"/>
                <w:szCs w:val="24"/>
                <w:highlight w:val="none"/>
              </w:rPr>
              <w:t>%</w:t>
            </w:r>
          </w:p>
        </w:tc>
      </w:tr>
    </w:tbl>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sz w:val="21"/>
          <w:szCs w:val="21"/>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21"/>
          <w:szCs w:val="21"/>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Style w:val="3"/>
        <w:numPr>
          <w:ilvl w:val="0"/>
          <w:numId w:val="25"/>
        </w:numPr>
        <w:spacing w:line="560" w:lineRule="exact"/>
        <w:jc w:val="center"/>
        <w:rPr>
          <w:rFonts w:hint="eastAsia"/>
          <w:highlight w:val="none"/>
        </w:rPr>
      </w:pPr>
      <w:bookmarkStart w:id="46" w:name="_Toc22811"/>
      <w:bookmarkStart w:id="47" w:name="_Toc21894"/>
      <w:r>
        <w:rPr>
          <w:rFonts w:hint="eastAsia" w:ascii="黑体" w:hAnsi="黑体" w:eastAsia="黑体" w:cs="黑体"/>
          <w:sz w:val="32"/>
          <w:szCs w:val="32"/>
          <w:highlight w:val="none"/>
        </w:rPr>
        <w:t>合同条款</w:t>
      </w:r>
      <w:bookmarkEnd w:id="46"/>
      <w:bookmarkEnd w:id="47"/>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lang w:val="en-US" w:eastAsia="zh-CN"/>
        </w:rPr>
      </w:pPr>
      <w:bookmarkStart w:id="48" w:name="_Toc27794"/>
      <w:r>
        <w:rPr>
          <w:rFonts w:hint="eastAsia" w:ascii="黑体" w:hAnsi="黑体" w:eastAsia="黑体" w:cs="黑体"/>
          <w:b/>
          <w:bCs/>
          <w:sz w:val="44"/>
          <w:szCs w:val="44"/>
          <w:lang w:val="en-US" w:eastAsia="zh-CN"/>
        </w:rPr>
        <w:t>常年法律顾问</w:t>
      </w:r>
      <w:r>
        <w:rPr>
          <w:rFonts w:hint="default" w:ascii="黑体" w:hAnsi="黑体" w:eastAsia="黑体" w:cs="黑体"/>
          <w:b/>
          <w:bCs/>
          <w:sz w:val="44"/>
          <w:szCs w:val="44"/>
          <w:lang w:eastAsia="zh-CN"/>
        </w:rPr>
        <w:t>服务</w:t>
      </w:r>
      <w:r>
        <w:rPr>
          <w:rFonts w:hint="eastAsia" w:ascii="黑体" w:hAnsi="黑体" w:eastAsia="黑体" w:cs="黑体"/>
          <w:b/>
          <w:bCs/>
          <w:sz w:val="44"/>
          <w:szCs w:val="44"/>
          <w:lang w:val="en-US" w:eastAsia="zh-CN"/>
        </w:rPr>
        <w:t>合同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甲方：</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公司</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邮政编码：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lang w:val="en-US" w:eastAsia="zh-CN"/>
        </w:rPr>
        <w:t>乙方：</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律师事务所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法定代表人：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地址：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邮政编码：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（以下简称甲方）</w:t>
      </w:r>
      <w:r>
        <w:rPr>
          <w:rFonts w:hint="eastAsia" w:ascii="仿宋" w:hAnsi="仿宋" w:eastAsia="仿宋" w:cs="仿宋"/>
          <w:sz w:val="32"/>
          <w:szCs w:val="32"/>
          <w:lang w:val="en-US" w:eastAsia="zh-CN"/>
        </w:rPr>
        <w:t>因经营管理需要，根据《中华人民共和国合同法》、《中华人民共和国律师法》及《国有企业法律顾问管理办法》等有关规定，经公开招标程序（ 编号   ）确定</w:t>
      </w:r>
      <w:r>
        <w:rPr>
          <w:rFonts w:hint="eastAsia" w:ascii="仿宋" w:hAnsi="仿宋" w:eastAsia="仿宋" w:cs="仿宋"/>
          <w:sz w:val="32"/>
          <w:szCs w:val="32"/>
          <w:u w:val="single"/>
          <w:lang w:val="en-US" w:eastAsia="zh-CN"/>
        </w:rPr>
        <w:t xml:space="preserve"> （律所）      </w:t>
      </w:r>
      <w:r>
        <w:rPr>
          <w:rFonts w:hint="eastAsia" w:ascii="仿宋" w:hAnsi="仿宋" w:eastAsia="仿宋" w:cs="仿宋"/>
          <w:sz w:val="32"/>
          <w:szCs w:val="32"/>
          <w:u w:val="none"/>
          <w:lang w:val="en-US" w:eastAsia="zh-CN"/>
        </w:rPr>
        <w:t>（以下简称乙方）为本项目成交人，聘请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律师担任常年法律顾问。经双方协商订立本协议，共同遵照履行。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本合同期限为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日至</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日，甲方在合同期满前30日内对乙方实施履约评价</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85分的本合同自动延续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至</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日；分数未达标的本合同终止。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一、乙方法律顾问服务范围</w:t>
      </w:r>
    </w:p>
    <w:p>
      <w:pPr>
        <w:keepNext w:val="0"/>
        <w:keepLines w:val="0"/>
        <w:pageBreakBefore w:val="0"/>
        <w:widowControl w:val="0"/>
        <w:numPr>
          <w:ilvl w:val="0"/>
          <w:numId w:val="26"/>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常规法律服务，包括：</w:t>
      </w:r>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11"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随时为甲方提供法律咨询；</w:t>
      </w:r>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1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为甲方提供法律咨询服务，出具法律意见书，拟定法律解决方案；</w:t>
      </w:r>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1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为甲方提供各类业务所涉及的合同、协议等法律文件的起草、洽商、审查等；</w:t>
      </w:r>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1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为甲方在重大经济活动和经营决策提供法律意见或法律信息；</w:t>
      </w:r>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1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为甲方的商标权、专利权、著作权、商业秘密和专有经营权等合法权益的保护提供法律建议，并协助甲方制定保密制度和保密协议； </w:t>
      </w:r>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1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根据甲方的委托，以法律顾问的名义对外签发律师函或代理甲方申请强制执行；</w:t>
      </w:r>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1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根据甲方的需要，参与公司之间的各类经济项目谈判、协调、审查或准备谈判所需的各类法律文件；</w:t>
      </w:r>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1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跟进甲方的重大风险事件，并提供法律意见；</w:t>
      </w:r>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1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根据甲方的需要，以讲座、编集法律资料、手册或其他方式，定期或不定期对甲方员工进行普法教育或法律方面的业务培训、讲授法律实务知识；</w:t>
      </w:r>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1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协助甲方实施法务制度体系构建，为甲方法务管理提供支持性信息、材料与合理化建议；</w:t>
      </w:r>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1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双方协商确定的其他法律服务。</w:t>
      </w:r>
    </w:p>
    <w:p>
      <w:pPr>
        <w:keepNext w:val="0"/>
        <w:keepLines w:val="0"/>
        <w:pageBreakBefore w:val="0"/>
        <w:widowControl w:val="0"/>
        <w:numPr>
          <w:ilvl w:val="0"/>
          <w:numId w:val="28"/>
        </w:numPr>
        <w:kinsoku/>
        <w:wordWrap/>
        <w:overflowPunct/>
        <w:topLinePunct w:val="0"/>
        <w:autoSpaceDE/>
        <w:autoSpaceDN/>
        <w:bidi w:val="0"/>
        <w:adjustRightInd/>
        <w:snapToGrid/>
        <w:spacing w:line="560" w:lineRule="exact"/>
        <w:ind w:left="0" w:leftChars="0" w:firstLine="397" w:firstLineChars="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非诉讼法律服务，包括：</w:t>
      </w:r>
    </w:p>
    <w:p>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甲方作为当事人的案件及法律事务实施分析、判断，最大程度为甲方避免法律风险及成本；</w:t>
      </w:r>
    </w:p>
    <w:p>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协调劳资关系、规范劳资合同关系、提供劳动法律服务咨询；</w:t>
      </w:r>
    </w:p>
    <w:p>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应甲方要求，就甲方已经面临或者可能发生的纠纷，进行法律论证，提出解决方案；出具律师函，发表律师意见；或参与非诉讼谈判、协调、调解；</w:t>
      </w:r>
    </w:p>
    <w:p>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为甲方重大经营管理事项，包括但不限于企业设立、股权转让、增资减资、招标投标、合并分立、清算注销、资产重组、改制上市等提供法律服务；</w:t>
      </w:r>
    </w:p>
    <w:p>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甲方认为必要的其他非诉讼法律服务。</w:t>
      </w:r>
    </w:p>
    <w:p>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397" w:firstLineChars="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诉讼法律事务，包括：</w:t>
      </w:r>
    </w:p>
    <w:p>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应甲方委托，代理甲方进行劳动、民事、经济纠纷的法务事务处理、处置；</w:t>
      </w:r>
    </w:p>
    <w:p>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应甲方委托，代理甲方进行劳动、民事、刑事、经济和行政案件的诉讼；</w:t>
      </w:r>
    </w:p>
    <w:p>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应甲方委托，代理甲方进行经济、劳动和涉外案件的仲裁。</w:t>
      </w:r>
    </w:p>
    <w:p>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甲方认为必要的其他诉讼法律服务。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二、乙方法律顾问的权利义务</w:t>
      </w:r>
    </w:p>
    <w:p>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乙方委派</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律师作为甲方常年法律顾问，依法维护甲方的合法权益。受聘律师以法律顾问的身份在本合同规定的工作范围内提供法律服务。</w:t>
      </w:r>
      <w:r>
        <w:rPr>
          <w:rFonts w:hint="eastAsia" w:ascii="仿宋" w:hAnsi="仿宋" w:eastAsia="仿宋" w:cs="仿宋"/>
          <w:sz w:val="32"/>
          <w:szCs w:val="32"/>
          <w:highlight w:val="none"/>
          <w:lang w:val="en-US" w:eastAsia="zh-CN"/>
        </w:rPr>
        <w:t>甲方同意上述律师指派其他律师配合完成上述法律事务工作，但乙</w:t>
      </w:r>
      <w:r>
        <w:rPr>
          <w:rFonts w:hint="eastAsia" w:ascii="仿宋" w:hAnsi="仿宋" w:eastAsia="仿宋" w:cs="仿宋"/>
          <w:sz w:val="32"/>
          <w:szCs w:val="32"/>
          <w:lang w:val="en-US" w:eastAsia="zh-CN"/>
        </w:rPr>
        <w:t>方更换律师担任甲方常年法律顾问应取得甲方认可；</w:t>
      </w:r>
    </w:p>
    <w:p>
      <w:pPr>
        <w:keepNext w:val="0"/>
        <w:keepLines w:val="0"/>
        <w:numPr>
          <w:ilvl w:val="0"/>
          <w:numId w:val="32"/>
        </w:num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方应确保乙方所派出的顾问律师与乙方投标文件服务方案中团队负责人信息一致，乙方服务团队中其他人员的支持性服务不能免除乙方顾问律师提供法律意见的义务。乙方同意，如因乙方实际提供服务人员与服务方案不一致的，甲方有权即时解除本合同而无需承担任何责任。乙方在交付服务前已经取得甲方许可的情况除外；</w:t>
      </w:r>
    </w:p>
    <w:p>
      <w:pPr>
        <w:keepNext w:val="0"/>
        <w:keepLines w:val="0"/>
        <w:numPr>
          <w:ilvl w:val="0"/>
          <w:numId w:val="32"/>
        </w:numPr>
        <w:spacing w:line="560" w:lineRule="exact"/>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应遵守国家法律法规和有关规定以及甲方规章制度，恪守职业道德和执业纪律。依法履行甲方法律顾问职责，及时承办甲方委托办理的有关法律事务；</w:t>
      </w:r>
    </w:p>
    <w:p>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负责处理甲方经营、管理和决策中的法律事务；</w:t>
      </w:r>
    </w:p>
    <w:p>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对损害甲方合法权益、损害出资人合法权益和违反法律法规的行为，提出意见和建议；</w:t>
      </w:r>
    </w:p>
    <w:p>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对所提的法律意见、起草的法律文书以及办理的其它法律事务的合法性负责；</w:t>
      </w:r>
    </w:p>
    <w:p>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可根据工作需要查阅企业有关文件、资料，询问甲方有关人员；</w:t>
      </w:r>
    </w:p>
    <w:p>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根据本合同规定和甲方的授权委托进行工作，不得超越代理权限；</w:t>
      </w:r>
    </w:p>
    <w:p>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在涉及甲方的对抗性案件或者交易活动中，未经甲方同意，不得担任与甲方具有法律上利益冲突的另一方的法律顾问或者代理人；</w:t>
      </w:r>
    </w:p>
    <w:p>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对其获知的国家秘密及有关甲方的生产、经营、管理和其他经济活动中的商业秘密，非由法律规定或者甲方同意，不得向任何第三方披露，该保密义务不随本合同到期失效；</w:t>
      </w:r>
    </w:p>
    <w:p>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对甲方的法律事务单独建档，并保存完整的工作记录，对涉及甲方的案件卷宗证据材料、法律文书、及其他支持性材料妥善保管并随时备甲方查阅。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三、乙方法律顾问的工作原则</w:t>
      </w:r>
    </w:p>
    <w:p>
      <w:pPr>
        <w:keepNext w:val="0"/>
        <w:keepLines w:val="0"/>
        <w:pageBreakBefore w:val="0"/>
        <w:widowControl w:val="0"/>
        <w:numPr>
          <w:ilvl w:val="0"/>
          <w:numId w:val="3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依据国家法律法规和有关规定职业；</w:t>
      </w:r>
    </w:p>
    <w:p>
      <w:pPr>
        <w:keepNext w:val="0"/>
        <w:keepLines w:val="0"/>
        <w:pageBreakBefore w:val="0"/>
        <w:widowControl w:val="0"/>
        <w:numPr>
          <w:ilvl w:val="0"/>
          <w:numId w:val="3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依法维护企业的合法权益；</w:t>
      </w:r>
    </w:p>
    <w:p>
      <w:pPr>
        <w:keepNext w:val="0"/>
        <w:keepLines w:val="0"/>
        <w:pageBreakBefore w:val="0"/>
        <w:widowControl w:val="0"/>
        <w:numPr>
          <w:ilvl w:val="0"/>
          <w:numId w:val="3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依法维护企业国有资产所有者和其他出资人的合法权益。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四、甲方的权利义务</w:t>
      </w:r>
    </w:p>
    <w:p>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规定法律顾问处理甲方法律事务的权限、程序等内容，确保企业法律顾问顺利开展工作；</w:t>
      </w:r>
    </w:p>
    <w:p>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全面、客观和及时地向乙方提供与法律事务有关的各种情况、文件、资料；并对及时提供的资料及相关资料及相关证据的真实性、合法性负责。</w:t>
      </w:r>
    </w:p>
    <w:p>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可向企业法律顾问提出明确、合理的办理法律事务的要求；</w:t>
      </w:r>
    </w:p>
    <w:p>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按时足额向乙方支付法律顾问费和工作费用；</w:t>
      </w:r>
    </w:p>
    <w:p>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根据法律顾问需要积极配合提供材料。</w:t>
      </w:r>
    </w:p>
    <w:p>
      <w:pPr>
        <w:keepNext w:val="0"/>
        <w:keepLines w:val="0"/>
        <w:numPr>
          <w:ilvl w:val="0"/>
          <w:numId w:val="34"/>
        </w:num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本合同所述法律顾问服务不构成独家委托，甲方在以下情况发生时有权委托其他律师事务所办理单个案件，而不构成对本合同的违约：</w:t>
      </w:r>
    </w:p>
    <w:p>
      <w:pPr>
        <w:keepNext w:val="0"/>
        <w:keepLines w:val="0"/>
        <w:numPr>
          <w:ilvl w:val="0"/>
          <w:numId w:val="35"/>
        </w:numPr>
        <w:spacing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乙方顾问律师在法律服务或案件办理中存在懈怠、疏忽或过失行为，经甲方判断可能构成对甲方法律风险控制的潜在隐患，经甲方提醒未显著改正的；</w:t>
      </w:r>
    </w:p>
    <w:p>
      <w:pPr>
        <w:keepNext w:val="0"/>
        <w:keepLines w:val="0"/>
        <w:numPr>
          <w:ilvl w:val="0"/>
          <w:numId w:val="35"/>
        </w:numPr>
        <w:spacing w:line="560" w:lineRule="exact"/>
        <w:ind w:left="0"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案件具有特殊性且在乙方提供的投标文件中未能证明顾问律师具有该领域办案经验的。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五、法律顾问工作时间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方工作时间采取不定时工作方式，甲方需要法律顾问提供法律服务时，可随时联系约定，法律顾问应在时间允许的情况下优先及时办理。遇有紧急事项，急事急办，不得延误。如因出差等原因无法到达，也应委托安排其他律师到场或做出合理工作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六、工作费用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乙方法律顾问办理甲方委托事项所发生的下列工作费用，应由甲方承担:</w:t>
      </w:r>
    </w:p>
    <w:p>
      <w:pPr>
        <w:keepNext w:val="0"/>
        <w:keepLines w:val="0"/>
        <w:pageBreakBefore w:val="0"/>
        <w:widowControl w:val="0"/>
        <w:numPr>
          <w:ilvl w:val="0"/>
          <w:numId w:val="36"/>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相关行政、司法、签定、公正等部门收取的费用；</w:t>
      </w:r>
    </w:p>
    <w:p>
      <w:pPr>
        <w:keepNext w:val="0"/>
        <w:keepLines w:val="0"/>
        <w:pageBreakBefore w:val="0"/>
        <w:widowControl w:val="0"/>
        <w:numPr>
          <w:ilvl w:val="0"/>
          <w:numId w:val="36"/>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因甲方事由需要法律顾问出差的交通、食宿费用；</w:t>
      </w:r>
    </w:p>
    <w:p>
      <w:pPr>
        <w:keepNext w:val="0"/>
        <w:keepLines w:val="0"/>
        <w:pageBreakBefore w:val="0"/>
        <w:widowControl w:val="0"/>
        <w:numPr>
          <w:ilvl w:val="0"/>
          <w:numId w:val="36"/>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征得甲方同意后支出的其他费用。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七、法律顾问费及办案费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甲方每年向乙方支付法律顾问费为人民币</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元（</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元整）。甲方应当在合同签订之日起七个工作日内将法律顾问费一次性支付给乙方；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lang w:val="en-US" w:eastAsia="zh-CN"/>
        </w:rPr>
        <w:t>法律顾问费用已涵盖日常法律服务及非诉讼法律事务服务，乙方不再另行收取费用；</w:t>
      </w:r>
      <w:r>
        <w:rPr>
          <w:rFonts w:hint="eastAsia" w:ascii="仿宋" w:hAnsi="仿宋" w:eastAsia="仿宋" w:cs="仿宋"/>
          <w:sz w:val="32"/>
          <w:szCs w:val="32"/>
          <w:lang w:val="en-US" w:eastAsia="zh-CN"/>
        </w:rPr>
        <w:t>如参加民事、经济、行政诉讼和仲裁法律事务，</w:t>
      </w:r>
      <w:r>
        <w:rPr>
          <w:rFonts w:hint="eastAsia" w:ascii="仿宋" w:hAnsi="仿宋" w:eastAsia="仿宋" w:cs="仿宋"/>
          <w:sz w:val="32"/>
          <w:szCs w:val="32"/>
          <w:highlight w:val="none"/>
          <w:lang w:val="en-US" w:eastAsia="zh-CN"/>
        </w:rPr>
        <w:t>收费标准按照本项目成交报价表执行；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乙方应就合同项下全部费用，包括但不限于法律顾问费、律师费等，乙方均须向甲方开具符合国家法律法规规定及甲方财务要求的增值税专用发票。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八、合同的解除</w:t>
      </w:r>
    </w:p>
    <w:p>
      <w:pPr>
        <w:keepNext w:val="0"/>
        <w:keepLines w:val="0"/>
        <w:pageBreakBefore w:val="0"/>
        <w:widowControl w:val="0"/>
        <w:numPr>
          <w:ilvl w:val="0"/>
          <w:numId w:val="37"/>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甲乙双方经协商同意，可以变更或者解除本合同。但乙方有下列情形之一的，构成违约，甲方有权即时解除合同而不需承担任何赔偿或法律责任：</w:t>
      </w:r>
    </w:p>
    <w:p>
      <w:pPr>
        <w:keepNext w:val="0"/>
        <w:keepLines w:val="0"/>
        <w:pageBreakBefore w:val="0"/>
        <w:widowControl w:val="0"/>
        <w:numPr>
          <w:ilvl w:val="0"/>
          <w:numId w:val="3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未经甲方书面同意，擅自更换作为甲方常年法律顾问律师的；</w:t>
      </w:r>
    </w:p>
    <w:p>
      <w:pPr>
        <w:keepNext w:val="0"/>
        <w:keepLines w:val="0"/>
        <w:pageBreakBefore w:val="0"/>
        <w:widowControl w:val="0"/>
        <w:numPr>
          <w:ilvl w:val="0"/>
          <w:numId w:val="3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未按照投标文件、合同谈判记录或合同约定标准履行服务，致使服务质量下降或效率降低的；</w:t>
      </w:r>
    </w:p>
    <w:p>
      <w:pPr>
        <w:keepNext w:val="0"/>
        <w:keepLines w:val="0"/>
        <w:pageBreakBefore w:val="0"/>
        <w:widowControl w:val="0"/>
        <w:numPr>
          <w:ilvl w:val="0"/>
          <w:numId w:val="3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乙方法律顾问或服务团队人员因工作延误、失职、失误导致甲方蒙受损失的；</w:t>
      </w:r>
    </w:p>
    <w:p>
      <w:pPr>
        <w:keepNext w:val="0"/>
        <w:keepLines w:val="0"/>
        <w:pageBreakBefore w:val="0"/>
        <w:widowControl w:val="0"/>
        <w:numPr>
          <w:ilvl w:val="0"/>
          <w:numId w:val="3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乙方未提供第一条规定的法律服务、违反本合同第二条规定的义务或本合同第三条规定的工作原则；</w:t>
      </w:r>
    </w:p>
    <w:p>
      <w:pPr>
        <w:keepNext w:val="0"/>
        <w:keepLines w:val="0"/>
        <w:pageBreakBefore w:val="0"/>
        <w:widowControl w:val="0"/>
        <w:numPr>
          <w:ilvl w:val="0"/>
          <w:numId w:val="3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履约评价未达标的。</w:t>
      </w:r>
    </w:p>
    <w:p>
      <w:pPr>
        <w:keepNext w:val="0"/>
        <w:keepLines w:val="0"/>
        <w:pageBreakBefore w:val="0"/>
        <w:widowControl w:val="0"/>
        <w:numPr>
          <w:ilvl w:val="0"/>
          <w:numId w:val="3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甲方有下列情形之一的，乙方有权解除合同：</w:t>
      </w:r>
    </w:p>
    <w:p>
      <w:pPr>
        <w:keepNext w:val="0"/>
        <w:keepLines w:val="0"/>
        <w:pageBreakBefore w:val="0"/>
        <w:widowControl w:val="0"/>
        <w:numPr>
          <w:ilvl w:val="0"/>
          <w:numId w:val="39"/>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甲方的委托事项违反法律或者违反律师职业规范的；</w:t>
      </w:r>
    </w:p>
    <w:p>
      <w:pPr>
        <w:keepNext w:val="0"/>
        <w:keepLines w:val="0"/>
        <w:pageBreakBefore w:val="0"/>
        <w:widowControl w:val="0"/>
        <w:numPr>
          <w:ilvl w:val="0"/>
          <w:numId w:val="39"/>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甲方有捏造事实、伪造证据或者隐瞒重要情节等情形，致使乙方律师不能提供有效法律服务的；</w:t>
      </w:r>
    </w:p>
    <w:p>
      <w:pPr>
        <w:keepNext w:val="0"/>
        <w:keepLines w:val="0"/>
        <w:pageBreakBefore w:val="0"/>
        <w:widowControl w:val="0"/>
        <w:numPr>
          <w:ilvl w:val="0"/>
          <w:numId w:val="39"/>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甲方逾期30个自然日未按本合同约定向乙方支付法律顾问费或律师费用，经乙方书面提醒或催收仍未予支付的。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九、违约责任</w:t>
      </w:r>
    </w:p>
    <w:p>
      <w:pPr>
        <w:keepNext w:val="0"/>
        <w:keepLines w:val="0"/>
        <w:pageBreakBefore w:val="0"/>
        <w:widowControl w:val="0"/>
        <w:numPr>
          <w:ilvl w:val="0"/>
          <w:numId w:val="4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乙方法律顾问未提供第一条规定的法律服务或者违反第二条规定的权利义务，甲方有权要求乙方退还未履行义务时长对应的服务费用。</w:t>
      </w:r>
    </w:p>
    <w:p>
      <w:pPr>
        <w:keepNext w:val="0"/>
        <w:keepLines w:val="0"/>
        <w:pageBreakBefore w:val="0"/>
        <w:widowControl w:val="0"/>
        <w:numPr>
          <w:ilvl w:val="0"/>
          <w:numId w:val="4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乙方法律顾问因违反约定义务、工作延误、失职、失误导致甲方蒙受损失，乙方应当承担赔偿责任。</w:t>
      </w:r>
    </w:p>
    <w:p>
      <w:pPr>
        <w:keepNext w:val="0"/>
        <w:keepLines w:val="0"/>
        <w:pageBreakBefore w:val="0"/>
        <w:widowControl w:val="0"/>
        <w:numPr>
          <w:ilvl w:val="0"/>
          <w:numId w:val="4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甲方无正当理由不支付法律顾问费或者工作费用，或者无故终止合同，乙方有权要求甲方支付未付的法律顾问费、未报销的工作费用以及延期支付的利息。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十、争议的解决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本合同适用中华人民共和国《民法典》《律师法》《民事诉讼法》《仲裁法》等法律。</w:t>
      </w:r>
    </w:p>
    <w:p>
      <w:pPr>
        <w:spacing w:line="560" w:lineRule="exact"/>
        <w:ind w:firstLine="729" w:firstLineChars="228"/>
        <w:rPr>
          <w:rFonts w:hint="eastAsia"/>
          <w:lang w:val="en-US" w:eastAsia="zh-CN"/>
        </w:rPr>
      </w:pPr>
      <w:r>
        <w:rPr>
          <w:rFonts w:hint="eastAsia" w:ascii="仿宋" w:hAnsi="仿宋" w:eastAsia="仿宋" w:cs="仿宋"/>
          <w:bCs/>
          <w:sz w:val="32"/>
          <w:szCs w:val="32"/>
        </w:rPr>
        <w:t>甲乙双方同意且认可</w:t>
      </w:r>
      <w:r>
        <w:rPr>
          <w:rFonts w:hint="eastAsia" w:ascii="仿宋" w:hAnsi="仿宋" w:eastAsia="仿宋" w:cs="仿宋"/>
          <w:bCs/>
          <w:sz w:val="32"/>
          <w:szCs w:val="32"/>
          <w:lang w:val="en-US" w:eastAsia="zh-CN"/>
        </w:rPr>
        <w:t>本项目招标</w:t>
      </w:r>
      <w:r>
        <w:rPr>
          <w:rFonts w:hint="eastAsia" w:ascii="仿宋" w:hAnsi="仿宋" w:eastAsia="仿宋" w:cs="仿宋"/>
          <w:bCs/>
          <w:sz w:val="32"/>
          <w:szCs w:val="32"/>
        </w:rPr>
        <w:t>文件</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投标文件、合同谈判记录、合同文本之间</w:t>
      </w:r>
      <w:r>
        <w:rPr>
          <w:rFonts w:hint="eastAsia" w:ascii="仿宋" w:hAnsi="仿宋" w:eastAsia="仿宋" w:cs="仿宋"/>
          <w:bCs/>
          <w:sz w:val="32"/>
          <w:szCs w:val="32"/>
        </w:rPr>
        <w:t>存在冲突的，以</w:t>
      </w:r>
      <w:r>
        <w:rPr>
          <w:rFonts w:hint="eastAsia" w:ascii="仿宋" w:hAnsi="仿宋" w:eastAsia="仿宋" w:cs="仿宋"/>
          <w:bCs/>
          <w:sz w:val="32"/>
          <w:szCs w:val="32"/>
          <w:lang w:val="en-US" w:eastAsia="zh-CN"/>
        </w:rPr>
        <w:t>最</w:t>
      </w:r>
      <w:r>
        <w:rPr>
          <w:rFonts w:hint="eastAsia" w:ascii="仿宋" w:hAnsi="仿宋" w:eastAsia="仿宋" w:cs="仿宋"/>
          <w:bCs/>
          <w:sz w:val="32"/>
          <w:szCs w:val="32"/>
        </w:rPr>
        <w:t>有利于甲方</w:t>
      </w:r>
      <w:r>
        <w:rPr>
          <w:rFonts w:hint="eastAsia" w:ascii="仿宋" w:hAnsi="仿宋" w:eastAsia="仿宋" w:cs="仿宋"/>
          <w:bCs/>
          <w:sz w:val="32"/>
          <w:szCs w:val="32"/>
          <w:lang w:val="en-US" w:eastAsia="zh-CN"/>
        </w:rPr>
        <w:t>的</w:t>
      </w:r>
      <w:r>
        <w:rPr>
          <w:rFonts w:hint="eastAsia" w:ascii="仿宋" w:hAnsi="仿宋" w:eastAsia="仿宋" w:cs="仿宋"/>
          <w:bCs/>
          <w:sz w:val="32"/>
          <w:szCs w:val="32"/>
        </w:rPr>
        <w:t>内容为准</w:t>
      </w:r>
      <w:r>
        <w:rPr>
          <w:rFonts w:hint="eastAsia" w:ascii="仿宋" w:hAnsi="仿宋" w:eastAsia="仿宋" w:cs="仿宋"/>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甲乙双方如果发生争议，应当友好协商解决，如协商不成，提交罗湖人民法院解决。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十一、合同的生效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本合同一式肆份，甲、乙双方各执两份，自双方签字盖章时生效。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合同附件是本合同不可分割的组成部分，与本合同具有同等法律效力，本合同正文不明确的或合同未尽事宜，双方可另行协商，可通过补充协议予以规定，补充协议与本合同具有同等效力。补充协议与本合同约定不一致的，以补充协议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甲方：（盖章）                   乙方：（盖章）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                    法定代表人：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日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u w:val="single"/>
          <w:lang w:val="en-US" w:eastAsia="zh-CN"/>
        </w:rPr>
      </w:pPr>
    </w:p>
    <w:p>
      <w:pPr>
        <w:pStyle w:val="2"/>
        <w:rPr>
          <w:rFonts w:hint="default" w:ascii="仿宋" w:hAnsi="仿宋" w:eastAsia="仿宋" w:cs="仿宋"/>
          <w:sz w:val="32"/>
          <w:szCs w:val="32"/>
          <w:u w:val="single"/>
          <w:lang w:val="en-US" w:eastAsia="zh-CN"/>
        </w:rPr>
      </w:pPr>
    </w:p>
    <w:p>
      <w:pPr>
        <w:rPr>
          <w:rFonts w:hint="default" w:ascii="仿宋" w:hAnsi="仿宋" w:eastAsia="仿宋" w:cs="仿宋"/>
          <w:sz w:val="32"/>
          <w:szCs w:val="32"/>
          <w:u w:val="single"/>
          <w:lang w:val="en-US" w:eastAsia="zh-CN"/>
        </w:rPr>
      </w:pPr>
    </w:p>
    <w:p>
      <w:pPr>
        <w:pStyle w:val="2"/>
        <w:rPr>
          <w:rFonts w:hint="default" w:ascii="仿宋" w:hAnsi="仿宋" w:eastAsia="仿宋" w:cs="仿宋"/>
          <w:sz w:val="32"/>
          <w:szCs w:val="32"/>
          <w:u w:val="single"/>
          <w:lang w:val="en-US" w:eastAsia="zh-CN"/>
        </w:rPr>
      </w:pPr>
    </w:p>
    <w:p>
      <w:pPr>
        <w:rPr>
          <w:rFonts w:hint="default" w:ascii="仿宋" w:hAnsi="仿宋" w:eastAsia="仿宋" w:cs="仿宋"/>
          <w:sz w:val="32"/>
          <w:szCs w:val="32"/>
          <w:u w:val="single"/>
          <w:lang w:val="en-US" w:eastAsia="zh-CN"/>
        </w:rPr>
      </w:pPr>
    </w:p>
    <w:p>
      <w:pPr>
        <w:pStyle w:val="2"/>
        <w:rPr>
          <w:rFonts w:hint="default" w:ascii="仿宋" w:hAnsi="仿宋" w:eastAsia="仿宋" w:cs="仿宋"/>
          <w:sz w:val="32"/>
          <w:szCs w:val="32"/>
          <w:u w:val="single"/>
          <w:lang w:val="en-US" w:eastAsia="zh-CN"/>
        </w:rPr>
      </w:pPr>
    </w:p>
    <w:p>
      <w:pPr>
        <w:rPr>
          <w:rFonts w:hint="default" w:ascii="仿宋" w:hAnsi="仿宋" w:eastAsia="仿宋" w:cs="仿宋"/>
          <w:sz w:val="32"/>
          <w:szCs w:val="32"/>
          <w:u w:val="single"/>
          <w:lang w:val="en-US" w:eastAsia="zh-CN"/>
        </w:rPr>
      </w:pPr>
    </w:p>
    <w:p>
      <w:pPr>
        <w:pStyle w:val="2"/>
        <w:rPr>
          <w:rFonts w:hint="default" w:ascii="仿宋" w:hAnsi="仿宋" w:eastAsia="仿宋" w:cs="仿宋"/>
          <w:sz w:val="32"/>
          <w:szCs w:val="32"/>
          <w:u w:val="single"/>
          <w:lang w:val="en-US" w:eastAsia="zh-CN"/>
        </w:rPr>
      </w:pPr>
    </w:p>
    <w:p>
      <w:pPr>
        <w:rPr>
          <w:rFonts w:hint="default" w:ascii="仿宋" w:hAnsi="仿宋" w:eastAsia="仿宋" w:cs="仿宋"/>
          <w:sz w:val="32"/>
          <w:szCs w:val="32"/>
          <w:u w:val="single"/>
          <w:lang w:val="en-US" w:eastAsia="zh-CN"/>
        </w:rPr>
      </w:pPr>
    </w:p>
    <w:p>
      <w:pPr>
        <w:pStyle w:val="3"/>
        <w:pageBreakBefore w:val="0"/>
        <w:kinsoku/>
        <w:overflowPunct/>
        <w:topLinePunct w:val="0"/>
        <w:autoSpaceDE/>
        <w:autoSpaceDN/>
        <w:bidi w:val="0"/>
        <w:spacing w:line="560" w:lineRule="exact"/>
        <w:jc w:val="center"/>
        <w:rPr>
          <w:rFonts w:hint="eastAsia" w:ascii="黑体" w:hAnsi="黑体" w:eastAsia="黑体" w:cs="黑体"/>
          <w:sz w:val="32"/>
          <w:szCs w:val="32"/>
          <w:highlight w:val="none"/>
        </w:rPr>
      </w:pPr>
      <w:bookmarkStart w:id="49" w:name="_Toc6034"/>
      <w:r>
        <w:rPr>
          <w:rFonts w:hint="eastAsia" w:ascii="黑体" w:hAnsi="黑体" w:eastAsia="黑体" w:cs="黑体"/>
          <w:sz w:val="32"/>
          <w:szCs w:val="32"/>
          <w:highlight w:val="none"/>
        </w:rPr>
        <w:t>第四章 投标文件格式</w:t>
      </w:r>
      <w:bookmarkEnd w:id="48"/>
      <w:bookmarkEnd w:id="49"/>
    </w:p>
    <w:p>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Cs w:val="0"/>
          <w:sz w:val="22"/>
          <w:szCs w:val="22"/>
          <w:lang w:val="zh-CN"/>
        </w:rPr>
      </w:pPr>
      <w:bookmarkStart w:id="50" w:name="_Toc27533"/>
      <w:bookmarkStart w:id="51" w:name="_Toc24104"/>
      <w:r>
        <w:rPr>
          <w:rFonts w:hint="eastAsia" w:ascii="仿宋" w:hAnsi="仿宋" w:eastAsia="仿宋" w:cs="仿宋"/>
          <w:bCs w:val="0"/>
          <w:sz w:val="22"/>
          <w:szCs w:val="22"/>
          <w:lang w:val="zh-CN"/>
        </w:rPr>
        <w:t>格式1：《唱标信封》</w:t>
      </w:r>
      <w:bookmarkEnd w:id="50"/>
      <w:bookmarkEnd w:id="51"/>
    </w:p>
    <w:p>
      <w:pPr>
        <w:pageBreakBefore w:val="0"/>
        <w:kinsoku/>
        <w:overflowPunct/>
        <w:topLinePunct w:val="0"/>
        <w:autoSpaceDE/>
        <w:autoSpaceDN/>
        <w:bidi w:val="0"/>
        <w:spacing w:line="560" w:lineRule="exact"/>
        <w:jc w:val="center"/>
        <w:rPr>
          <w:rFonts w:hint="eastAsia" w:ascii="仿宋" w:hAnsi="仿宋" w:eastAsia="仿宋" w:cs="仿宋"/>
          <w:b/>
          <w:sz w:val="32"/>
          <w:szCs w:val="32"/>
          <w:highlight w:val="none"/>
        </w:rPr>
      </w:pPr>
    </w:p>
    <w:p>
      <w:pPr>
        <w:pageBreakBefore w:val="0"/>
        <w:kinsoku/>
        <w:overflowPunct/>
        <w:topLinePunct w:val="0"/>
        <w:autoSpaceDE/>
        <w:autoSpaceDN/>
        <w:bidi w:val="0"/>
        <w:spacing w:line="560" w:lineRule="exact"/>
        <w:jc w:val="center"/>
        <w:rPr>
          <w:rFonts w:hint="eastAsia" w:ascii="仿宋" w:hAnsi="仿宋" w:eastAsia="仿宋" w:cs="仿宋"/>
          <w:b/>
          <w:sz w:val="32"/>
          <w:szCs w:val="32"/>
          <w:highlight w:val="none"/>
        </w:rPr>
      </w:pPr>
    </w:p>
    <w:p>
      <w:pPr>
        <w:pageBreakBefore w:val="0"/>
        <w:kinsoku/>
        <w:overflowPunct/>
        <w:topLinePunct w:val="0"/>
        <w:autoSpaceDE/>
        <w:autoSpaceDN/>
        <w:bidi w:val="0"/>
        <w:spacing w:line="560" w:lineRule="exact"/>
        <w:jc w:val="center"/>
        <w:rPr>
          <w:rFonts w:hint="eastAsia" w:ascii="仿宋" w:hAnsi="仿宋" w:eastAsia="仿宋" w:cs="仿宋"/>
          <w:b/>
          <w:sz w:val="32"/>
          <w:szCs w:val="32"/>
          <w:highlight w:val="none"/>
        </w:rPr>
      </w:pPr>
    </w:p>
    <w:p>
      <w:pPr>
        <w:pageBreakBefore w:val="0"/>
        <w:kinsoku/>
        <w:overflowPunct/>
        <w:topLinePunct w:val="0"/>
        <w:autoSpaceDE/>
        <w:autoSpaceDN/>
        <w:bidi w:val="0"/>
        <w:spacing w:line="560" w:lineRule="exact"/>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唱 标 信 封</w:t>
      </w:r>
    </w:p>
    <w:p>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p>
    <w:p>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项目名称：</w:t>
      </w:r>
    </w:p>
    <w:p>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rPr>
        <w:t>招标编号：PLHR-ZB-FW-202</w:t>
      </w:r>
      <w:r>
        <w:rPr>
          <w:rFonts w:hint="eastAsia" w:ascii="仿宋" w:hAnsi="仿宋" w:eastAsia="仿宋" w:cs="仿宋"/>
          <w:b/>
          <w:sz w:val="32"/>
          <w:szCs w:val="32"/>
          <w:highlight w:val="none"/>
          <w:lang w:val="en-US" w:eastAsia="zh-CN"/>
        </w:rPr>
        <w:t>201</w:t>
      </w:r>
    </w:p>
    <w:p>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u w:val="single"/>
        </w:rPr>
      </w:pPr>
      <w:r>
        <w:rPr>
          <w:rFonts w:hint="eastAsia" w:ascii="仿宋" w:hAnsi="仿宋" w:eastAsia="仿宋" w:cs="仿宋"/>
          <w:b/>
          <w:sz w:val="32"/>
          <w:szCs w:val="32"/>
          <w:highlight w:val="none"/>
        </w:rPr>
        <w:t>投标人（盖章）：___________________________</w:t>
      </w:r>
    </w:p>
    <w:p>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法定代表人或授权委托人签字：__________________</w:t>
      </w:r>
    </w:p>
    <w:p>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投标日期：____________年_____月______日</w:t>
      </w:r>
    </w:p>
    <w:p>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p>
    <w:p>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p>
    <w:p>
      <w:pPr>
        <w:pageBreakBefore w:val="0"/>
        <w:kinsoku/>
        <w:overflowPunct/>
        <w:topLinePunct w:val="0"/>
        <w:autoSpaceDE/>
        <w:autoSpaceDN/>
        <w:bidi w:val="0"/>
        <w:spacing w:line="560" w:lineRule="exact"/>
        <w:jc w:val="center"/>
        <w:rPr>
          <w:rFonts w:hint="eastAsia" w:ascii="仿宋" w:hAnsi="仿宋" w:eastAsia="仿宋" w:cs="仿宋"/>
          <w:b/>
          <w:sz w:val="32"/>
          <w:szCs w:val="32"/>
          <w:highlight w:val="yellow"/>
        </w:rPr>
      </w:pPr>
      <w:r>
        <w:rPr>
          <w:rFonts w:hint="eastAsia" w:ascii="仿宋" w:hAnsi="仿宋" w:eastAsia="仿宋" w:cs="仿宋"/>
          <w:b/>
          <w:sz w:val="32"/>
          <w:szCs w:val="32"/>
          <w:highlight w:val="yellow"/>
        </w:rPr>
        <w:t>（20</w:t>
      </w:r>
      <w:r>
        <w:rPr>
          <w:rFonts w:hint="eastAsia" w:ascii="仿宋" w:hAnsi="仿宋" w:eastAsia="仿宋" w:cs="仿宋"/>
          <w:b/>
          <w:sz w:val="32"/>
          <w:szCs w:val="32"/>
          <w:highlight w:val="yellow"/>
          <w:lang w:val="en-US" w:eastAsia="zh-CN"/>
        </w:rPr>
        <w:t>22</w:t>
      </w:r>
      <w:r>
        <w:rPr>
          <w:rFonts w:hint="eastAsia" w:ascii="仿宋" w:hAnsi="仿宋" w:eastAsia="仿宋" w:cs="仿宋"/>
          <w:b/>
          <w:sz w:val="32"/>
          <w:szCs w:val="32"/>
          <w:highlight w:val="yellow"/>
        </w:rPr>
        <w:t>年0</w:t>
      </w:r>
      <w:r>
        <w:rPr>
          <w:rFonts w:hint="eastAsia" w:ascii="仿宋" w:hAnsi="仿宋" w:eastAsia="仿宋" w:cs="仿宋"/>
          <w:b/>
          <w:sz w:val="32"/>
          <w:szCs w:val="32"/>
          <w:highlight w:val="yellow"/>
          <w:lang w:val="en-US" w:eastAsia="zh-CN"/>
        </w:rPr>
        <w:t>7</w:t>
      </w:r>
      <w:r>
        <w:rPr>
          <w:rFonts w:hint="eastAsia" w:ascii="仿宋" w:hAnsi="仿宋" w:eastAsia="仿宋" w:cs="仿宋"/>
          <w:b/>
          <w:sz w:val="32"/>
          <w:szCs w:val="32"/>
          <w:highlight w:val="yellow"/>
        </w:rPr>
        <w:t>月</w:t>
      </w:r>
      <w:r>
        <w:rPr>
          <w:rFonts w:hint="eastAsia" w:ascii="仿宋" w:hAnsi="仿宋" w:eastAsia="仿宋" w:cs="仿宋"/>
          <w:b/>
          <w:sz w:val="32"/>
          <w:szCs w:val="32"/>
          <w:highlight w:val="yellow"/>
          <w:lang w:val="en-US" w:eastAsia="zh-CN"/>
        </w:rPr>
        <w:t>15</w:t>
      </w:r>
      <w:r>
        <w:rPr>
          <w:rFonts w:hint="eastAsia" w:ascii="仿宋" w:hAnsi="仿宋" w:eastAsia="仿宋" w:cs="仿宋"/>
          <w:b/>
          <w:sz w:val="32"/>
          <w:szCs w:val="32"/>
          <w:highlight w:val="yellow"/>
        </w:rPr>
        <w:t>日</w:t>
      </w:r>
      <w:r>
        <w:rPr>
          <w:rFonts w:hint="eastAsia" w:ascii="仿宋" w:hAnsi="仿宋" w:eastAsia="仿宋" w:cs="仿宋"/>
          <w:b/>
          <w:sz w:val="32"/>
          <w:szCs w:val="32"/>
          <w:highlight w:val="yellow"/>
          <w:lang w:val="en-US" w:eastAsia="zh-CN"/>
        </w:rPr>
        <w:t>9</w:t>
      </w:r>
      <w:r>
        <w:rPr>
          <w:rFonts w:hint="eastAsia" w:ascii="仿宋" w:hAnsi="仿宋" w:eastAsia="仿宋" w:cs="仿宋"/>
          <w:b/>
          <w:sz w:val="32"/>
          <w:szCs w:val="32"/>
          <w:highlight w:val="yellow"/>
        </w:rPr>
        <w:t>时</w:t>
      </w:r>
      <w:r>
        <w:rPr>
          <w:rFonts w:hint="eastAsia" w:ascii="仿宋" w:hAnsi="仿宋" w:eastAsia="仿宋" w:cs="仿宋"/>
          <w:b/>
          <w:sz w:val="32"/>
          <w:szCs w:val="32"/>
          <w:highlight w:val="yellow"/>
          <w:lang w:val="en-US" w:eastAsia="zh-CN"/>
        </w:rPr>
        <w:t>30</w:t>
      </w:r>
      <w:r>
        <w:rPr>
          <w:rFonts w:hint="eastAsia" w:ascii="仿宋" w:hAnsi="仿宋" w:eastAsia="仿宋" w:cs="仿宋"/>
          <w:b/>
          <w:sz w:val="32"/>
          <w:szCs w:val="32"/>
          <w:highlight w:val="yellow"/>
        </w:rPr>
        <w:t>分前不得开启）</w:t>
      </w:r>
    </w:p>
    <w:p>
      <w:pPr>
        <w:pageBreakBefore w:val="0"/>
        <w:kinsoku/>
        <w:overflowPunct/>
        <w:topLinePunct w:val="0"/>
        <w:autoSpaceDE/>
        <w:autoSpaceDN/>
        <w:bidi w:val="0"/>
        <w:spacing w:line="560" w:lineRule="exact"/>
        <w:rPr>
          <w:rFonts w:hint="eastAsia" w:ascii="仿宋" w:hAnsi="仿宋" w:eastAsia="仿宋" w:cs="仿宋"/>
          <w:b/>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sz w:val="32"/>
          <w:szCs w:val="32"/>
          <w:highlight w:val="none"/>
        </w:rPr>
      </w:pPr>
    </w:p>
    <w:p>
      <w:pPr>
        <w:pStyle w:val="2"/>
        <w:rPr>
          <w:rFonts w:hint="eastAsia" w:ascii="仿宋" w:hAnsi="仿宋" w:eastAsia="仿宋" w:cs="仿宋"/>
          <w:b/>
          <w:sz w:val="32"/>
          <w:szCs w:val="32"/>
          <w:highlight w:val="none"/>
        </w:rPr>
      </w:pPr>
    </w:p>
    <w:p>
      <w:pPr>
        <w:rPr>
          <w:rFonts w:hint="eastAsia" w:ascii="仿宋" w:hAnsi="仿宋" w:eastAsia="仿宋" w:cs="仿宋"/>
          <w:b/>
          <w:sz w:val="32"/>
          <w:szCs w:val="32"/>
          <w:highlight w:val="none"/>
        </w:rPr>
      </w:pPr>
    </w:p>
    <w:p>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Cs w:val="0"/>
          <w:sz w:val="21"/>
          <w:szCs w:val="21"/>
          <w:lang w:val="zh-CN"/>
        </w:rPr>
      </w:pPr>
      <w:bookmarkStart w:id="52" w:name="_Toc5477"/>
      <w:bookmarkStart w:id="53" w:name="_Toc23060"/>
    </w:p>
    <w:p>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Cs w:val="0"/>
          <w:sz w:val="21"/>
          <w:szCs w:val="21"/>
          <w:lang w:val="zh-CN"/>
        </w:rPr>
      </w:pPr>
      <w:r>
        <w:rPr>
          <w:rFonts w:hint="eastAsia" w:ascii="仿宋" w:hAnsi="仿宋" w:eastAsia="仿宋" w:cs="仿宋"/>
          <w:bCs w:val="0"/>
          <w:sz w:val="21"/>
          <w:szCs w:val="21"/>
          <w:lang w:val="zh-CN"/>
        </w:rPr>
        <w:t>格式2：开标一览表</w:t>
      </w:r>
      <w:bookmarkEnd w:id="52"/>
      <w:bookmarkEnd w:id="53"/>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rPr>
        <w:t>开标一览表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致：深圳市鹏劳人力资源管理有限公司</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lang w:val="en-US" w:eastAsia="zh-CN"/>
        </w:rPr>
        <w:t>常年法律顾问服务</w:t>
      </w:r>
      <w:r>
        <w:rPr>
          <w:rFonts w:hint="eastAsia" w:ascii="仿宋" w:hAnsi="仿宋" w:eastAsia="仿宋" w:cs="仿宋"/>
          <w:b w:val="0"/>
          <w:bCs/>
          <w:sz w:val="21"/>
          <w:szCs w:val="21"/>
          <w:highlight w:val="none"/>
        </w:rPr>
        <w:t>采购项目（招标编号：PLHR-ZB-FW-202</w:t>
      </w:r>
      <w:r>
        <w:rPr>
          <w:rFonts w:hint="eastAsia" w:ascii="仿宋" w:hAnsi="仿宋" w:eastAsia="仿宋" w:cs="仿宋"/>
          <w:b w:val="0"/>
          <w:bCs/>
          <w:sz w:val="21"/>
          <w:szCs w:val="21"/>
          <w:highlight w:val="none"/>
          <w:lang w:val="en-US" w:eastAsia="zh-CN"/>
        </w:rPr>
        <w:t>201</w:t>
      </w:r>
      <w:r>
        <w:rPr>
          <w:rFonts w:hint="eastAsia" w:ascii="仿宋" w:hAnsi="仿宋" w:eastAsia="仿宋" w:cs="仿宋"/>
          <w:b w:val="0"/>
          <w:bCs/>
          <w:sz w:val="21"/>
          <w:szCs w:val="21"/>
          <w:highlight w:val="none"/>
        </w:rPr>
        <w:t>）项目投标报价如下：</w:t>
      </w:r>
    </w:p>
    <w:tbl>
      <w:tblPr>
        <w:tblStyle w:val="16"/>
        <w:tblW w:w="87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612"/>
        <w:gridCol w:w="1236"/>
        <w:gridCol w:w="1988"/>
        <w:gridCol w:w="27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序号</w:t>
            </w:r>
          </w:p>
        </w:tc>
        <w:tc>
          <w:tcPr>
            <w:tcW w:w="16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项目名称</w:t>
            </w:r>
          </w:p>
        </w:tc>
        <w:tc>
          <w:tcPr>
            <w:tcW w:w="12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项目阶段</w:t>
            </w:r>
          </w:p>
        </w:tc>
        <w:tc>
          <w:tcPr>
            <w:tcW w:w="19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分项报价（元）</w:t>
            </w:r>
          </w:p>
        </w:tc>
        <w:tc>
          <w:tcPr>
            <w:tcW w:w="2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highlight w:val="none"/>
                <w:vertAlign w:val="baseline"/>
                <w:lang w:val="en-US" w:eastAsia="zh-CN"/>
              </w:rPr>
              <w:t>报价说明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2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6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Cs/>
                <w:kern w:val="0"/>
                <w:sz w:val="21"/>
                <w:szCs w:val="21"/>
                <w:highlight w:val="none"/>
                <w:lang w:val="en-US" w:eastAsia="zh-CN"/>
              </w:rPr>
            </w:pPr>
            <w:r>
              <w:rPr>
                <w:rFonts w:hint="eastAsia" w:ascii="仿宋" w:hAnsi="仿宋" w:eastAsia="仿宋" w:cs="仿宋"/>
                <w:bCs/>
                <w:kern w:val="0"/>
                <w:sz w:val="21"/>
                <w:szCs w:val="21"/>
                <w:highlight w:val="none"/>
                <w:lang w:val="en-US" w:eastAsia="zh-CN"/>
              </w:rPr>
              <w:t>常年法律顾问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bCs/>
                <w:kern w:val="0"/>
                <w:sz w:val="21"/>
                <w:szCs w:val="21"/>
                <w:highlight w:val="none"/>
                <w:lang w:val="en-US" w:eastAsia="zh-CN"/>
              </w:rPr>
              <w:t>服务费</w:t>
            </w:r>
          </w:p>
        </w:tc>
        <w:tc>
          <w:tcPr>
            <w:tcW w:w="12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w:t>
            </w:r>
          </w:p>
        </w:tc>
        <w:tc>
          <w:tcPr>
            <w:tcW w:w="19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c>
          <w:tcPr>
            <w:tcW w:w="2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21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61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经济案件</w:t>
            </w:r>
          </w:p>
        </w:tc>
        <w:tc>
          <w:tcPr>
            <w:tcW w:w="12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一审</w:t>
            </w:r>
          </w:p>
        </w:tc>
        <w:tc>
          <w:tcPr>
            <w:tcW w:w="19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c>
          <w:tcPr>
            <w:tcW w:w="2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61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2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二审</w:t>
            </w:r>
          </w:p>
        </w:tc>
        <w:tc>
          <w:tcPr>
            <w:tcW w:w="19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27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2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161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12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终审</w:t>
            </w:r>
          </w:p>
        </w:tc>
        <w:tc>
          <w:tcPr>
            <w:tcW w:w="19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27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1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61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劳动争议案件</w:t>
            </w:r>
          </w:p>
        </w:tc>
        <w:tc>
          <w:tcPr>
            <w:tcW w:w="12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仲裁</w:t>
            </w:r>
          </w:p>
        </w:tc>
        <w:tc>
          <w:tcPr>
            <w:tcW w:w="19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c>
          <w:tcPr>
            <w:tcW w:w="2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61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2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一审</w:t>
            </w:r>
          </w:p>
        </w:tc>
        <w:tc>
          <w:tcPr>
            <w:tcW w:w="19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27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161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12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二审</w:t>
            </w:r>
          </w:p>
        </w:tc>
        <w:tc>
          <w:tcPr>
            <w:tcW w:w="19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27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21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161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行政案件</w:t>
            </w:r>
          </w:p>
        </w:tc>
        <w:tc>
          <w:tcPr>
            <w:tcW w:w="12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一审</w:t>
            </w:r>
          </w:p>
        </w:tc>
        <w:tc>
          <w:tcPr>
            <w:tcW w:w="19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c>
          <w:tcPr>
            <w:tcW w:w="2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2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61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2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二审</w:t>
            </w:r>
          </w:p>
        </w:tc>
        <w:tc>
          <w:tcPr>
            <w:tcW w:w="19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27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2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161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12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终审</w:t>
            </w:r>
          </w:p>
        </w:tc>
        <w:tc>
          <w:tcPr>
            <w:tcW w:w="19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27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2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6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其他</w:t>
            </w:r>
          </w:p>
        </w:tc>
        <w:tc>
          <w:tcPr>
            <w:tcW w:w="12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c>
          <w:tcPr>
            <w:tcW w:w="19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c>
          <w:tcPr>
            <w:tcW w:w="2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2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c>
          <w:tcPr>
            <w:tcW w:w="16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w:t>
            </w:r>
          </w:p>
        </w:tc>
        <w:tc>
          <w:tcPr>
            <w:tcW w:w="12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c>
          <w:tcPr>
            <w:tcW w:w="19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c>
          <w:tcPr>
            <w:tcW w:w="2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r>
    </w:tbl>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firstLine="422" w:firstLineChars="200"/>
        <w:rPr>
          <w:rFonts w:hint="eastAsia" w:ascii="仿宋" w:hAnsi="仿宋" w:eastAsia="仿宋" w:cs="仿宋"/>
          <w:b/>
          <w:sz w:val="21"/>
          <w:szCs w:val="21"/>
          <w:highlight w:val="none"/>
        </w:rPr>
      </w:pPr>
      <w:r>
        <w:rPr>
          <w:rFonts w:hint="eastAsia" w:ascii="仿宋" w:hAnsi="仿宋" w:eastAsia="仿宋" w:cs="仿宋"/>
          <w:b/>
          <w:sz w:val="21"/>
          <w:szCs w:val="21"/>
          <w:highlight w:val="none"/>
        </w:rPr>
        <w:t xml:space="preserve">说明： </w:t>
      </w:r>
    </w:p>
    <w:p>
      <w:pPr>
        <w:keepNext w:val="0"/>
        <w:keepLines w:val="0"/>
        <w:numPr>
          <w:ilvl w:val="0"/>
          <w:numId w:val="41"/>
        </w:numPr>
        <w:spacing w:line="240" w:lineRule="auto"/>
        <w:ind w:left="0" w:leftChars="0" w:firstLine="420" w:firstLineChars="200"/>
        <w:rPr>
          <w:rFonts w:hint="eastAsia"/>
        </w:rPr>
      </w:pPr>
      <w:r>
        <w:rPr>
          <w:rFonts w:hint="eastAsia" w:ascii="仿宋" w:hAnsi="仿宋" w:eastAsia="仿宋" w:cs="仿宋"/>
          <w:sz w:val="21"/>
          <w:szCs w:val="21"/>
          <w:highlight w:val="none"/>
        </w:rPr>
        <w:t>本表仅作为开标信息一览，实际报价以投标人投标文件中提交的报价表为准，但数据应保持一致，否则应由投标人进行澄清，澄清后价格不可突破投标报价上限，如拒不澄清或澄清后价格突破投标文件中报价上限的，按废标处理；</w:t>
      </w:r>
    </w:p>
    <w:p>
      <w:pPr>
        <w:keepNext w:val="0"/>
        <w:keepLines w:val="0"/>
        <w:pageBreakBefore w:val="0"/>
        <w:numPr>
          <w:ilvl w:val="0"/>
          <w:numId w:val="41"/>
        </w:numPr>
        <w:kinsoku/>
        <w:wordWrap/>
        <w:overflowPunct/>
        <w:topLinePunct w:val="0"/>
        <w:autoSpaceDE/>
        <w:autoSpaceDN/>
        <w:bidi w:val="0"/>
        <w:adjustRightInd/>
        <w:snapToGrid/>
        <w:spacing w:line="240" w:lineRule="auto"/>
        <w:ind w:left="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投标人报价应根据案件办理件数、具体案件执行阶段详细注明每标准收费，计价单位根据案件情况不同明确到每件、每宗、每阶段。其他项目收费参照上述要求注明费用及收费标准。</w:t>
      </w:r>
      <w:r>
        <w:rPr>
          <w:rFonts w:hint="eastAsia" w:ascii="仿宋" w:hAnsi="仿宋" w:eastAsia="仿宋" w:cs="仿宋"/>
          <w:sz w:val="21"/>
          <w:szCs w:val="21"/>
          <w:highlight w:val="none"/>
        </w:rPr>
        <w:t>投标人如需对报价或其它内容加以说明，</w:t>
      </w:r>
      <w:r>
        <w:rPr>
          <w:rFonts w:hint="eastAsia" w:ascii="仿宋" w:hAnsi="仿宋" w:eastAsia="仿宋" w:cs="仿宋"/>
          <w:sz w:val="21"/>
          <w:szCs w:val="21"/>
          <w:highlight w:val="none"/>
          <w:lang w:eastAsia="zh-CN"/>
        </w:rPr>
        <w:t>在报价说明栏内清晰准确示明</w:t>
      </w:r>
      <w:r>
        <w:rPr>
          <w:rFonts w:hint="eastAsia" w:ascii="仿宋" w:hAnsi="仿宋" w:eastAsia="仿宋" w:cs="仿宋"/>
          <w:sz w:val="21"/>
          <w:szCs w:val="21"/>
          <w:highlight w:val="none"/>
        </w:rPr>
        <w:t>；</w:t>
      </w:r>
    </w:p>
    <w:p>
      <w:pPr>
        <w:keepNext w:val="0"/>
        <w:keepLines w:val="0"/>
        <w:pageBreakBefore w:val="0"/>
        <w:numPr>
          <w:ilvl w:val="0"/>
          <w:numId w:val="41"/>
        </w:numPr>
        <w:kinsoku/>
        <w:wordWrap/>
        <w:overflowPunct/>
        <w:topLinePunct w:val="0"/>
        <w:autoSpaceDE/>
        <w:autoSpaceDN/>
        <w:bidi w:val="0"/>
        <w:adjustRightInd/>
        <w:snapToGrid/>
        <w:spacing w:line="240" w:lineRule="auto"/>
        <w:ind w:left="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此表应经法定代表人或授权代表人签名，并加盖投标人单位公章，否则无效，作废标处理。</w:t>
      </w:r>
    </w:p>
    <w:p>
      <w:pPr>
        <w:keepNext w:val="0"/>
        <w:keepLines w:val="0"/>
        <w:pageBreakBefore w:val="0"/>
        <w:numPr>
          <w:ilvl w:val="0"/>
          <w:numId w:val="41"/>
        </w:numPr>
        <w:kinsoku/>
        <w:wordWrap/>
        <w:overflowPunct/>
        <w:topLinePunct w:val="0"/>
        <w:autoSpaceDE/>
        <w:autoSpaceDN/>
        <w:bidi w:val="0"/>
        <w:adjustRightInd/>
        <w:snapToGrid/>
        <w:spacing w:line="240" w:lineRule="auto"/>
        <w:ind w:left="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投标金额大小写不一致的以大写为准。电子文档与纸质文档不一致的以纸质文档为准。正本与副本不一致的以正本为准。总价与计算结果不一致的以分项计算结果为准。</w:t>
      </w:r>
    </w:p>
    <w:p>
      <w:pPr>
        <w:pStyle w:val="2"/>
        <w:rPr>
          <w:rFonts w:hint="eastAsia" w:ascii="仿宋" w:hAnsi="仿宋" w:eastAsia="仿宋" w:cs="仿宋"/>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firstLine="482" w:firstLineChars="200"/>
        <w:rPr>
          <w:rFonts w:hint="eastAsia" w:ascii="仿宋" w:hAnsi="仿宋" w:eastAsia="仿宋" w:cs="仿宋"/>
          <w:b/>
          <w:sz w:val="24"/>
          <w:szCs w:val="24"/>
          <w:highlight w:val="none"/>
        </w:rPr>
      </w:pPr>
    </w:p>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sz w:val="21"/>
          <w:szCs w:val="21"/>
          <w:highlight w:val="none"/>
        </w:rPr>
      </w:pPr>
      <w:r>
        <w:rPr>
          <w:rFonts w:hint="eastAsia" w:ascii="仿宋" w:hAnsi="仿宋" w:eastAsia="仿宋" w:cs="仿宋"/>
          <w:b/>
          <w:sz w:val="21"/>
          <w:szCs w:val="21"/>
          <w:highlight w:val="none"/>
        </w:rPr>
        <w:t>投标人（盖章）：</w:t>
      </w:r>
    </w:p>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sz w:val="21"/>
          <w:szCs w:val="21"/>
        </w:rPr>
      </w:pPr>
      <w:r>
        <w:rPr>
          <w:rFonts w:hint="eastAsia" w:ascii="仿宋" w:hAnsi="仿宋" w:eastAsia="仿宋" w:cs="仿宋"/>
          <w:b/>
          <w:sz w:val="21"/>
          <w:szCs w:val="21"/>
        </w:rPr>
        <w:t>法定代表人（或授权委托人）签名：</w:t>
      </w:r>
    </w:p>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sz w:val="21"/>
          <w:szCs w:val="21"/>
        </w:rPr>
        <w:sectPr>
          <w:footerReference r:id="rId6" w:type="default"/>
          <w:pgSz w:w="11907" w:h="16840"/>
          <w:pgMar w:top="1276" w:right="1275" w:bottom="1135" w:left="1418" w:header="709" w:footer="603" w:gutter="0"/>
          <w:pgNumType w:fmt="decimal" w:start="1"/>
          <w:cols w:space="720" w:num="1"/>
          <w:docGrid w:linePitch="462" w:charSpace="0"/>
        </w:sectPr>
      </w:pPr>
      <w:r>
        <w:rPr>
          <w:rFonts w:hint="eastAsia" w:ascii="仿宋" w:hAnsi="仿宋" w:eastAsia="仿宋" w:cs="仿宋"/>
          <w:b/>
          <w:sz w:val="21"/>
          <w:szCs w:val="21"/>
        </w:rPr>
        <w:t>日   期：</w:t>
      </w:r>
    </w:p>
    <w:p>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
          <w:bCs w:val="0"/>
          <w:sz w:val="21"/>
          <w:szCs w:val="21"/>
          <w:lang w:val="zh-CN" w:eastAsia="zh-CN"/>
        </w:rPr>
      </w:pPr>
      <w:bookmarkStart w:id="54" w:name="_Toc31519"/>
      <w:bookmarkStart w:id="55" w:name="_Toc17910755"/>
      <w:bookmarkStart w:id="56" w:name="_Toc25123_WPSOffice_Level1"/>
      <w:bookmarkStart w:id="57" w:name="_Toc11257000"/>
      <w:bookmarkStart w:id="58" w:name="_Toc23485"/>
      <w:r>
        <w:rPr>
          <w:rFonts w:hint="eastAsia" w:ascii="仿宋" w:hAnsi="仿宋" w:eastAsia="仿宋" w:cs="仿宋"/>
          <w:b/>
          <w:bCs w:val="0"/>
          <w:sz w:val="21"/>
          <w:szCs w:val="21"/>
          <w:lang w:val="zh-CN"/>
        </w:rPr>
        <w:t xml:space="preserve">格式3: </w:t>
      </w:r>
      <w:r>
        <w:rPr>
          <w:rFonts w:hint="eastAsia" w:ascii="仿宋" w:hAnsi="仿宋" w:eastAsia="仿宋" w:cs="仿宋"/>
          <w:b/>
          <w:bCs w:val="0"/>
          <w:sz w:val="21"/>
          <w:szCs w:val="21"/>
          <w:lang w:val="zh-CN" w:eastAsia="zh-CN"/>
        </w:rPr>
        <w:t>法律顾问单位服务方案</w:t>
      </w:r>
    </w:p>
    <w:p>
      <w:pPr>
        <w:ind w:firstLine="422" w:firstLineChars="200"/>
        <w:rPr>
          <w:rFonts w:hint="eastAsia" w:eastAsia="仿宋"/>
          <w:b/>
          <w:bCs w:val="0"/>
          <w:lang w:val="en-US" w:eastAsia="zh-CN"/>
        </w:rPr>
      </w:pPr>
      <w:r>
        <w:rPr>
          <w:rFonts w:hint="eastAsia" w:ascii="仿宋" w:hAnsi="仿宋" w:eastAsia="仿宋" w:cs="仿宋"/>
          <w:b/>
          <w:bCs w:val="0"/>
          <w:sz w:val="21"/>
          <w:szCs w:val="21"/>
          <w:lang w:val="en-US" w:eastAsia="zh-CN"/>
        </w:rPr>
        <w:t>服务方案应包括以下表格，如遗漏或未提交的按废标处理。同时，投标人应结合实际情况尽可能提供全面、详尽、科学的服务方案</w:t>
      </w:r>
      <w:bookmarkStart w:id="59" w:name="_表1：法律顾问单位服务方案项目清单"/>
      <w:bookmarkStart w:id="60" w:name="_表1：法律顾问单位服务项目清单"/>
      <w:r>
        <w:rPr>
          <w:rFonts w:hint="eastAsia" w:eastAsia="仿宋"/>
          <w:b/>
          <w:bCs w:val="0"/>
          <w:lang w:val="en-US" w:eastAsia="zh-CN"/>
        </w:rPr>
        <w:t>。</w:t>
      </w:r>
    </w:p>
    <w:p>
      <w:pPr>
        <w:rPr>
          <w:rFonts w:hint="eastAsia" w:eastAsia="仿宋"/>
          <w:lang w:val="en-US" w:eastAsia="zh-CN"/>
        </w:rPr>
      </w:pPr>
    </w:p>
    <w:p>
      <w:pPr>
        <w:rPr>
          <w:rFonts w:hint="eastAsia" w:ascii="仿宋" w:hAnsi="仿宋" w:eastAsia="仿宋" w:cs="仿宋"/>
          <w:b/>
          <w:bCs w:val="0"/>
          <w:sz w:val="21"/>
          <w:szCs w:val="21"/>
          <w:highlight w:val="none"/>
        </w:rPr>
      </w:pPr>
      <w:r>
        <w:rPr>
          <w:rFonts w:hint="eastAsia" w:ascii="仿宋" w:hAnsi="仿宋" w:eastAsia="仿宋" w:cs="仿宋"/>
          <w:b/>
          <w:bCs w:val="0"/>
          <w:sz w:val="21"/>
          <w:szCs w:val="21"/>
          <w:highlight w:val="none"/>
          <w:lang w:val="en-US" w:eastAsia="zh-CN"/>
        </w:rPr>
        <w:t>表1：法律顾问单位服务方案项目</w:t>
      </w:r>
      <w:r>
        <w:rPr>
          <w:rFonts w:hint="eastAsia" w:ascii="仿宋" w:hAnsi="仿宋" w:eastAsia="仿宋" w:cs="仿宋"/>
          <w:b/>
          <w:bCs w:val="0"/>
          <w:sz w:val="21"/>
          <w:szCs w:val="21"/>
          <w:highlight w:val="none"/>
        </w:rPr>
        <w:t>清单</w:t>
      </w:r>
      <w:bookmarkEnd w:id="54"/>
    </w:p>
    <w:p>
      <w:pPr>
        <w:pStyle w:val="2"/>
        <w:spacing w:line="240" w:lineRule="auto"/>
        <w:rPr>
          <w:rFonts w:hint="eastAsia"/>
        </w:rPr>
      </w:pPr>
    </w:p>
    <w:bookmarkEnd w:id="59"/>
    <w:bookmarkEnd w:id="60"/>
    <w:p>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法律顾问单位服务方案项目</w:t>
      </w:r>
      <w:r>
        <w:rPr>
          <w:rFonts w:hint="eastAsia" w:ascii="仿宋" w:hAnsi="仿宋" w:eastAsia="仿宋" w:cs="仿宋"/>
          <w:b/>
          <w:bCs/>
          <w:sz w:val="32"/>
          <w:szCs w:val="32"/>
          <w:highlight w:val="none"/>
        </w:rPr>
        <w:t>清单</w:t>
      </w:r>
    </w:p>
    <w:p>
      <w:pPr>
        <w:jc w:val="center"/>
        <w:rPr>
          <w:rFonts w:hint="eastAsia" w:ascii="仿宋" w:hAnsi="仿宋" w:eastAsia="仿宋" w:cs="仿宋"/>
          <w:sz w:val="32"/>
          <w:szCs w:val="32"/>
          <w:highlight w:val="none"/>
        </w:rPr>
      </w:pPr>
    </w:p>
    <w:tbl>
      <w:tblPr>
        <w:tblStyle w:val="16"/>
        <w:tblW w:w="82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645"/>
        <w:gridCol w:w="2935"/>
        <w:gridCol w:w="17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26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项目名称</w:t>
            </w:r>
          </w:p>
        </w:tc>
        <w:tc>
          <w:tcPr>
            <w:tcW w:w="29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服务内容说明</w:t>
            </w:r>
          </w:p>
        </w:tc>
        <w:tc>
          <w:tcPr>
            <w:tcW w:w="1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1</w:t>
            </w:r>
          </w:p>
        </w:tc>
        <w:tc>
          <w:tcPr>
            <w:tcW w:w="26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bCs/>
                <w:kern w:val="0"/>
                <w:sz w:val="21"/>
                <w:szCs w:val="21"/>
                <w:highlight w:val="none"/>
                <w:lang w:val="en-US" w:eastAsia="zh-CN"/>
              </w:rPr>
              <w:t>常年法律顾问服务</w:t>
            </w:r>
          </w:p>
        </w:tc>
        <w:tc>
          <w:tcPr>
            <w:tcW w:w="29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highlight w:val="none"/>
                <w:vertAlign w:val="baseline"/>
                <w:lang w:val="en-US" w:eastAsia="zh-CN"/>
              </w:rPr>
            </w:pPr>
          </w:p>
        </w:tc>
        <w:tc>
          <w:tcPr>
            <w:tcW w:w="1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2</w:t>
            </w:r>
          </w:p>
        </w:tc>
        <w:tc>
          <w:tcPr>
            <w:tcW w:w="26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经济案件</w:t>
            </w:r>
          </w:p>
        </w:tc>
        <w:tc>
          <w:tcPr>
            <w:tcW w:w="29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highlight w:val="none"/>
                <w:vertAlign w:val="baseline"/>
                <w:lang w:val="en-US" w:eastAsia="zh-CN"/>
              </w:rPr>
            </w:pPr>
          </w:p>
        </w:tc>
        <w:tc>
          <w:tcPr>
            <w:tcW w:w="1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3</w:t>
            </w:r>
          </w:p>
        </w:tc>
        <w:tc>
          <w:tcPr>
            <w:tcW w:w="26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劳动争议案件</w:t>
            </w:r>
          </w:p>
        </w:tc>
        <w:tc>
          <w:tcPr>
            <w:tcW w:w="29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highlight w:val="none"/>
                <w:vertAlign w:val="baseline"/>
                <w:lang w:val="en-US" w:eastAsia="zh-CN"/>
              </w:rPr>
            </w:pPr>
          </w:p>
        </w:tc>
        <w:tc>
          <w:tcPr>
            <w:tcW w:w="1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4</w:t>
            </w:r>
          </w:p>
        </w:tc>
        <w:tc>
          <w:tcPr>
            <w:tcW w:w="26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行政案件</w:t>
            </w:r>
          </w:p>
        </w:tc>
        <w:tc>
          <w:tcPr>
            <w:tcW w:w="29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highlight w:val="none"/>
                <w:vertAlign w:val="baseline"/>
                <w:lang w:val="en-US" w:eastAsia="zh-CN"/>
              </w:rPr>
            </w:pPr>
          </w:p>
        </w:tc>
        <w:tc>
          <w:tcPr>
            <w:tcW w:w="1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5</w:t>
            </w:r>
          </w:p>
        </w:tc>
        <w:tc>
          <w:tcPr>
            <w:tcW w:w="26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其他（自行补充列示）</w:t>
            </w:r>
          </w:p>
        </w:tc>
        <w:tc>
          <w:tcPr>
            <w:tcW w:w="29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highlight w:val="none"/>
                <w:vertAlign w:val="baseline"/>
                <w:lang w:val="en-US" w:eastAsia="zh-CN"/>
              </w:rPr>
            </w:pPr>
          </w:p>
        </w:tc>
        <w:tc>
          <w:tcPr>
            <w:tcW w:w="1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highlight w:val="none"/>
                <w:vertAlign w:val="baseline"/>
                <w:lang w:val="en-US" w:eastAsia="zh-CN"/>
              </w:rPr>
            </w:pPr>
          </w:p>
        </w:tc>
        <w:tc>
          <w:tcPr>
            <w:tcW w:w="26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w:t>
            </w:r>
          </w:p>
        </w:tc>
        <w:tc>
          <w:tcPr>
            <w:tcW w:w="29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highlight w:val="none"/>
                <w:vertAlign w:val="baseline"/>
                <w:lang w:val="en-US" w:eastAsia="zh-CN"/>
              </w:rPr>
            </w:pPr>
          </w:p>
        </w:tc>
        <w:tc>
          <w:tcPr>
            <w:tcW w:w="1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highlight w:val="none"/>
                <w:vertAlign w:val="baseline"/>
                <w:lang w:val="en-US" w:eastAsia="zh-CN"/>
              </w:rPr>
            </w:pPr>
          </w:p>
        </w:tc>
      </w:tr>
    </w:tbl>
    <w:p>
      <w:pPr>
        <w:rPr>
          <w:rFonts w:hint="eastAsia" w:ascii="仿宋" w:hAnsi="仿宋" w:eastAsia="仿宋" w:cs="仿宋"/>
          <w:b/>
          <w:bCs w:val="0"/>
          <w:sz w:val="22"/>
          <w:szCs w:val="22"/>
          <w:highlight w:val="none"/>
        </w:rPr>
      </w:pPr>
    </w:p>
    <w:p>
      <w:pPr>
        <w:rPr>
          <w:rFonts w:hint="eastAsia" w:ascii="仿宋" w:hAnsi="仿宋" w:eastAsia="仿宋" w:cs="仿宋"/>
          <w:b/>
          <w:bCs w:val="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说明：</w:t>
      </w:r>
    </w:p>
    <w:p>
      <w:pPr>
        <w:keepNext w:val="0"/>
        <w:keepLines w:val="0"/>
        <w:pageBreakBefore w:val="0"/>
        <w:widowControl w:val="0"/>
        <w:numPr>
          <w:ilvl w:val="0"/>
          <w:numId w:val="42"/>
        </w:numPr>
        <w:kinsoku/>
        <w:wordWrap/>
        <w:overflowPunct/>
        <w:topLinePunct w:val="0"/>
        <w:autoSpaceDE/>
        <w:autoSpaceDN/>
        <w:bidi w:val="0"/>
        <w:adjustRightInd/>
        <w:snapToGrid/>
        <w:spacing w:line="240" w:lineRule="auto"/>
        <w:ind w:firstLine="420" w:firstLineChars="200"/>
        <w:textAlignment w:val="auto"/>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本表应经法定代表人或授权代表人签名，并加盖投标人单位公章，否则无效，作废标处理。</w:t>
      </w:r>
    </w:p>
    <w:p>
      <w:pPr>
        <w:keepNext w:val="0"/>
        <w:keepLines w:val="0"/>
        <w:numPr>
          <w:ilvl w:val="0"/>
          <w:numId w:val="42"/>
        </w:numPr>
        <w:ind w:firstLine="420" w:firstLineChars="200"/>
        <w:rPr>
          <w:rFonts w:hint="default" w:eastAsia="仿宋"/>
          <w:highlight w:val="none"/>
          <w:lang w:val="en-US" w:eastAsia="zh-CN"/>
        </w:rPr>
      </w:pPr>
      <w:r>
        <w:rPr>
          <w:rFonts w:hint="eastAsia" w:ascii="仿宋" w:hAnsi="仿宋" w:eastAsia="仿宋" w:cs="仿宋"/>
          <w:color w:val="000000"/>
          <w:kern w:val="0"/>
          <w:sz w:val="21"/>
          <w:szCs w:val="21"/>
          <w:highlight w:val="none"/>
          <w:lang w:val="en-US" w:eastAsia="zh-CN"/>
        </w:rPr>
        <w:t>投标</w:t>
      </w:r>
      <w:r>
        <w:rPr>
          <w:rFonts w:hint="eastAsia" w:ascii="仿宋" w:hAnsi="仿宋" w:eastAsia="仿宋" w:cs="仿宋"/>
          <w:color w:val="000000"/>
          <w:kern w:val="0"/>
          <w:sz w:val="21"/>
          <w:szCs w:val="21"/>
          <w:highlight w:val="none"/>
        </w:rPr>
        <w:t>人在基准项目要求外增加</w:t>
      </w:r>
      <w:r>
        <w:rPr>
          <w:rFonts w:hint="eastAsia" w:ascii="仿宋" w:hAnsi="仿宋" w:eastAsia="仿宋" w:cs="仿宋"/>
          <w:color w:val="000000"/>
          <w:kern w:val="0"/>
          <w:sz w:val="21"/>
          <w:szCs w:val="21"/>
          <w:highlight w:val="none"/>
          <w:lang w:val="en-US" w:eastAsia="zh-CN"/>
        </w:rPr>
        <w:t>服务</w:t>
      </w:r>
      <w:r>
        <w:rPr>
          <w:rFonts w:hint="eastAsia" w:ascii="仿宋" w:hAnsi="仿宋" w:eastAsia="仿宋" w:cs="仿宋"/>
          <w:color w:val="000000"/>
          <w:kern w:val="0"/>
          <w:sz w:val="21"/>
          <w:szCs w:val="21"/>
          <w:highlight w:val="none"/>
        </w:rPr>
        <w:t>项目</w:t>
      </w:r>
      <w:r>
        <w:rPr>
          <w:rFonts w:hint="eastAsia" w:ascii="仿宋" w:hAnsi="仿宋" w:eastAsia="仿宋" w:cs="仿宋"/>
          <w:color w:val="000000"/>
          <w:kern w:val="0"/>
          <w:sz w:val="21"/>
          <w:szCs w:val="21"/>
          <w:highlight w:val="none"/>
          <w:lang w:val="en-US" w:eastAsia="zh-CN"/>
        </w:rPr>
        <w:t>及指导性文件</w:t>
      </w:r>
      <w:r>
        <w:rPr>
          <w:rFonts w:hint="eastAsia" w:ascii="仿宋" w:hAnsi="仿宋" w:eastAsia="仿宋" w:cs="仿宋"/>
          <w:color w:val="000000"/>
          <w:kern w:val="0"/>
          <w:sz w:val="21"/>
          <w:szCs w:val="21"/>
          <w:highlight w:val="none"/>
        </w:rPr>
        <w:t>的，按本表格式于“</w:t>
      </w:r>
      <w:r>
        <w:rPr>
          <w:rFonts w:hint="eastAsia" w:ascii="仿宋" w:hAnsi="仿宋" w:eastAsia="仿宋" w:cs="仿宋"/>
          <w:color w:val="000000"/>
          <w:kern w:val="0"/>
          <w:sz w:val="21"/>
          <w:szCs w:val="21"/>
          <w:highlight w:val="none"/>
          <w:lang w:val="en-US" w:eastAsia="zh-CN"/>
        </w:rPr>
        <w:t>其他</w:t>
      </w:r>
      <w:r>
        <w:rPr>
          <w:rFonts w:hint="eastAsia" w:ascii="仿宋" w:hAnsi="仿宋" w:eastAsia="仿宋" w:cs="仿宋"/>
          <w:color w:val="000000"/>
          <w:kern w:val="0"/>
          <w:sz w:val="21"/>
          <w:szCs w:val="21"/>
          <w:highlight w:val="none"/>
        </w:rPr>
        <w:t>”</w:t>
      </w:r>
      <w:r>
        <w:rPr>
          <w:rFonts w:hint="eastAsia" w:ascii="仿宋" w:hAnsi="仿宋" w:eastAsia="仿宋" w:cs="仿宋"/>
          <w:color w:val="000000"/>
          <w:kern w:val="0"/>
          <w:sz w:val="21"/>
          <w:szCs w:val="21"/>
          <w:highlight w:val="none"/>
          <w:lang w:val="en-US" w:eastAsia="zh-CN"/>
        </w:rPr>
        <w:t>栏</w:t>
      </w:r>
      <w:r>
        <w:rPr>
          <w:rFonts w:hint="eastAsia" w:ascii="仿宋" w:hAnsi="仿宋" w:eastAsia="仿宋" w:cs="仿宋"/>
          <w:color w:val="000000"/>
          <w:kern w:val="0"/>
          <w:sz w:val="21"/>
          <w:szCs w:val="21"/>
          <w:highlight w:val="none"/>
        </w:rPr>
        <w:t>按序列示</w:t>
      </w:r>
      <w:r>
        <w:rPr>
          <w:rFonts w:hint="eastAsia" w:ascii="仿宋" w:hAnsi="仿宋" w:eastAsia="仿宋" w:cs="仿宋"/>
          <w:color w:val="000000"/>
          <w:kern w:val="0"/>
          <w:sz w:val="21"/>
          <w:szCs w:val="21"/>
          <w:highlight w:val="none"/>
          <w:lang w:val="en-US" w:eastAsia="zh-CN"/>
        </w:rPr>
        <w:t>即随附</w:t>
      </w:r>
      <w:r>
        <w:rPr>
          <w:rFonts w:hint="eastAsia" w:ascii="仿宋" w:hAnsi="仿宋" w:eastAsia="仿宋" w:cs="仿宋"/>
          <w:color w:val="000000"/>
          <w:kern w:val="0"/>
          <w:sz w:val="21"/>
          <w:szCs w:val="21"/>
          <w:highlight w:val="none"/>
        </w:rPr>
        <w:t>；</w:t>
      </w:r>
    </w:p>
    <w:p>
      <w:pPr>
        <w:keepNext w:val="0"/>
        <w:keepLines w:val="0"/>
        <w:pageBreakBefore w:val="0"/>
        <w:widowControl w:val="0"/>
        <w:numPr>
          <w:ilvl w:val="0"/>
          <w:numId w:val="42"/>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投标</w:t>
      </w:r>
      <w:r>
        <w:rPr>
          <w:rFonts w:hint="eastAsia" w:ascii="仿宋" w:hAnsi="仿宋" w:eastAsia="仿宋" w:cs="仿宋"/>
          <w:color w:val="000000"/>
          <w:kern w:val="0"/>
          <w:sz w:val="21"/>
          <w:szCs w:val="21"/>
          <w:highlight w:val="none"/>
        </w:rPr>
        <w:t>人认可报价文件与本表所承诺的服务（包括服务优化承诺）一致，如内容不一致的，按有</w:t>
      </w:r>
      <w:r>
        <w:rPr>
          <w:rFonts w:hint="eastAsia" w:ascii="仿宋" w:hAnsi="仿宋" w:eastAsia="仿宋" w:cs="仿宋"/>
          <w:color w:val="000000"/>
          <w:kern w:val="0"/>
          <w:sz w:val="21"/>
          <w:szCs w:val="21"/>
          <w:highlight w:val="none"/>
          <w:lang w:val="en-US" w:eastAsia="zh-CN"/>
        </w:rPr>
        <w:t>利于招标人利益的理解执行。</w:t>
      </w:r>
    </w:p>
    <w:p>
      <w:pPr>
        <w:keepNext w:val="0"/>
        <w:keepLines w:val="0"/>
        <w:pageBreakBefore w:val="0"/>
        <w:widowControl w:val="0"/>
        <w:numPr>
          <w:ilvl w:val="0"/>
          <w:numId w:val="42"/>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本项目不设置限价，投标人应于报价文件中明确列示各分项下项目服务内容、项目费用。</w:t>
      </w:r>
    </w:p>
    <w:p>
      <w:pPr>
        <w:keepNext w:val="0"/>
        <w:keepLines w:val="0"/>
        <w:pageBreakBefore w:val="0"/>
        <w:widowControl w:val="0"/>
        <w:numPr>
          <w:ilvl w:val="0"/>
          <w:numId w:val="42"/>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投标人以政府指导性文件作为报价基础的，应同时提供指导性文件备查，投标人在政府指导性文件基础上给予折扣的，应提供折后价格的最终数目作为报价，并将折扣依据在备注中予以说明；</w:t>
      </w:r>
    </w:p>
    <w:p>
      <w:pPr>
        <w:pStyle w:val="2"/>
        <w:numPr>
          <w:ilvl w:val="0"/>
          <w:numId w:val="42"/>
        </w:numPr>
        <w:spacing w:line="240" w:lineRule="auto"/>
        <w:ind w:firstLine="420" w:firstLineChars="200"/>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投标人可以随附其他投标人认为需要对本报价表做出必要补充说明的文件；</w:t>
      </w:r>
    </w:p>
    <w:p>
      <w:pPr>
        <w:pStyle w:val="2"/>
        <w:numPr>
          <w:ilvl w:val="0"/>
          <w:numId w:val="42"/>
        </w:numPr>
        <w:spacing w:line="240" w:lineRule="auto"/>
        <w:ind w:firstLine="420" w:firstLineChars="200"/>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如未按以上要求提交本表的，招标人有权根据具体情况决定废标或提出现场澄清要求，如招标人提出澄清要求后，投标人提供信息仍然有误的，予以废标。</w:t>
      </w:r>
    </w:p>
    <w:p>
      <w:pPr>
        <w:ind w:firstLine="421"/>
        <w:rPr>
          <w:rFonts w:hint="default"/>
          <w:lang w:val="en-US" w:eastAsia="zh-CN"/>
        </w:rPr>
      </w:pPr>
    </w:p>
    <w:p>
      <w:pPr>
        <w:pageBreakBefore w:val="0"/>
        <w:kinsoku/>
        <w:overflowPunct/>
        <w:topLinePunct w:val="0"/>
        <w:autoSpaceDE/>
        <w:autoSpaceDN/>
        <w:bidi w:val="0"/>
        <w:spacing w:line="560" w:lineRule="exact"/>
        <w:rPr>
          <w:rFonts w:hint="eastAsia" w:ascii="仿宋" w:hAnsi="仿宋" w:eastAsia="仿宋" w:cs="仿宋"/>
          <w:b/>
          <w:sz w:val="32"/>
          <w:szCs w:val="32"/>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rPr>
      </w:pPr>
      <w:r>
        <w:rPr>
          <w:rFonts w:hint="eastAsia" w:ascii="仿宋" w:hAnsi="仿宋" w:eastAsia="仿宋" w:cs="仿宋"/>
          <w:b/>
          <w:kern w:val="0"/>
          <w:sz w:val="21"/>
          <w:szCs w:val="21"/>
          <w:lang w:eastAsia="zh-CN"/>
        </w:rPr>
        <w:t>投标人</w:t>
      </w:r>
      <w:r>
        <w:rPr>
          <w:rFonts w:hint="eastAsia" w:ascii="仿宋" w:hAnsi="仿宋" w:eastAsia="仿宋" w:cs="仿宋"/>
          <w:b/>
          <w:kern w:val="0"/>
          <w:sz w:val="21"/>
          <w:szCs w:val="21"/>
        </w:rPr>
        <w:t>名称（公章）：</w:t>
      </w:r>
    </w:p>
    <w:p>
      <w:pPr>
        <w:pageBreakBefore w:val="0"/>
        <w:kinsoku/>
        <w:overflowPunct/>
        <w:topLinePunct w:val="0"/>
        <w:autoSpaceDE/>
        <w:autoSpaceDN/>
        <w:bidi w:val="0"/>
        <w:spacing w:line="240" w:lineRule="auto"/>
        <w:rPr>
          <w:rFonts w:hint="eastAsia" w:ascii="仿宋" w:hAnsi="仿宋" w:eastAsia="仿宋" w:cs="仿宋"/>
          <w:b/>
          <w:kern w:val="0"/>
          <w:sz w:val="21"/>
          <w:szCs w:val="21"/>
        </w:rPr>
      </w:pPr>
      <w:r>
        <w:rPr>
          <w:rFonts w:hint="eastAsia" w:ascii="仿宋" w:hAnsi="仿宋" w:eastAsia="仿宋" w:cs="仿宋"/>
          <w:b/>
          <w:kern w:val="0"/>
          <w:sz w:val="21"/>
          <w:szCs w:val="21"/>
        </w:rPr>
        <w:t>法定代表人（法定授权代表人）签名：</w:t>
      </w:r>
    </w:p>
    <w:p>
      <w:pPr>
        <w:pageBreakBefore w:val="0"/>
        <w:kinsoku/>
        <w:overflowPunct/>
        <w:topLinePunct w:val="0"/>
        <w:autoSpaceDE/>
        <w:autoSpaceDN/>
        <w:bidi w:val="0"/>
        <w:spacing w:line="240" w:lineRule="auto"/>
        <w:rPr>
          <w:rFonts w:hint="eastAsia" w:ascii="仿宋" w:hAnsi="仿宋" w:eastAsia="仿宋" w:cs="仿宋"/>
          <w:b/>
          <w:sz w:val="32"/>
          <w:szCs w:val="32"/>
        </w:rPr>
      </w:pPr>
      <w:r>
        <w:rPr>
          <w:rFonts w:hint="eastAsia" w:ascii="仿宋" w:hAnsi="仿宋" w:eastAsia="仿宋" w:cs="仿宋"/>
          <w:b/>
          <w:kern w:val="0"/>
          <w:sz w:val="21"/>
          <w:szCs w:val="21"/>
        </w:rPr>
        <w:t>日期：</w:t>
      </w:r>
    </w:p>
    <w:p>
      <w:pPr>
        <w:pageBreakBefore w:val="0"/>
        <w:kinsoku/>
        <w:overflowPunct/>
        <w:topLinePunct w:val="0"/>
        <w:autoSpaceDE/>
        <w:autoSpaceDN/>
        <w:bidi w:val="0"/>
        <w:spacing w:line="560" w:lineRule="exact"/>
        <w:rPr>
          <w:rFonts w:hint="eastAsia" w:ascii="仿宋" w:hAnsi="仿宋" w:eastAsia="仿宋" w:cs="仿宋"/>
          <w:b/>
          <w:sz w:val="32"/>
          <w:szCs w:val="32"/>
        </w:rPr>
      </w:pPr>
    </w:p>
    <w:p>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
          <w:bCs w:val="0"/>
          <w:sz w:val="21"/>
          <w:szCs w:val="21"/>
          <w:highlight w:val="none"/>
          <w:lang w:val="en-US" w:eastAsia="zh-CN"/>
        </w:rPr>
      </w:pPr>
      <w:bookmarkStart w:id="61" w:name="_表2：法律顾问服务团队成员名单"/>
      <w:r>
        <w:rPr>
          <w:rFonts w:hint="eastAsia" w:ascii="仿宋" w:hAnsi="仿宋" w:eastAsia="仿宋" w:cs="仿宋"/>
          <w:b/>
          <w:bCs w:val="0"/>
          <w:sz w:val="21"/>
          <w:szCs w:val="21"/>
          <w:highlight w:val="none"/>
          <w:lang w:val="en-US" w:eastAsia="zh-CN"/>
        </w:rPr>
        <w:t>表2：法律顾问服务团队成员名单</w:t>
      </w:r>
    </w:p>
    <w:bookmarkEnd w:id="61"/>
    <w:p>
      <w:pPr>
        <w:pStyle w:val="4"/>
        <w:jc w:val="center"/>
        <w:rPr>
          <w:rFonts w:hint="eastAsia"/>
        </w:rPr>
      </w:pPr>
      <w:r>
        <w:rPr>
          <w:rFonts w:hint="eastAsia" w:ascii="仿宋" w:hAnsi="仿宋" w:eastAsia="仿宋" w:cs="仿宋"/>
          <w:b/>
          <w:bCs w:val="0"/>
          <w:sz w:val="32"/>
          <w:szCs w:val="32"/>
          <w:highlight w:val="none"/>
          <w:lang w:val="en-US" w:eastAsia="zh-CN"/>
        </w:rPr>
        <w:t>法律顾问服务团队成员名单</w:t>
      </w:r>
    </w:p>
    <w:tbl>
      <w:tblPr>
        <w:tblStyle w:val="16"/>
        <w:tblW w:w="81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00"/>
        <w:gridCol w:w="1070"/>
        <w:gridCol w:w="1364"/>
        <w:gridCol w:w="1509"/>
        <w:gridCol w:w="1416"/>
        <w:gridCol w:w="9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97"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lang w:val="en-US" w:eastAsia="zh-CN"/>
              </w:rPr>
            </w:pPr>
            <w:r>
              <w:rPr>
                <w:rFonts w:hint="eastAsia" w:ascii="仿宋" w:hAnsi="仿宋" w:eastAsia="仿宋" w:cs="仿宋"/>
                <w:b/>
                <w:sz w:val="21"/>
                <w:szCs w:val="21"/>
                <w:vertAlign w:val="baseline"/>
                <w:lang w:val="en-US" w:eastAsia="zh-CN"/>
              </w:rPr>
              <w:t>序号</w:t>
            </w:r>
          </w:p>
        </w:tc>
        <w:tc>
          <w:tcPr>
            <w:tcW w:w="1200"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lang w:val="en-US" w:eastAsia="zh-CN"/>
              </w:rPr>
            </w:pPr>
            <w:r>
              <w:rPr>
                <w:rFonts w:hint="eastAsia" w:ascii="仿宋" w:hAnsi="仿宋" w:eastAsia="仿宋" w:cs="仿宋"/>
                <w:b/>
                <w:sz w:val="21"/>
                <w:szCs w:val="21"/>
                <w:vertAlign w:val="baseline"/>
                <w:lang w:val="en-US" w:eastAsia="zh-CN"/>
              </w:rPr>
              <w:t>姓名</w:t>
            </w:r>
          </w:p>
        </w:tc>
        <w:tc>
          <w:tcPr>
            <w:tcW w:w="1070" w:type="dxa"/>
            <w:vAlign w:val="center"/>
          </w:tcPr>
          <w:p>
            <w:pPr>
              <w:pageBreakBefore w:val="0"/>
              <w:kinsoku/>
              <w:overflowPunct/>
              <w:topLinePunct w:val="0"/>
              <w:autoSpaceDE/>
              <w:autoSpaceDN/>
              <w:bidi w:val="0"/>
              <w:spacing w:line="240" w:lineRule="auto"/>
              <w:jc w:val="center"/>
              <w:rPr>
                <w:rFonts w:hint="default" w:ascii="仿宋" w:hAnsi="仿宋" w:eastAsia="仿宋" w:cs="仿宋"/>
                <w:b/>
                <w:sz w:val="21"/>
                <w:szCs w:val="21"/>
                <w:vertAlign w:val="baseline"/>
                <w:lang w:val="en-US" w:eastAsia="zh-CN"/>
              </w:rPr>
            </w:pPr>
            <w:r>
              <w:rPr>
                <w:rFonts w:hint="eastAsia" w:ascii="仿宋" w:hAnsi="仿宋" w:eastAsia="仿宋" w:cs="仿宋"/>
                <w:b/>
                <w:sz w:val="21"/>
                <w:szCs w:val="21"/>
                <w:vertAlign w:val="baseline"/>
                <w:lang w:val="en-US" w:eastAsia="zh-CN"/>
              </w:rPr>
              <w:t>职务</w:t>
            </w:r>
          </w:p>
        </w:tc>
        <w:tc>
          <w:tcPr>
            <w:tcW w:w="1364" w:type="dxa"/>
            <w:vAlign w:val="center"/>
          </w:tcPr>
          <w:p>
            <w:pPr>
              <w:pageBreakBefore w:val="0"/>
              <w:kinsoku/>
              <w:overflowPunct/>
              <w:topLinePunct w:val="0"/>
              <w:autoSpaceDE/>
              <w:autoSpaceDN/>
              <w:bidi w:val="0"/>
              <w:spacing w:line="240" w:lineRule="auto"/>
              <w:jc w:val="center"/>
              <w:rPr>
                <w:rFonts w:hint="default" w:ascii="仿宋" w:hAnsi="仿宋" w:eastAsia="仿宋" w:cs="仿宋"/>
                <w:b/>
                <w:sz w:val="21"/>
                <w:szCs w:val="21"/>
                <w:vertAlign w:val="baseline"/>
                <w:lang w:val="en-US" w:eastAsia="zh-CN"/>
              </w:rPr>
            </w:pPr>
            <w:r>
              <w:rPr>
                <w:rFonts w:hint="eastAsia" w:ascii="仿宋" w:hAnsi="仿宋" w:eastAsia="仿宋" w:cs="仿宋"/>
                <w:b/>
                <w:sz w:val="21"/>
                <w:szCs w:val="21"/>
                <w:vertAlign w:val="baseline"/>
                <w:lang w:val="en-US" w:eastAsia="zh-CN"/>
              </w:rPr>
              <w:t>执业年限</w:t>
            </w:r>
          </w:p>
        </w:tc>
        <w:tc>
          <w:tcPr>
            <w:tcW w:w="1509" w:type="dxa"/>
            <w:vAlign w:val="center"/>
          </w:tcPr>
          <w:p>
            <w:pPr>
              <w:pageBreakBefore w:val="0"/>
              <w:kinsoku/>
              <w:overflowPunct/>
              <w:topLinePunct w:val="0"/>
              <w:autoSpaceDE/>
              <w:autoSpaceDN/>
              <w:bidi w:val="0"/>
              <w:spacing w:line="240" w:lineRule="auto"/>
              <w:jc w:val="center"/>
              <w:rPr>
                <w:rFonts w:hint="default" w:ascii="仿宋" w:hAnsi="仿宋" w:eastAsia="仿宋" w:cs="仿宋"/>
                <w:b/>
                <w:sz w:val="21"/>
                <w:szCs w:val="21"/>
                <w:vertAlign w:val="baseline"/>
                <w:lang w:val="en-US" w:eastAsia="zh-CN"/>
              </w:rPr>
            </w:pPr>
            <w:r>
              <w:rPr>
                <w:rFonts w:hint="eastAsia" w:ascii="仿宋" w:hAnsi="仿宋" w:eastAsia="仿宋" w:cs="仿宋"/>
                <w:b/>
                <w:sz w:val="21"/>
                <w:szCs w:val="21"/>
                <w:vertAlign w:val="baseline"/>
                <w:lang w:val="en-US" w:eastAsia="zh-CN"/>
              </w:rPr>
              <w:t>律师执业证号</w:t>
            </w:r>
          </w:p>
        </w:tc>
        <w:tc>
          <w:tcPr>
            <w:tcW w:w="1416" w:type="dxa"/>
            <w:vAlign w:val="center"/>
          </w:tcPr>
          <w:p>
            <w:pPr>
              <w:pageBreakBefore w:val="0"/>
              <w:kinsoku/>
              <w:overflowPunct/>
              <w:topLinePunct w:val="0"/>
              <w:autoSpaceDE/>
              <w:autoSpaceDN/>
              <w:bidi w:val="0"/>
              <w:spacing w:line="240" w:lineRule="auto"/>
              <w:jc w:val="center"/>
              <w:rPr>
                <w:rFonts w:hint="default" w:ascii="仿宋" w:hAnsi="仿宋" w:eastAsia="仿宋" w:cs="仿宋"/>
                <w:b/>
                <w:sz w:val="21"/>
                <w:szCs w:val="21"/>
                <w:vertAlign w:val="baseline"/>
                <w:lang w:val="en-US" w:eastAsia="zh-CN"/>
              </w:rPr>
            </w:pPr>
            <w:r>
              <w:rPr>
                <w:rFonts w:hint="eastAsia" w:ascii="仿宋" w:hAnsi="仿宋" w:eastAsia="仿宋" w:cs="仿宋"/>
                <w:b/>
                <w:sz w:val="21"/>
                <w:szCs w:val="21"/>
                <w:vertAlign w:val="baseline"/>
                <w:lang w:val="en-US" w:eastAsia="zh-CN"/>
              </w:rPr>
              <w:t>最高学历及从业经验</w:t>
            </w:r>
          </w:p>
        </w:tc>
        <w:tc>
          <w:tcPr>
            <w:tcW w:w="942"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lang w:val="en-US" w:eastAsia="zh-CN"/>
              </w:rPr>
            </w:pPr>
            <w:r>
              <w:rPr>
                <w:rFonts w:hint="eastAsia" w:ascii="仿宋" w:hAnsi="仿宋" w:eastAsia="仿宋" w:cs="仿宋"/>
                <w:b/>
                <w:sz w:val="21"/>
                <w:szCs w:val="21"/>
                <w:vertAlign w:val="baseli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7" w:type="dxa"/>
            <w:vAlign w:val="center"/>
          </w:tcPr>
          <w:p>
            <w:pPr>
              <w:spacing w:line="240" w:lineRule="auto"/>
              <w:jc w:val="center"/>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1</w:t>
            </w:r>
          </w:p>
        </w:tc>
        <w:tc>
          <w:tcPr>
            <w:tcW w:w="1200"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1070"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1364"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1509"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1416"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942"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7" w:type="dxa"/>
            <w:vAlign w:val="center"/>
          </w:tcPr>
          <w:p>
            <w:pPr>
              <w:pageBreakBefore w:val="0"/>
              <w:kinsoku/>
              <w:overflowPunct/>
              <w:topLinePunct w:val="0"/>
              <w:autoSpaceDE/>
              <w:autoSpaceDN/>
              <w:bidi w:val="0"/>
              <w:spacing w:line="240" w:lineRule="auto"/>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w:t>
            </w:r>
          </w:p>
        </w:tc>
        <w:tc>
          <w:tcPr>
            <w:tcW w:w="1200"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1070"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1364"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1509"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1416"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942"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7" w:type="dxa"/>
            <w:vAlign w:val="center"/>
          </w:tcPr>
          <w:p>
            <w:pPr>
              <w:spacing w:line="240" w:lineRule="auto"/>
              <w:jc w:val="center"/>
              <w:rPr>
                <w:rFonts w:hint="eastAsia" w:ascii="仿宋" w:hAnsi="仿宋" w:eastAsia="仿宋" w:cs="仿宋"/>
                <w:b w:val="0"/>
                <w:bCs w:val="0"/>
                <w:lang w:val="en-US" w:eastAsia="zh-CN"/>
              </w:rPr>
            </w:pPr>
            <w:r>
              <w:rPr>
                <w:rFonts w:hint="eastAsia" w:ascii="仿宋" w:hAnsi="仿宋" w:eastAsia="仿宋" w:cs="仿宋"/>
                <w:b w:val="0"/>
                <w:bCs w:val="0"/>
                <w:lang w:val="en-US" w:eastAsia="zh-CN"/>
              </w:rPr>
              <w:t>3</w:t>
            </w:r>
          </w:p>
        </w:tc>
        <w:tc>
          <w:tcPr>
            <w:tcW w:w="1200"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1070"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1364"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1509"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1416"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942"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7" w:type="dxa"/>
            <w:vAlign w:val="center"/>
          </w:tcPr>
          <w:p>
            <w:pPr>
              <w:pageBreakBefore w:val="0"/>
              <w:kinsoku/>
              <w:overflowPunct/>
              <w:topLinePunct w:val="0"/>
              <w:autoSpaceDE/>
              <w:autoSpaceDN/>
              <w:bidi w:val="0"/>
              <w:spacing w:line="240" w:lineRule="auto"/>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4</w:t>
            </w:r>
          </w:p>
        </w:tc>
        <w:tc>
          <w:tcPr>
            <w:tcW w:w="1200"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1070"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1364"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1509"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1416"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942"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7" w:type="dxa"/>
            <w:vAlign w:val="center"/>
          </w:tcPr>
          <w:p>
            <w:pPr>
              <w:pageBreakBefore w:val="0"/>
              <w:kinsoku/>
              <w:overflowPunct/>
              <w:topLinePunct w:val="0"/>
              <w:autoSpaceDE/>
              <w:autoSpaceDN/>
              <w:bidi w:val="0"/>
              <w:spacing w:line="240" w:lineRule="auto"/>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w:t>
            </w:r>
          </w:p>
        </w:tc>
        <w:tc>
          <w:tcPr>
            <w:tcW w:w="1200"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1070"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1364"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1509"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1416"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942"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7"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lang w:val="en-US" w:eastAsia="zh-CN"/>
              </w:rPr>
            </w:pPr>
          </w:p>
        </w:tc>
        <w:tc>
          <w:tcPr>
            <w:tcW w:w="1200"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1070"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1364"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1509"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1416"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c>
          <w:tcPr>
            <w:tcW w:w="942"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vertAlign w:val="baseline"/>
              </w:rPr>
            </w:pPr>
          </w:p>
        </w:tc>
      </w:tr>
    </w:tbl>
    <w:p>
      <w:pPr>
        <w:pageBreakBefore w:val="0"/>
        <w:kinsoku/>
        <w:overflowPunct/>
        <w:topLinePunct w:val="0"/>
        <w:autoSpaceDE/>
        <w:autoSpaceDN/>
        <w:bidi w:val="0"/>
        <w:spacing w:line="240" w:lineRule="auto"/>
        <w:rPr>
          <w:rFonts w:hint="default" w:ascii="仿宋" w:hAnsi="仿宋" w:eastAsia="仿宋" w:cs="仿宋"/>
          <w:b/>
          <w:sz w:val="32"/>
          <w:szCs w:val="32"/>
          <w:lang w:val="en-US" w:eastAsia="zh-CN"/>
        </w:rPr>
      </w:pPr>
      <w:r>
        <w:rPr>
          <w:rFonts w:hint="eastAsia" w:ascii="仿宋" w:hAnsi="仿宋" w:eastAsia="仿宋" w:cs="仿宋"/>
          <w:b/>
          <w:sz w:val="32"/>
          <w:szCs w:val="32"/>
          <w:lang w:val="en-US" w:eastAsia="zh-CN"/>
        </w:rPr>
        <w:t xml:space="preserve">   </w:t>
      </w:r>
    </w:p>
    <w:p>
      <w:pPr>
        <w:pStyle w:val="2"/>
        <w:spacing w:line="240" w:lineRule="auto"/>
        <w:ind w:firstLine="422" w:firstLineChars="200"/>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说明：</w:t>
      </w:r>
    </w:p>
    <w:p>
      <w:pPr>
        <w:numPr>
          <w:ilvl w:val="0"/>
          <w:numId w:val="43"/>
        </w:numPr>
        <w:ind w:firstLine="420" w:firstLineChars="200"/>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本表内职务应按服务律师在服务团队中所承担的角色清晰填列，其中，应明确顾问律师1名，协办律师若干名，团队其他成员按照实际职务填列；</w:t>
      </w:r>
    </w:p>
    <w:p>
      <w:pPr>
        <w:numPr>
          <w:ilvl w:val="0"/>
          <w:numId w:val="43"/>
        </w:numPr>
        <w:ind w:firstLine="420" w:firstLineChars="200"/>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投标人同时应提交与本表信息、顺序严格一致、且加盖公章的服务团队成员随附资料如下： (1)如为律师，提供律师执业资格证书复印件；(2)服务团队所有成员最高学历证书复印件、毕业证复印件；</w:t>
      </w:r>
    </w:p>
    <w:p>
      <w:pPr>
        <w:numPr>
          <w:ilvl w:val="0"/>
          <w:numId w:val="43"/>
        </w:numPr>
        <w:spacing w:line="240" w:lineRule="auto"/>
        <w:ind w:firstLine="420" w:firstLineChars="200"/>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投标人认为有必要提交的其他服务团队成员资质及信息应清晰列示于备注栏并提供相应资质、证明文件；</w:t>
      </w:r>
    </w:p>
    <w:p>
      <w:pPr>
        <w:pStyle w:val="2"/>
        <w:numPr>
          <w:ilvl w:val="0"/>
          <w:numId w:val="43"/>
        </w:numPr>
        <w:spacing w:line="240" w:lineRule="auto"/>
        <w:ind w:firstLine="420" w:firstLineChars="200"/>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本表经法定代表人或授权代表人签名，与全部随附文件均应加盖投标人单位公章；</w:t>
      </w:r>
    </w:p>
    <w:p>
      <w:pPr>
        <w:pStyle w:val="2"/>
        <w:numPr>
          <w:ilvl w:val="0"/>
          <w:numId w:val="43"/>
        </w:numPr>
        <w:spacing w:line="240" w:lineRule="auto"/>
        <w:ind w:firstLine="420" w:firstLineChars="200"/>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如未按以上要求提交本表的，招标人有权根据具体情况决定废标或提出现场澄清要求，如招标人提出澄清要求后，投标人提供信息仍然有误的，予以废标。</w:t>
      </w:r>
    </w:p>
    <w:p>
      <w:pPr>
        <w:pStyle w:val="2"/>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 xml:space="preserve">    </w:t>
      </w:r>
    </w:p>
    <w:p>
      <w:pPr>
        <w:rPr>
          <w:rFonts w:hint="eastAsia" w:ascii="仿宋" w:hAnsi="仿宋" w:eastAsia="仿宋" w:cs="仿宋"/>
          <w:b w:val="0"/>
          <w:bCs/>
          <w:sz w:val="21"/>
          <w:szCs w:val="21"/>
          <w:lang w:val="en-US" w:eastAsia="zh-CN"/>
        </w:rPr>
      </w:pPr>
    </w:p>
    <w:p>
      <w:pPr>
        <w:pStyle w:val="2"/>
        <w:rPr>
          <w:rFonts w:hint="eastAsia" w:ascii="仿宋" w:hAnsi="仿宋" w:eastAsia="仿宋" w:cs="仿宋"/>
          <w:b w:val="0"/>
          <w:bCs/>
          <w:sz w:val="21"/>
          <w:szCs w:val="21"/>
          <w:lang w:val="en-US" w:eastAsia="zh-CN"/>
        </w:rPr>
      </w:pPr>
    </w:p>
    <w:p>
      <w:pPr>
        <w:rPr>
          <w:rFonts w:hint="eastAsia" w:ascii="仿宋" w:hAnsi="仿宋" w:eastAsia="仿宋" w:cs="仿宋"/>
          <w:b w:val="0"/>
          <w:bCs/>
          <w:sz w:val="21"/>
          <w:szCs w:val="21"/>
          <w:lang w:val="en-US" w:eastAsia="zh-CN"/>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rPr>
      </w:pPr>
      <w:r>
        <w:rPr>
          <w:rFonts w:hint="eastAsia" w:ascii="仿宋" w:hAnsi="仿宋" w:eastAsia="仿宋" w:cs="仿宋"/>
          <w:b/>
          <w:kern w:val="0"/>
          <w:sz w:val="21"/>
          <w:szCs w:val="21"/>
          <w:lang w:eastAsia="zh-CN"/>
        </w:rPr>
        <w:t>投标人</w:t>
      </w:r>
      <w:r>
        <w:rPr>
          <w:rFonts w:hint="eastAsia" w:ascii="仿宋" w:hAnsi="仿宋" w:eastAsia="仿宋" w:cs="仿宋"/>
          <w:b/>
          <w:kern w:val="0"/>
          <w:sz w:val="21"/>
          <w:szCs w:val="21"/>
        </w:rPr>
        <w:t>名称（公章）：</w:t>
      </w: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rPr>
      </w:pPr>
      <w:r>
        <w:rPr>
          <w:rFonts w:hint="eastAsia" w:ascii="仿宋" w:hAnsi="仿宋" w:eastAsia="仿宋" w:cs="仿宋"/>
          <w:b/>
          <w:kern w:val="0"/>
          <w:sz w:val="21"/>
          <w:szCs w:val="21"/>
        </w:rPr>
        <w:t>法定代表人（法定授权代表人）签名：</w:t>
      </w:r>
    </w:p>
    <w:p>
      <w:pPr>
        <w:pStyle w:val="2"/>
        <w:rPr>
          <w:rFonts w:hint="default"/>
          <w:lang w:val="en-US" w:eastAsia="zh-CN"/>
        </w:rPr>
      </w:pPr>
      <w:r>
        <w:rPr>
          <w:rFonts w:hint="eastAsia" w:ascii="仿宋" w:hAnsi="仿宋" w:eastAsia="仿宋" w:cs="仿宋"/>
          <w:b/>
          <w:kern w:val="0"/>
          <w:sz w:val="21"/>
          <w:szCs w:val="21"/>
        </w:rPr>
        <w:t>日期：</w:t>
      </w:r>
    </w:p>
    <w:p>
      <w:pPr>
        <w:rPr>
          <w:rFonts w:hint="eastAsia" w:ascii="仿宋" w:hAnsi="仿宋" w:eastAsia="仿宋" w:cs="仿宋"/>
          <w:b/>
          <w:sz w:val="21"/>
          <w:szCs w:val="21"/>
        </w:rPr>
      </w:pPr>
    </w:p>
    <w:p>
      <w:pPr>
        <w:pStyle w:val="2"/>
        <w:spacing w:line="240" w:lineRule="auto"/>
        <w:rPr>
          <w:rFonts w:hint="eastAsia" w:ascii="仿宋" w:hAnsi="仿宋" w:eastAsia="仿宋" w:cs="仿宋"/>
          <w:b/>
          <w:sz w:val="21"/>
          <w:szCs w:val="21"/>
        </w:rPr>
      </w:pPr>
    </w:p>
    <w:p>
      <w:pPr>
        <w:rPr>
          <w:rFonts w:hint="eastAsia" w:ascii="仿宋" w:hAnsi="仿宋" w:eastAsia="仿宋" w:cs="仿宋"/>
          <w:b/>
          <w:sz w:val="21"/>
          <w:szCs w:val="21"/>
        </w:rPr>
      </w:pPr>
    </w:p>
    <w:p>
      <w:pPr>
        <w:pStyle w:val="2"/>
        <w:spacing w:line="240" w:lineRule="auto"/>
        <w:rPr>
          <w:rFonts w:hint="eastAsia" w:ascii="仿宋" w:hAnsi="仿宋" w:eastAsia="仿宋" w:cs="仿宋"/>
          <w:b/>
          <w:sz w:val="21"/>
          <w:szCs w:val="21"/>
        </w:rPr>
      </w:pPr>
    </w:p>
    <w:p>
      <w:pPr>
        <w:rPr>
          <w:rFonts w:hint="eastAsia" w:ascii="仿宋" w:hAnsi="仿宋" w:eastAsia="仿宋" w:cs="仿宋"/>
          <w:b/>
          <w:sz w:val="21"/>
          <w:szCs w:val="21"/>
        </w:rPr>
      </w:pPr>
    </w:p>
    <w:p>
      <w:pPr>
        <w:pStyle w:val="2"/>
        <w:rPr>
          <w:rFonts w:hint="eastAsia" w:ascii="仿宋" w:hAnsi="仿宋" w:eastAsia="仿宋" w:cs="仿宋"/>
          <w:b/>
          <w:sz w:val="21"/>
          <w:szCs w:val="21"/>
        </w:rPr>
      </w:pPr>
    </w:p>
    <w:p>
      <w:pPr>
        <w:rPr>
          <w:rFonts w:hint="eastAsia" w:ascii="仿宋" w:hAnsi="仿宋" w:eastAsia="仿宋" w:cs="仿宋"/>
          <w:b/>
          <w:sz w:val="21"/>
          <w:szCs w:val="21"/>
        </w:rPr>
      </w:pPr>
    </w:p>
    <w:bookmarkEnd w:id="55"/>
    <w:bookmarkEnd w:id="56"/>
    <w:bookmarkEnd w:id="57"/>
    <w:bookmarkEnd w:id="58"/>
    <w:p>
      <w:pPr>
        <w:pStyle w:val="4"/>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b/>
          <w:bCs w:val="0"/>
          <w:sz w:val="22"/>
          <w:szCs w:val="22"/>
        </w:rPr>
      </w:pPr>
      <w:bookmarkStart w:id="62" w:name="_Toc32462"/>
      <w:bookmarkStart w:id="63" w:name="_Toc25172"/>
      <w:bookmarkStart w:id="64" w:name="_格式4：合同条款响应情况偏离表"/>
      <w:r>
        <w:rPr>
          <w:rFonts w:hint="eastAsia" w:ascii="仿宋" w:hAnsi="仿宋" w:eastAsia="仿宋" w:cs="仿宋"/>
          <w:b/>
          <w:bCs w:val="0"/>
          <w:sz w:val="22"/>
          <w:szCs w:val="22"/>
          <w:lang w:val="zh-CN"/>
        </w:rPr>
        <w:t>格式</w:t>
      </w:r>
      <w:r>
        <w:rPr>
          <w:rFonts w:hint="eastAsia" w:ascii="仿宋" w:hAnsi="仿宋" w:eastAsia="仿宋" w:cs="仿宋"/>
          <w:b/>
          <w:bCs w:val="0"/>
          <w:sz w:val="22"/>
          <w:szCs w:val="22"/>
        </w:rPr>
        <w:t>4：</w:t>
      </w:r>
      <w:bookmarkEnd w:id="62"/>
      <w:r>
        <w:rPr>
          <w:rFonts w:hint="eastAsia" w:ascii="仿宋" w:hAnsi="仿宋" w:eastAsia="仿宋" w:cs="仿宋"/>
          <w:b/>
          <w:bCs w:val="0"/>
          <w:sz w:val="22"/>
          <w:szCs w:val="22"/>
          <w:lang w:val="en-US" w:eastAsia="zh-CN"/>
        </w:rPr>
        <w:t>合同条款响应</w:t>
      </w:r>
      <w:r>
        <w:rPr>
          <w:rFonts w:hint="eastAsia" w:ascii="仿宋" w:hAnsi="仿宋" w:eastAsia="仿宋" w:cs="仿宋"/>
          <w:b/>
          <w:bCs w:val="0"/>
          <w:sz w:val="22"/>
          <w:szCs w:val="22"/>
        </w:rPr>
        <w:t>情况</w:t>
      </w:r>
      <w:r>
        <w:rPr>
          <w:rFonts w:hint="eastAsia" w:ascii="仿宋" w:hAnsi="仿宋" w:eastAsia="仿宋" w:cs="仿宋"/>
          <w:b/>
          <w:bCs w:val="0"/>
          <w:sz w:val="22"/>
          <w:szCs w:val="22"/>
          <w:lang w:val="en-US" w:eastAsia="zh-CN"/>
        </w:rPr>
        <w:t>偏离表</w:t>
      </w:r>
      <w:bookmarkEnd w:id="63"/>
    </w:p>
    <w:bookmarkEnd w:id="64"/>
    <w:p>
      <w:pPr>
        <w:pageBreakBefore w:val="0"/>
        <w:widowControl w:val="0"/>
        <w:kinsoku/>
        <w:wordWrap/>
        <w:overflowPunct/>
        <w:topLinePunct w:val="0"/>
        <w:autoSpaceDE/>
        <w:autoSpaceDN/>
        <w:bidi w:val="0"/>
        <w:adjustRightInd/>
        <w:snapToGrid/>
        <w:spacing w:after="120" w:line="240" w:lineRule="auto"/>
        <w:jc w:val="center"/>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合同条款</w:t>
      </w:r>
      <w:r>
        <w:rPr>
          <w:rFonts w:hint="eastAsia" w:ascii="仿宋" w:hAnsi="仿宋" w:eastAsia="仿宋" w:cs="仿宋"/>
          <w:b/>
          <w:bCs w:val="0"/>
          <w:sz w:val="32"/>
          <w:szCs w:val="32"/>
          <w:lang w:val="zh-CN"/>
        </w:rPr>
        <w:t>响应情况</w:t>
      </w:r>
      <w:r>
        <w:rPr>
          <w:rFonts w:hint="eastAsia" w:ascii="仿宋" w:hAnsi="仿宋" w:eastAsia="仿宋" w:cs="仿宋"/>
          <w:b/>
          <w:bCs w:val="0"/>
          <w:sz w:val="32"/>
          <w:szCs w:val="32"/>
          <w:lang w:val="en-US" w:eastAsia="zh-CN"/>
        </w:rPr>
        <w:t>偏离表</w:t>
      </w:r>
    </w:p>
    <w:p>
      <w:pPr>
        <w:pStyle w:val="2"/>
        <w:spacing w:line="240" w:lineRule="auto"/>
        <w:rPr>
          <w:rFonts w:hint="eastAsia" w:ascii="仿宋" w:hAnsi="仿宋" w:eastAsia="仿宋" w:cs="仿宋"/>
          <w:b w:val="0"/>
          <w:bCs/>
          <w:sz w:val="20"/>
          <w:szCs w:val="10"/>
          <w:lang w:val="zh-CN"/>
        </w:rPr>
      </w:pPr>
    </w:p>
    <w:p>
      <w:pPr>
        <w:pStyle w:val="2"/>
        <w:spacing w:line="240" w:lineRule="auto"/>
        <w:ind w:firstLine="400" w:firstLineChars="200"/>
        <w:rPr>
          <w:rFonts w:hint="eastAsia" w:ascii="仿宋" w:hAnsi="仿宋" w:eastAsia="仿宋" w:cs="仿宋"/>
          <w:b w:val="0"/>
          <w:bCs/>
          <w:sz w:val="20"/>
          <w:szCs w:val="10"/>
          <w:lang w:val="zh-CN"/>
        </w:rPr>
      </w:pPr>
      <w:r>
        <w:rPr>
          <w:rFonts w:hint="eastAsia" w:ascii="仿宋" w:hAnsi="仿宋" w:eastAsia="仿宋" w:cs="仿宋"/>
          <w:b w:val="0"/>
          <w:bCs/>
          <w:sz w:val="20"/>
          <w:szCs w:val="10"/>
          <w:lang w:val="zh-CN"/>
        </w:rPr>
        <w:t xml:space="preserve">投标人：                      </w:t>
      </w:r>
      <w:r>
        <w:rPr>
          <w:rFonts w:hint="eastAsia" w:ascii="仿宋" w:hAnsi="仿宋" w:eastAsia="仿宋" w:cs="仿宋"/>
          <w:b w:val="0"/>
          <w:bCs/>
          <w:sz w:val="20"/>
          <w:szCs w:val="10"/>
          <w:lang w:val="en-US" w:eastAsia="zh-CN"/>
        </w:rPr>
        <w:t xml:space="preserve">             </w:t>
      </w:r>
      <w:r>
        <w:rPr>
          <w:rFonts w:hint="eastAsia" w:ascii="仿宋" w:hAnsi="仿宋" w:eastAsia="仿宋" w:cs="仿宋"/>
          <w:b w:val="0"/>
          <w:bCs/>
          <w:sz w:val="20"/>
          <w:szCs w:val="10"/>
          <w:lang w:val="zh-CN"/>
        </w:rPr>
        <w:t xml:space="preserve">       招标编号：</w:t>
      </w:r>
    </w:p>
    <w:p>
      <w:pPr>
        <w:rPr>
          <w:rFonts w:hint="eastAsia"/>
          <w:lang w:val="zh-CN"/>
        </w:rPr>
      </w:pPr>
    </w:p>
    <w:tbl>
      <w:tblPr>
        <w:tblStyle w:val="15"/>
        <w:tblpPr w:leftFromText="180" w:rightFromText="180" w:vertAnchor="text" w:horzAnchor="page" w:tblpXSpec="center" w:tblpY="-9"/>
        <w:tblOverlap w:val="never"/>
        <w:tblW w:w="9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29"/>
        <w:gridCol w:w="1372"/>
        <w:gridCol w:w="1920"/>
        <w:gridCol w:w="1440"/>
        <w:gridCol w:w="1616"/>
        <w:gridCol w:w="1490"/>
        <w:gridCol w:w="7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23" w:hRule="atLeast"/>
          <w:jc w:val="center"/>
        </w:trPr>
        <w:tc>
          <w:tcPr>
            <w:tcW w:w="62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1"/>
                <w:szCs w:val="21"/>
              </w:rPr>
            </w:pPr>
            <w:r>
              <w:rPr>
                <w:rFonts w:hint="eastAsia" w:ascii="仿宋" w:hAnsi="仿宋" w:eastAsia="仿宋" w:cs="仿宋"/>
                <w:b/>
                <w:sz w:val="21"/>
                <w:szCs w:val="21"/>
              </w:rPr>
              <w:t>序号</w:t>
            </w:r>
          </w:p>
        </w:tc>
        <w:tc>
          <w:tcPr>
            <w:tcW w:w="1372"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合同条款号</w:t>
            </w:r>
          </w:p>
        </w:tc>
        <w:tc>
          <w:tcPr>
            <w:tcW w:w="1920"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内容</w:t>
            </w:r>
          </w:p>
        </w:tc>
        <w:tc>
          <w:tcPr>
            <w:tcW w:w="1440"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偏离性质</w:t>
            </w:r>
          </w:p>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（选填正偏离、负偏离）</w:t>
            </w:r>
          </w:p>
        </w:tc>
        <w:tc>
          <w:tcPr>
            <w:tcW w:w="1616"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偏离情况说明</w:t>
            </w:r>
          </w:p>
        </w:tc>
        <w:tc>
          <w:tcPr>
            <w:tcW w:w="1490"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偏离情况对应投标文件页码</w:t>
            </w:r>
          </w:p>
        </w:tc>
        <w:tc>
          <w:tcPr>
            <w:tcW w:w="77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1"/>
                <w:szCs w:val="21"/>
              </w:rPr>
            </w:pPr>
            <w:r>
              <w:rPr>
                <w:rFonts w:hint="eastAsia" w:ascii="仿宋" w:hAnsi="仿宋" w:eastAsia="仿宋" w:cs="仿宋"/>
                <w:b/>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2" w:hRule="atLeast"/>
          <w:jc w:val="center"/>
        </w:trPr>
        <w:tc>
          <w:tcPr>
            <w:tcW w:w="62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1</w:t>
            </w:r>
          </w:p>
        </w:tc>
        <w:tc>
          <w:tcPr>
            <w:tcW w:w="1372" w:type="dxa"/>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仿宋" w:hAnsi="仿宋" w:eastAsia="仿宋" w:cs="仿宋"/>
                <w:bCs/>
                <w:sz w:val="21"/>
                <w:szCs w:val="21"/>
              </w:rPr>
            </w:pPr>
          </w:p>
        </w:tc>
        <w:tc>
          <w:tcPr>
            <w:tcW w:w="192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77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62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2</w:t>
            </w:r>
          </w:p>
        </w:tc>
        <w:tc>
          <w:tcPr>
            <w:tcW w:w="1372" w:type="dxa"/>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仿宋" w:hAnsi="仿宋" w:eastAsia="仿宋" w:cs="仿宋"/>
                <w:bCs/>
                <w:sz w:val="21"/>
                <w:szCs w:val="21"/>
              </w:rPr>
            </w:pPr>
          </w:p>
        </w:tc>
        <w:tc>
          <w:tcPr>
            <w:tcW w:w="192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77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2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3</w:t>
            </w:r>
          </w:p>
        </w:tc>
        <w:tc>
          <w:tcPr>
            <w:tcW w:w="1372" w:type="dxa"/>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仿宋" w:hAnsi="仿宋" w:eastAsia="仿宋" w:cs="仿宋"/>
                <w:bCs/>
                <w:sz w:val="21"/>
                <w:szCs w:val="21"/>
              </w:rPr>
            </w:pPr>
          </w:p>
        </w:tc>
        <w:tc>
          <w:tcPr>
            <w:tcW w:w="192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77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2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r>
              <w:rPr>
                <w:rFonts w:hint="eastAsia" w:ascii="仿宋" w:hAnsi="仿宋" w:eastAsia="仿宋" w:cs="仿宋"/>
                <w:bCs/>
                <w:sz w:val="21"/>
                <w:szCs w:val="21"/>
                <w:highlight w:val="none"/>
              </w:rPr>
              <w:t>4</w:t>
            </w:r>
          </w:p>
        </w:tc>
        <w:tc>
          <w:tcPr>
            <w:tcW w:w="1372" w:type="dxa"/>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仿宋" w:hAnsi="仿宋" w:eastAsia="仿宋" w:cs="仿宋"/>
                <w:bCs/>
                <w:sz w:val="21"/>
                <w:szCs w:val="21"/>
                <w:highlight w:val="yellow"/>
              </w:rPr>
            </w:pPr>
          </w:p>
        </w:tc>
        <w:tc>
          <w:tcPr>
            <w:tcW w:w="192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77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54" w:hRule="atLeast"/>
          <w:jc w:val="center"/>
        </w:trPr>
        <w:tc>
          <w:tcPr>
            <w:tcW w:w="62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5</w:t>
            </w:r>
          </w:p>
        </w:tc>
        <w:tc>
          <w:tcPr>
            <w:tcW w:w="1372" w:type="dxa"/>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仿宋" w:hAnsi="仿宋" w:eastAsia="仿宋" w:cs="仿宋"/>
                <w:bCs/>
                <w:sz w:val="21"/>
                <w:szCs w:val="21"/>
              </w:rPr>
            </w:pPr>
          </w:p>
        </w:tc>
        <w:tc>
          <w:tcPr>
            <w:tcW w:w="192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77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62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6</w:t>
            </w:r>
          </w:p>
        </w:tc>
        <w:tc>
          <w:tcPr>
            <w:tcW w:w="1372" w:type="dxa"/>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仿宋" w:hAnsi="仿宋" w:eastAsia="仿宋" w:cs="仿宋"/>
                <w:bCs/>
                <w:sz w:val="21"/>
                <w:szCs w:val="21"/>
              </w:rPr>
            </w:pPr>
          </w:p>
        </w:tc>
        <w:tc>
          <w:tcPr>
            <w:tcW w:w="192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77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54" w:hRule="atLeast"/>
          <w:jc w:val="center"/>
        </w:trPr>
        <w:tc>
          <w:tcPr>
            <w:tcW w:w="62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7</w:t>
            </w:r>
          </w:p>
        </w:tc>
        <w:tc>
          <w:tcPr>
            <w:tcW w:w="1372" w:type="dxa"/>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仿宋" w:hAnsi="仿宋" w:eastAsia="仿宋" w:cs="仿宋"/>
                <w:bCs/>
                <w:sz w:val="21"/>
                <w:szCs w:val="21"/>
              </w:rPr>
            </w:pPr>
          </w:p>
        </w:tc>
        <w:tc>
          <w:tcPr>
            <w:tcW w:w="192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44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616"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49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77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15" w:hRule="atLeast"/>
          <w:jc w:val="center"/>
        </w:trPr>
        <w:tc>
          <w:tcPr>
            <w:tcW w:w="629"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372"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sz w:val="21"/>
                <w:szCs w:val="21"/>
                <w:highlight w:val="yellow"/>
                <w:lang w:val="en-US" w:eastAsia="zh-CN"/>
              </w:rPr>
            </w:pPr>
            <w:r>
              <w:rPr>
                <w:rFonts w:hint="eastAsia" w:ascii="仿宋" w:hAnsi="仿宋" w:eastAsia="仿宋" w:cs="仿宋"/>
                <w:bCs/>
                <w:sz w:val="21"/>
                <w:szCs w:val="21"/>
                <w:highlight w:val="none"/>
                <w:lang w:val="en-US" w:eastAsia="zh-CN"/>
              </w:rPr>
              <w:t>......</w:t>
            </w:r>
          </w:p>
        </w:tc>
        <w:tc>
          <w:tcPr>
            <w:tcW w:w="192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44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616"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49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77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r>
    </w:tbl>
    <w:p>
      <w:pPr>
        <w:pageBreakBefore w:val="0"/>
        <w:widowControl/>
        <w:kinsoku/>
        <w:wordWrap/>
        <w:overflowPunct/>
        <w:topLinePunct w:val="0"/>
        <w:autoSpaceDE/>
        <w:autoSpaceDN/>
        <w:bidi w:val="0"/>
        <w:adjustRightInd/>
        <w:snapToGrid/>
        <w:spacing w:beforeLines="50" w:line="240" w:lineRule="auto"/>
        <w:ind w:firstLine="422" w:firstLineChars="200"/>
        <w:textAlignment w:val="auto"/>
        <w:rPr>
          <w:rFonts w:hint="eastAsia" w:ascii="仿宋" w:hAnsi="仿宋" w:eastAsia="仿宋" w:cs="仿宋"/>
          <w:b/>
          <w:bCs/>
          <w:sz w:val="21"/>
          <w:szCs w:val="21"/>
        </w:rPr>
      </w:pPr>
      <w:r>
        <w:rPr>
          <w:rFonts w:hint="eastAsia" w:ascii="仿宋" w:hAnsi="仿宋" w:eastAsia="仿宋" w:cs="仿宋"/>
          <w:b/>
          <w:bCs/>
          <w:sz w:val="21"/>
          <w:szCs w:val="21"/>
        </w:rPr>
        <w:t>说明：</w:t>
      </w:r>
    </w:p>
    <w:p>
      <w:pPr>
        <w:pageBreakBefore w:val="0"/>
        <w:widowControl/>
        <w:numPr>
          <w:ilvl w:val="0"/>
          <w:numId w:val="44"/>
        </w:numPr>
        <w:kinsoku/>
        <w:wordWrap/>
        <w:overflowPunct/>
        <w:topLinePunct w:val="0"/>
        <w:autoSpaceDE/>
        <w:autoSpaceDN/>
        <w:bidi w:val="0"/>
        <w:adjustRightInd/>
        <w:snapToGrid/>
        <w:spacing w:beforeLines="50" w:line="240" w:lineRule="auto"/>
        <w:ind w:firstLine="42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kern w:val="0"/>
          <w:sz w:val="21"/>
          <w:szCs w:val="21"/>
          <w:lang w:val="en-US" w:eastAsia="zh-CN"/>
        </w:rPr>
        <w:t>偏离性质以采购人列示合同条款为基准，作出对采购人有利修改的为正偏离，反之为负偏离。</w:t>
      </w:r>
    </w:p>
    <w:p>
      <w:pPr>
        <w:pageBreakBefore w:val="0"/>
        <w:widowControl w:val="0"/>
        <w:numPr>
          <w:ilvl w:val="0"/>
          <w:numId w:val="44"/>
        </w:numPr>
        <w:kinsoku/>
        <w:wordWrap/>
        <w:overflowPunct/>
        <w:topLinePunct w:val="0"/>
        <w:autoSpaceDE/>
        <w:autoSpaceDN/>
        <w:bidi w:val="0"/>
        <w:adjustRightInd/>
        <w:snapToGrid/>
        <w:spacing w:beforeLines="50" w:line="240" w:lineRule="auto"/>
        <w:ind w:firstLine="420" w:firstLineChars="200"/>
        <w:textAlignment w:val="auto"/>
        <w:rPr>
          <w:rFonts w:hint="eastAsia" w:ascii="仿宋" w:hAnsi="仿宋" w:eastAsia="仿宋" w:cs="仿宋"/>
          <w:b w:val="0"/>
          <w:bCs w:val="0"/>
          <w:kern w:val="2"/>
          <w:sz w:val="21"/>
          <w:szCs w:val="21"/>
        </w:rPr>
      </w:pPr>
      <w:r>
        <w:rPr>
          <w:rFonts w:hint="eastAsia" w:ascii="仿宋" w:hAnsi="仿宋" w:eastAsia="仿宋" w:cs="仿宋"/>
          <w:b w:val="0"/>
          <w:bCs w:val="0"/>
          <w:sz w:val="21"/>
          <w:szCs w:val="21"/>
        </w:rPr>
        <w:t>投标人应准确完整阅读谈判文件并就谈判文件内合同条款与投标人实际提供服务产生的偏离情况进行完整、准确说明</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投标人未予列示的，默认为无偏离承诺</w:t>
      </w:r>
      <w:r>
        <w:rPr>
          <w:rFonts w:hint="eastAsia" w:ascii="仿宋" w:hAnsi="仿宋" w:eastAsia="仿宋" w:cs="仿宋"/>
          <w:b w:val="0"/>
          <w:bCs w:val="0"/>
          <w:sz w:val="21"/>
          <w:szCs w:val="21"/>
        </w:rPr>
        <w:t>。投标人未在本表中示明，但在服务方案中存在偏离的情况，</w:t>
      </w:r>
      <w:r>
        <w:rPr>
          <w:rFonts w:hint="eastAsia" w:ascii="仿宋" w:hAnsi="仿宋" w:eastAsia="仿宋" w:cs="仿宋"/>
          <w:b w:val="0"/>
          <w:bCs w:val="0"/>
          <w:sz w:val="21"/>
          <w:szCs w:val="21"/>
          <w:lang w:val="en-US" w:eastAsia="zh-CN"/>
        </w:rPr>
        <w:t>招标</w:t>
      </w:r>
      <w:r>
        <w:rPr>
          <w:rFonts w:hint="eastAsia" w:ascii="仿宋" w:hAnsi="仿宋" w:eastAsia="仿宋" w:cs="仿宋"/>
          <w:b w:val="0"/>
          <w:bCs w:val="0"/>
          <w:sz w:val="21"/>
          <w:szCs w:val="21"/>
        </w:rPr>
        <w:t>人有权判定为废标。</w:t>
      </w:r>
    </w:p>
    <w:p>
      <w:pPr>
        <w:pStyle w:val="2"/>
        <w:rPr>
          <w:rFonts w:hint="eastAsia"/>
          <w:sz w:val="32"/>
          <w:szCs w:val="18"/>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rPr>
      </w:pPr>
      <w:r>
        <w:rPr>
          <w:rFonts w:hint="eastAsia" w:ascii="仿宋" w:hAnsi="仿宋" w:eastAsia="仿宋" w:cs="仿宋"/>
          <w:b/>
          <w:kern w:val="0"/>
          <w:sz w:val="21"/>
          <w:szCs w:val="21"/>
          <w:lang w:eastAsia="zh-CN"/>
        </w:rPr>
        <w:t>投标人</w:t>
      </w:r>
      <w:r>
        <w:rPr>
          <w:rFonts w:hint="eastAsia" w:ascii="仿宋" w:hAnsi="仿宋" w:eastAsia="仿宋" w:cs="仿宋"/>
          <w:b/>
          <w:kern w:val="0"/>
          <w:sz w:val="21"/>
          <w:szCs w:val="21"/>
        </w:rPr>
        <w:t>名称（公章）：</w:t>
      </w: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rPr>
      </w:pPr>
      <w:r>
        <w:rPr>
          <w:rFonts w:hint="eastAsia" w:ascii="仿宋" w:hAnsi="仿宋" w:eastAsia="仿宋" w:cs="仿宋"/>
          <w:b/>
          <w:kern w:val="0"/>
          <w:sz w:val="21"/>
          <w:szCs w:val="21"/>
        </w:rPr>
        <w:t>法定代表人（法定授权代表人）签名：</w:t>
      </w: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kern w:val="0"/>
          <w:sz w:val="24"/>
          <w:szCs w:val="24"/>
        </w:rPr>
      </w:pPr>
      <w:r>
        <w:rPr>
          <w:rFonts w:hint="eastAsia" w:ascii="仿宋" w:hAnsi="仿宋" w:eastAsia="仿宋" w:cs="仿宋"/>
          <w:b/>
          <w:kern w:val="0"/>
          <w:sz w:val="21"/>
          <w:szCs w:val="21"/>
        </w:rPr>
        <w:t>日期：</w:t>
      </w:r>
      <w:r>
        <w:rPr>
          <w:rFonts w:hint="eastAsia" w:ascii="仿宋" w:hAnsi="仿宋" w:eastAsia="仿宋" w:cs="仿宋"/>
          <w:bCs/>
          <w:kern w:val="0"/>
          <w:sz w:val="24"/>
          <w:szCs w:val="24"/>
        </w:rPr>
        <w:br w:type="page"/>
      </w:r>
    </w:p>
    <w:p>
      <w:pPr>
        <w:pStyle w:val="4"/>
        <w:pageBreakBefore w:val="0"/>
        <w:kinsoku/>
        <w:overflowPunct/>
        <w:topLinePunct w:val="0"/>
        <w:autoSpaceDE/>
        <w:autoSpaceDN/>
        <w:bidi w:val="0"/>
        <w:spacing w:line="560" w:lineRule="exact"/>
        <w:ind w:firstLine="0" w:firstLineChars="0"/>
        <w:jc w:val="left"/>
        <w:rPr>
          <w:rFonts w:hint="eastAsia" w:ascii="仿宋" w:hAnsi="仿宋" w:eastAsia="仿宋" w:cs="仿宋"/>
          <w:bCs w:val="0"/>
          <w:sz w:val="24"/>
          <w:szCs w:val="24"/>
          <w:highlight w:val="none"/>
        </w:rPr>
      </w:pPr>
      <w:bookmarkStart w:id="65" w:name="_Toc29562"/>
      <w:bookmarkStart w:id="66" w:name="_格式5：法律顾问单位服务收费项目及标准"/>
      <w:bookmarkStart w:id="67" w:name="_Toc21663"/>
      <w:r>
        <w:rPr>
          <w:rFonts w:hint="eastAsia" w:ascii="仿宋" w:hAnsi="仿宋" w:eastAsia="仿宋" w:cs="仿宋"/>
          <w:bCs w:val="0"/>
          <w:sz w:val="21"/>
          <w:szCs w:val="21"/>
        </w:rPr>
        <w:t>格式5：</w:t>
      </w:r>
      <w:bookmarkEnd w:id="65"/>
      <w:r>
        <w:rPr>
          <w:rFonts w:hint="eastAsia" w:ascii="仿宋" w:hAnsi="仿宋" w:eastAsia="仿宋" w:cs="仿宋"/>
          <w:bCs w:val="0"/>
          <w:sz w:val="21"/>
          <w:szCs w:val="21"/>
          <w:highlight w:val="none"/>
          <w:lang w:val="en-US" w:eastAsia="zh-CN"/>
        </w:rPr>
        <w:t>法律顾问服务项目报价单</w:t>
      </w:r>
    </w:p>
    <w:bookmarkEnd w:id="66"/>
    <w:p>
      <w:pPr>
        <w:pageBreakBefore w:val="0"/>
        <w:kinsoku/>
        <w:overflowPunct/>
        <w:topLinePunct w:val="0"/>
        <w:autoSpaceDE/>
        <w:autoSpaceDN/>
        <w:bidi w:val="0"/>
        <w:spacing w:line="560" w:lineRule="exact"/>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法律顾问服务项目报价单</w:t>
      </w:r>
    </w:p>
    <w:p>
      <w:pPr>
        <w:pStyle w:val="2"/>
        <w:spacing w:line="240" w:lineRule="auto"/>
        <w:rPr>
          <w:rFonts w:hint="eastAsia"/>
          <w:sz w:val="21"/>
          <w:szCs w:val="11"/>
          <w:highlight w:val="yellow"/>
          <w:lang w:val="en-US" w:eastAsia="zh-CN"/>
        </w:rPr>
      </w:pPr>
    </w:p>
    <w:p>
      <w:pPr>
        <w:pageBreakBefore w:val="0"/>
        <w:kinsoku/>
        <w:overflowPunct/>
        <w:topLinePunct w:val="0"/>
        <w:autoSpaceDE/>
        <w:autoSpaceDN/>
        <w:bidi w:val="0"/>
        <w:spacing w:line="240" w:lineRule="auto"/>
        <w:rPr>
          <w:rFonts w:hint="eastAsia" w:ascii="仿宋" w:hAnsi="仿宋" w:eastAsia="仿宋" w:cs="仿宋"/>
          <w:bCs/>
          <w:sz w:val="21"/>
          <w:szCs w:val="21"/>
        </w:rPr>
      </w:pPr>
      <w:r>
        <w:rPr>
          <w:rFonts w:hint="eastAsia" w:ascii="仿宋" w:hAnsi="仿宋" w:eastAsia="仿宋" w:cs="仿宋"/>
          <w:bCs/>
          <w:sz w:val="21"/>
          <w:szCs w:val="21"/>
        </w:rPr>
        <w:t>致：深圳市鹏劳人力资源管理有限公司</w:t>
      </w:r>
    </w:p>
    <w:p>
      <w:pPr>
        <w:pageBreakBefore w:val="0"/>
        <w:kinsoku/>
        <w:overflowPunct/>
        <w:topLinePunct w:val="0"/>
        <w:autoSpaceDE/>
        <w:autoSpaceDN/>
        <w:bidi w:val="0"/>
        <w:spacing w:line="240" w:lineRule="auto"/>
        <w:ind w:firstLine="420" w:firstLineChars="200"/>
        <w:rPr>
          <w:rFonts w:hint="eastAsia" w:ascii="仿宋" w:hAnsi="仿宋" w:eastAsia="仿宋" w:cs="仿宋"/>
          <w:bCs/>
          <w:sz w:val="21"/>
          <w:szCs w:val="21"/>
          <w:highlight w:val="none"/>
        </w:rPr>
      </w:pPr>
      <w:r>
        <w:rPr>
          <w:rFonts w:hint="eastAsia" w:ascii="仿宋" w:hAnsi="仿宋" w:eastAsia="仿宋" w:cs="仿宋"/>
          <w:bCs/>
          <w:sz w:val="21"/>
          <w:szCs w:val="21"/>
          <w:lang w:val="en-US" w:eastAsia="zh-CN"/>
        </w:rPr>
        <w:t>常年法律顾问</w:t>
      </w:r>
      <w:r>
        <w:rPr>
          <w:rFonts w:hint="eastAsia" w:ascii="仿宋" w:hAnsi="仿宋" w:eastAsia="仿宋" w:cs="仿宋"/>
          <w:bCs/>
          <w:sz w:val="21"/>
          <w:szCs w:val="21"/>
        </w:rPr>
        <w:t>服务</w:t>
      </w:r>
      <w:r>
        <w:rPr>
          <w:rFonts w:hint="eastAsia" w:ascii="仿宋" w:hAnsi="仿宋" w:eastAsia="仿宋" w:cs="仿宋"/>
          <w:bCs/>
          <w:sz w:val="21"/>
          <w:szCs w:val="21"/>
          <w:lang w:val="en-US" w:eastAsia="zh-CN"/>
        </w:rPr>
        <w:t>采购</w:t>
      </w:r>
      <w:r>
        <w:rPr>
          <w:rFonts w:hint="eastAsia" w:ascii="仿宋" w:hAnsi="仿宋" w:eastAsia="仿宋" w:cs="仿宋"/>
          <w:bCs/>
          <w:sz w:val="21"/>
          <w:szCs w:val="21"/>
        </w:rPr>
        <w:t>项目（招标</w:t>
      </w:r>
      <w:r>
        <w:rPr>
          <w:rFonts w:hint="eastAsia" w:ascii="仿宋" w:hAnsi="仿宋" w:eastAsia="仿宋" w:cs="仿宋"/>
          <w:bCs/>
          <w:sz w:val="21"/>
          <w:szCs w:val="21"/>
          <w:highlight w:val="none"/>
        </w:rPr>
        <w:t>编号：PLHR-ZB-FW-202</w:t>
      </w:r>
      <w:r>
        <w:rPr>
          <w:rFonts w:hint="eastAsia" w:ascii="仿宋" w:hAnsi="仿宋" w:eastAsia="仿宋" w:cs="仿宋"/>
          <w:bCs/>
          <w:sz w:val="21"/>
          <w:szCs w:val="21"/>
          <w:highlight w:val="none"/>
          <w:lang w:val="en-US" w:eastAsia="zh-CN"/>
        </w:rPr>
        <w:t>201</w:t>
      </w:r>
      <w:r>
        <w:rPr>
          <w:rFonts w:hint="eastAsia" w:ascii="仿宋" w:hAnsi="仿宋" w:eastAsia="仿宋" w:cs="仿宋"/>
          <w:bCs/>
          <w:sz w:val="21"/>
          <w:szCs w:val="21"/>
          <w:highlight w:val="none"/>
        </w:rPr>
        <w:t>）项目报价如下：</w:t>
      </w:r>
    </w:p>
    <w:tbl>
      <w:tblPr>
        <w:tblStyle w:val="16"/>
        <w:tblW w:w="9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727"/>
        <w:gridCol w:w="1324"/>
        <w:gridCol w:w="2130"/>
        <w:gridCol w:w="28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序号</w:t>
            </w:r>
          </w:p>
        </w:tc>
        <w:tc>
          <w:tcPr>
            <w:tcW w:w="17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项目名称</w:t>
            </w:r>
          </w:p>
        </w:tc>
        <w:tc>
          <w:tcPr>
            <w:tcW w:w="1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项目阶段</w:t>
            </w:r>
          </w:p>
        </w:tc>
        <w:tc>
          <w:tcPr>
            <w:tcW w:w="21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分项报价（元）</w:t>
            </w:r>
          </w:p>
        </w:tc>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highlight w:val="none"/>
                <w:vertAlign w:val="baseline"/>
                <w:lang w:val="en-US" w:eastAsia="zh-CN"/>
              </w:rPr>
              <w:t>报价说明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7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Cs/>
                <w:kern w:val="0"/>
                <w:sz w:val="21"/>
                <w:szCs w:val="21"/>
                <w:highlight w:val="none"/>
                <w:lang w:val="en-US" w:eastAsia="zh-CN"/>
              </w:rPr>
            </w:pPr>
            <w:r>
              <w:rPr>
                <w:rFonts w:hint="eastAsia" w:ascii="仿宋" w:hAnsi="仿宋" w:eastAsia="仿宋" w:cs="仿宋"/>
                <w:bCs/>
                <w:kern w:val="0"/>
                <w:sz w:val="21"/>
                <w:szCs w:val="21"/>
                <w:highlight w:val="none"/>
                <w:lang w:val="en-US" w:eastAsia="zh-CN"/>
              </w:rPr>
              <w:t>常年法律顾问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bCs/>
                <w:kern w:val="0"/>
                <w:sz w:val="21"/>
                <w:szCs w:val="21"/>
                <w:highlight w:val="none"/>
                <w:lang w:val="en-US" w:eastAsia="zh-CN"/>
              </w:rPr>
              <w:t>服务费</w:t>
            </w:r>
          </w:p>
        </w:tc>
        <w:tc>
          <w:tcPr>
            <w:tcW w:w="1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w:t>
            </w:r>
          </w:p>
        </w:tc>
        <w:tc>
          <w:tcPr>
            <w:tcW w:w="21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30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72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经济案件</w:t>
            </w:r>
          </w:p>
        </w:tc>
        <w:tc>
          <w:tcPr>
            <w:tcW w:w="1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一审</w:t>
            </w:r>
          </w:p>
        </w:tc>
        <w:tc>
          <w:tcPr>
            <w:tcW w:w="21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7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二审</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28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30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17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1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终审</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28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30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72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劳动争议案件</w:t>
            </w:r>
          </w:p>
        </w:tc>
        <w:tc>
          <w:tcPr>
            <w:tcW w:w="1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仲裁</w:t>
            </w:r>
          </w:p>
        </w:tc>
        <w:tc>
          <w:tcPr>
            <w:tcW w:w="21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30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7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一审</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28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30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17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1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二审</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28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0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172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行政案件</w:t>
            </w:r>
          </w:p>
        </w:tc>
        <w:tc>
          <w:tcPr>
            <w:tcW w:w="1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一审</w:t>
            </w:r>
          </w:p>
        </w:tc>
        <w:tc>
          <w:tcPr>
            <w:tcW w:w="21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0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Theme="minorEastAsia"/>
                <w:lang w:eastAsia="zh-CN"/>
              </w:rPr>
            </w:pPr>
            <w:r>
              <w:rPr>
                <w:rFonts w:hint="eastAsia"/>
                <w:lang w:eastAsia="zh-CN"/>
              </w:rPr>
              <w:t xml:space="preserve"> </w:t>
            </w:r>
          </w:p>
        </w:tc>
        <w:tc>
          <w:tcPr>
            <w:tcW w:w="17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二审</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28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0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17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1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终审</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28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3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7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其他</w:t>
            </w:r>
          </w:p>
        </w:tc>
        <w:tc>
          <w:tcPr>
            <w:tcW w:w="1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c>
          <w:tcPr>
            <w:tcW w:w="21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3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c>
          <w:tcPr>
            <w:tcW w:w="17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w:t>
            </w:r>
          </w:p>
        </w:tc>
        <w:tc>
          <w:tcPr>
            <w:tcW w:w="1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c>
          <w:tcPr>
            <w:tcW w:w="21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p>
        </w:tc>
      </w:tr>
    </w:tbl>
    <w:p>
      <w:pPr>
        <w:pageBreakBefore w:val="0"/>
        <w:kinsoku/>
        <w:overflowPunct/>
        <w:topLinePunct w:val="0"/>
        <w:autoSpaceDE/>
        <w:autoSpaceDN/>
        <w:bidi w:val="0"/>
        <w:spacing w:line="560" w:lineRule="exact"/>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 xml:space="preserve">报价要求： </w:t>
      </w:r>
    </w:p>
    <w:p>
      <w:pPr>
        <w:keepNext w:val="0"/>
        <w:keepLines w:val="0"/>
        <w:pageBreakBefore w:val="0"/>
        <w:widowControl w:val="0"/>
        <w:numPr>
          <w:ilvl w:val="0"/>
          <w:numId w:val="45"/>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Cs/>
          <w:sz w:val="21"/>
          <w:szCs w:val="21"/>
        </w:rPr>
      </w:pPr>
      <w:r>
        <w:rPr>
          <w:rFonts w:hint="eastAsia" w:ascii="仿宋" w:hAnsi="仿宋" w:eastAsia="仿宋" w:cs="仿宋"/>
          <w:bCs/>
          <w:sz w:val="21"/>
          <w:szCs w:val="21"/>
        </w:rPr>
        <w:t>投标人应按表格如实准确填列，不可缺项、漏项、错项，否则可能导致废标；</w:t>
      </w:r>
    </w:p>
    <w:p>
      <w:pPr>
        <w:keepNext w:val="0"/>
        <w:keepLines w:val="0"/>
        <w:pageBreakBefore w:val="0"/>
        <w:widowControl w:val="0"/>
        <w:numPr>
          <w:ilvl w:val="0"/>
          <w:numId w:val="45"/>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投标人报价应根据案件办理件数、具体案件执行阶段详细注明每标准收费，计价单位根据案件情况不同明确到每件、每宗、每阶段。其他项目收费参照上述要求注明费用及收费标准。</w:t>
      </w:r>
      <w:r>
        <w:rPr>
          <w:rFonts w:hint="eastAsia" w:ascii="仿宋" w:hAnsi="仿宋" w:eastAsia="仿宋" w:cs="仿宋"/>
          <w:sz w:val="21"/>
          <w:szCs w:val="21"/>
          <w:highlight w:val="none"/>
        </w:rPr>
        <w:t>投标人如需对报价或其它内容加以说明，</w:t>
      </w:r>
      <w:r>
        <w:rPr>
          <w:rFonts w:hint="eastAsia" w:ascii="仿宋" w:hAnsi="仿宋" w:eastAsia="仿宋" w:cs="仿宋"/>
          <w:sz w:val="21"/>
          <w:szCs w:val="21"/>
          <w:highlight w:val="none"/>
          <w:lang w:eastAsia="zh-CN"/>
        </w:rPr>
        <w:t>在报价说明栏内清晰准确示明</w:t>
      </w:r>
      <w:r>
        <w:rPr>
          <w:rFonts w:hint="eastAsia" w:ascii="仿宋" w:hAnsi="仿宋" w:eastAsia="仿宋" w:cs="仿宋"/>
          <w:sz w:val="21"/>
          <w:szCs w:val="21"/>
          <w:highlight w:val="none"/>
        </w:rPr>
        <w:t>；</w:t>
      </w:r>
    </w:p>
    <w:p>
      <w:pPr>
        <w:keepNext w:val="0"/>
        <w:keepLines w:val="0"/>
        <w:pageBreakBefore w:val="0"/>
        <w:widowControl w:val="0"/>
        <w:numPr>
          <w:ilvl w:val="0"/>
          <w:numId w:val="45"/>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Cs/>
          <w:sz w:val="21"/>
          <w:szCs w:val="21"/>
        </w:rPr>
      </w:pPr>
      <w:r>
        <w:rPr>
          <w:rFonts w:hint="eastAsia" w:ascii="仿宋" w:hAnsi="仿宋" w:eastAsia="仿宋" w:cs="仿宋"/>
          <w:bCs/>
          <w:sz w:val="21"/>
          <w:szCs w:val="21"/>
        </w:rPr>
        <w:t>投标金额大小写不一致的以大写为准。电子文档与纸质文档不一致的以纸质文档为准。正本与副本不一致的以正本为准。总价填列与计算结果不一致的以最终计算与修正结果为准</w:t>
      </w:r>
      <w:r>
        <w:rPr>
          <w:rFonts w:hint="eastAsia" w:ascii="仿宋" w:hAnsi="仿宋" w:eastAsia="仿宋" w:cs="仿宋"/>
          <w:bCs/>
          <w:sz w:val="21"/>
          <w:szCs w:val="21"/>
          <w:lang w:eastAsia="zh-CN"/>
        </w:rPr>
        <w:t>；</w:t>
      </w:r>
    </w:p>
    <w:p>
      <w:pPr>
        <w:keepNext w:val="0"/>
        <w:keepLines w:val="0"/>
        <w:pageBreakBefore w:val="0"/>
        <w:widowControl w:val="0"/>
        <w:numPr>
          <w:ilvl w:val="0"/>
          <w:numId w:val="45"/>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投标人以政府指导性文件作为报价基础的，应提供折后价格作为最终报价，同时在备注栏说明计价基础并提供指导性文件作为报价单附件；</w:t>
      </w:r>
    </w:p>
    <w:p>
      <w:pPr>
        <w:pStyle w:val="2"/>
        <w:numPr>
          <w:ilvl w:val="0"/>
          <w:numId w:val="45"/>
        </w:numPr>
        <w:spacing w:line="240" w:lineRule="auto"/>
        <w:ind w:firstLine="420" w:firstLineChars="200"/>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投标人可以随附其他投标人认为需要对本报价表做出必要补充说明的文件；</w:t>
      </w:r>
    </w:p>
    <w:p>
      <w:pPr>
        <w:keepNext w:val="0"/>
        <w:keepLines w:val="0"/>
        <w:numPr>
          <w:ilvl w:val="0"/>
          <w:numId w:val="45"/>
        </w:numPr>
        <w:spacing w:line="240" w:lineRule="auto"/>
        <w:ind w:firstLine="420" w:firstLineChars="200"/>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此表应经法定代表人或授权代表人签名，并加盖投标人单位公章，否则无效，作废标处理。</w:t>
      </w:r>
    </w:p>
    <w:p>
      <w:pPr>
        <w:rPr>
          <w:rFonts w:hint="eastAsia"/>
          <w:lang w:val="en-US" w:eastAsia="zh-CN"/>
        </w:rPr>
      </w:pPr>
    </w:p>
    <w:p>
      <w:pPr>
        <w:rPr>
          <w:rFonts w:hint="eastAsia" w:ascii="仿宋" w:hAnsi="仿宋" w:eastAsia="仿宋" w:cs="仿宋"/>
          <w:sz w:val="21"/>
          <w:szCs w:val="21"/>
          <w:lang w:val="en-US" w:eastAsia="zh-CN"/>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rPr>
      </w:pPr>
      <w:r>
        <w:rPr>
          <w:rFonts w:hint="eastAsia" w:ascii="仿宋" w:hAnsi="仿宋" w:eastAsia="仿宋" w:cs="仿宋"/>
          <w:b/>
          <w:kern w:val="0"/>
          <w:sz w:val="21"/>
          <w:szCs w:val="21"/>
          <w:lang w:eastAsia="zh-CN"/>
        </w:rPr>
        <w:t>投标人</w:t>
      </w:r>
      <w:r>
        <w:rPr>
          <w:rFonts w:hint="eastAsia" w:ascii="仿宋" w:hAnsi="仿宋" w:eastAsia="仿宋" w:cs="仿宋"/>
          <w:b/>
          <w:kern w:val="0"/>
          <w:sz w:val="21"/>
          <w:szCs w:val="21"/>
        </w:rPr>
        <w:t>名称（公章）：</w:t>
      </w: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rPr>
      </w:pPr>
      <w:r>
        <w:rPr>
          <w:rFonts w:hint="eastAsia" w:ascii="仿宋" w:hAnsi="仿宋" w:eastAsia="仿宋" w:cs="仿宋"/>
          <w:b/>
          <w:kern w:val="0"/>
          <w:sz w:val="21"/>
          <w:szCs w:val="21"/>
        </w:rPr>
        <w:t>法定代表人（法定授权代表人）签名：</w:t>
      </w:r>
    </w:p>
    <w:p>
      <w:pPr>
        <w:pStyle w:val="2"/>
        <w:rPr>
          <w:rFonts w:hint="default"/>
          <w:lang w:val="en-US" w:eastAsia="zh-CN"/>
        </w:rPr>
      </w:pPr>
      <w:r>
        <w:rPr>
          <w:rFonts w:hint="eastAsia" w:ascii="仿宋" w:hAnsi="仿宋" w:eastAsia="仿宋" w:cs="仿宋"/>
          <w:b/>
          <w:kern w:val="0"/>
          <w:sz w:val="21"/>
          <w:szCs w:val="21"/>
        </w:rPr>
        <w:t>日期：</w:t>
      </w:r>
    </w:p>
    <w:p>
      <w:pPr>
        <w:pStyle w:val="4"/>
        <w:pageBreakBefore w:val="0"/>
        <w:kinsoku/>
        <w:overflowPunct/>
        <w:topLinePunct w:val="0"/>
        <w:autoSpaceDE/>
        <w:autoSpaceDN/>
        <w:bidi w:val="0"/>
        <w:spacing w:line="560" w:lineRule="exact"/>
        <w:ind w:firstLine="482"/>
        <w:jc w:val="left"/>
        <w:rPr>
          <w:rFonts w:hint="eastAsia" w:ascii="仿宋" w:hAnsi="仿宋" w:eastAsia="仿宋" w:cs="仿宋"/>
          <w:bCs w:val="0"/>
          <w:sz w:val="32"/>
          <w:szCs w:val="32"/>
          <w:lang w:val="zh-CN"/>
        </w:rPr>
      </w:pPr>
    </w:p>
    <w:p>
      <w:pPr>
        <w:pageBreakBefore w:val="0"/>
        <w:kinsoku/>
        <w:overflowPunct/>
        <w:topLinePunct w:val="0"/>
        <w:autoSpaceDE/>
        <w:autoSpaceDN/>
        <w:bidi w:val="0"/>
        <w:spacing w:line="560" w:lineRule="exact"/>
        <w:rPr>
          <w:rFonts w:hint="eastAsia" w:ascii="仿宋" w:hAnsi="仿宋" w:eastAsia="仿宋" w:cs="仿宋"/>
          <w:bCs w:val="0"/>
          <w:sz w:val="32"/>
          <w:szCs w:val="32"/>
          <w:lang w:val="zh-CN"/>
        </w:rPr>
      </w:pPr>
    </w:p>
    <w:p>
      <w:pPr>
        <w:pStyle w:val="4"/>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bCs w:val="0"/>
          <w:sz w:val="21"/>
          <w:szCs w:val="21"/>
          <w:lang w:val="zh-CN"/>
        </w:rPr>
      </w:pPr>
      <w:bookmarkStart w:id="68" w:name="_Toc31718"/>
      <w:bookmarkStart w:id="69" w:name="_格式6：承诺函"/>
      <w:r>
        <w:rPr>
          <w:rFonts w:hint="eastAsia" w:ascii="仿宋" w:hAnsi="仿宋" w:eastAsia="仿宋" w:cs="仿宋"/>
          <w:bCs w:val="0"/>
          <w:sz w:val="21"/>
          <w:szCs w:val="21"/>
          <w:lang w:val="en-US" w:eastAsia="zh-CN"/>
        </w:rPr>
        <w:t>格</w:t>
      </w:r>
      <w:r>
        <w:rPr>
          <w:rFonts w:hint="eastAsia" w:ascii="仿宋" w:hAnsi="仿宋" w:eastAsia="仿宋" w:cs="仿宋"/>
          <w:bCs w:val="0"/>
          <w:sz w:val="21"/>
          <w:szCs w:val="21"/>
          <w:lang w:val="zh-CN"/>
        </w:rPr>
        <w:t>式</w:t>
      </w:r>
      <w:r>
        <w:rPr>
          <w:rFonts w:hint="eastAsia" w:ascii="仿宋" w:hAnsi="仿宋" w:eastAsia="仿宋" w:cs="仿宋"/>
          <w:bCs w:val="0"/>
          <w:sz w:val="21"/>
          <w:szCs w:val="21"/>
        </w:rPr>
        <w:t>6</w:t>
      </w:r>
      <w:r>
        <w:rPr>
          <w:rFonts w:hint="eastAsia" w:ascii="仿宋" w:hAnsi="仿宋" w:eastAsia="仿宋" w:cs="仿宋"/>
          <w:bCs w:val="0"/>
          <w:sz w:val="21"/>
          <w:szCs w:val="21"/>
          <w:lang w:val="zh-CN"/>
        </w:rPr>
        <w:t>：承诺函</w:t>
      </w:r>
      <w:bookmarkEnd w:id="67"/>
      <w:bookmarkEnd w:id="68"/>
    </w:p>
    <w:bookmarkEnd w:id="69"/>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rPr>
        <w:t>承诺函</w:t>
      </w:r>
    </w:p>
    <w:p>
      <w:pPr>
        <w:keepNext w:val="0"/>
        <w:keepLines w:val="0"/>
        <w:pageBreakBefore w:val="0"/>
        <w:widowControl/>
        <w:kinsoku/>
        <w:wordWrap/>
        <w:overflowPunct/>
        <w:topLinePunct w:val="0"/>
        <w:autoSpaceDE/>
        <w:autoSpaceDN/>
        <w:bidi w:val="0"/>
        <w:adjustRightInd/>
        <w:snapToGrid/>
        <w:spacing w:line="56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致 深圳市鹏劳人力资源管理有限公司：</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我司有意参与贵司【</w:t>
      </w:r>
      <w:r>
        <w:rPr>
          <w:rFonts w:hint="eastAsia" w:ascii="仿宋" w:hAnsi="仿宋" w:eastAsia="仿宋" w:cs="仿宋"/>
          <w:bCs/>
          <w:sz w:val="24"/>
          <w:szCs w:val="24"/>
          <w:u w:val="single"/>
        </w:rPr>
        <w:t>项目名称</w:t>
      </w:r>
      <w:r>
        <w:rPr>
          <w:rFonts w:hint="eastAsia" w:ascii="仿宋" w:hAnsi="仿宋" w:eastAsia="仿宋" w:cs="仿宋"/>
          <w:bCs/>
          <w:sz w:val="24"/>
          <w:szCs w:val="24"/>
        </w:rPr>
        <w:t>】投标，为保证招投标工作的公平公正及充分竞争，在此，我司郑重承诺如下：</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一、我司承诺在投标过程中对于如下行为坚决抵制并向贵司及时通报：</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1.招标人或招标相关单位人员利用职务上的便利，自行或通过他人向我司推荐供应商（分包商）；</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2.其他投标参与方自行或委托他人私下与我司联系串通投标事宜；</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3.招标人、及招标相关单位的人员在招标投标过程中，人为设置障碍，索要或暗示索要现金、股票、股权、各种有价证券、支付凭证或贵重物品等。</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二、我司承诺依法合规参与本项目竞争，严格本公司投标代表及相关员工管理，具体内容如下：</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1.我司不会以任何理由任何方式进行串通投标等不正当竞争的违法违规行为；</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2.我司或我司员工不以任何理由任何方式，向贵司、及招标相关单位的人员赠送现金、股票、股权、各种有价证券、支付凭证或贵重物品等；</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3.我司或我司员工不以任何理由任何方式，向贵司、及招标相关单位的人员发出健身、娱乐活动的邀请，或对贵司及招标相关单位的人员进行超标准接待；</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4.参与贵司项目投标及与投标相关的交流调研过程中，我司保证向贵司所提供信息的真实性和准确性，且不会将拟投标项目进行任何形式的转包或挂靠。</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5.参与贵司招标项目投标过程中，我司承诺所有招标相关信息交流在工作场所公开进行，文件传递应通过公司传真或工作邮箱。不私下打探招标项目非公开信息（如其他投标人信息、标底详细信息、评标专家信息、评标过程信息等），不与贵司、及招标相关单位的人员就招标相关信息进行私下商谈或者达成利益默契。</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6.我司及我司派出的投标代表及工作人员授权贵司对本项目下我司投标工作进行监督，在贵司办公场所内合理使用包括录音录像、派员监督等手段开展监督工作。</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7.如果我司中标，将严格遵照本项目招标文件需求、投标承诺及合同约定做到诚信履约，为贵司提供最优服务；</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8.我司已认真核实了投标文件的全部资料，所有资料均为真实资料。我公司对投标文件中全部投标资料的真实性负责。</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以上承诺，如有违反，我司将配合贵司进行调查和严肃处理，并自行承担不能参与本项目投标或承包本项目的资格、以及今后可能不能参加贵司其他项目的投标、无法进入贵司供应商库等一切不利后果，并承担由此给贵司带来的损失。</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lang w:eastAsia="zh-CN"/>
        </w:rPr>
      </w:pP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lang w:eastAsia="zh-CN"/>
        </w:rPr>
      </w:pP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lang w:eastAsia="zh-CN"/>
        </w:rPr>
      </w:pP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lang w:eastAsia="zh-CN"/>
        </w:rPr>
      </w:pP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rPr>
      </w:pPr>
      <w:r>
        <w:rPr>
          <w:rFonts w:hint="eastAsia" w:ascii="仿宋" w:hAnsi="仿宋" w:eastAsia="仿宋" w:cs="仿宋"/>
          <w:b/>
          <w:kern w:val="0"/>
          <w:sz w:val="24"/>
          <w:szCs w:val="24"/>
          <w:lang w:eastAsia="zh-CN"/>
        </w:rPr>
        <w:t>投标人</w:t>
      </w:r>
      <w:r>
        <w:rPr>
          <w:rFonts w:hint="eastAsia" w:ascii="仿宋" w:hAnsi="仿宋" w:eastAsia="仿宋" w:cs="仿宋"/>
          <w:b/>
          <w:kern w:val="0"/>
          <w:sz w:val="24"/>
          <w:szCs w:val="24"/>
        </w:rPr>
        <w:t>名称（公章）：</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法定代表人（法定授权代表人）签名：</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sz w:val="24"/>
          <w:szCs w:val="24"/>
        </w:rPr>
      </w:pPr>
      <w:r>
        <w:rPr>
          <w:rFonts w:hint="eastAsia" w:ascii="仿宋" w:hAnsi="仿宋" w:eastAsia="仿宋" w:cs="仿宋"/>
          <w:b/>
          <w:kern w:val="0"/>
          <w:sz w:val="24"/>
          <w:szCs w:val="24"/>
        </w:rPr>
        <w:t>日期：</w:t>
      </w:r>
    </w:p>
    <w:sectPr>
      <w:headerReference r:id="rId7" w:type="default"/>
      <w:footerReference r:id="rId8" w:type="default"/>
      <w:pgSz w:w="11906" w:h="16838"/>
      <w:pgMar w:top="1440" w:right="1274" w:bottom="1135" w:left="1418" w:header="851" w:footer="274"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A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323"/>
      </w:tabs>
      <w:jc w:val="right"/>
      <w:rPr>
        <w:rFonts w:hint="default" w:asciiTheme="minorEastAsia" w:hAnsiTheme="minorEastAsia" w:eastAsiaTheme="minorEastAsia"/>
        <w:b/>
        <w:sz w:val="20"/>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w:t>
    </w:r>
    <w:r>
      <w:rPr>
        <w:rFonts w:hint="eastAsia" w:asciiTheme="minorEastAsia" w:hAnsiTheme="minorEastAsia" w:eastAsiaTheme="minorEastAsia"/>
        <w:b/>
        <w:sz w:val="20"/>
        <w:lang w:val="en-US" w:eastAsia="zh-CN"/>
      </w:rPr>
      <w:t>201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default"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eastAsia="宋体" w:cs="宋体"/>
        <w:b/>
        <w:bCs/>
        <w:lang w:val="en-US" w:eastAsia="zh-CN"/>
      </w:rPr>
      <w:t>PLHR-ZB-FW-202</w:t>
    </w:r>
    <w:r>
      <w:rPr>
        <w:rFonts w:hint="eastAsia" w:ascii="宋体" w:hAnsi="宋体" w:cs="宋体"/>
        <w:b/>
        <w:bCs/>
        <w:lang w:val="en-US" w:eastAsia="zh-CN"/>
      </w:rPr>
      <w:t>201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323"/>
      </w:tabs>
      <w:jc w:val="right"/>
      <w:rPr>
        <w:rFonts w:hint="default" w:asciiTheme="minorEastAsia" w:hAnsiTheme="minorEastAsia" w:eastAsiaTheme="minorEastAsia"/>
        <w:b/>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w:t>
    </w:r>
    <w:r>
      <w:rPr>
        <w:rFonts w:hint="eastAsia" w:asciiTheme="minorEastAsia" w:hAnsiTheme="minorEastAsia" w:eastAsiaTheme="minorEastAsia"/>
        <w:b/>
        <w:sz w:val="20"/>
        <w:lang w:val="en-US" w:eastAsia="zh-CN"/>
      </w:rPr>
      <w:t>201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59E465"/>
    <w:multiLevelType w:val="singleLevel"/>
    <w:tmpl w:val="8059E465"/>
    <w:lvl w:ilvl="0" w:tentative="0">
      <w:start w:val="1"/>
      <w:numFmt w:val="decimal"/>
      <w:suff w:val="nothing"/>
      <w:lvlText w:val="%1．"/>
      <w:lvlJc w:val="left"/>
      <w:pPr>
        <w:ind w:left="0" w:firstLine="400"/>
      </w:pPr>
      <w:rPr>
        <w:rFonts w:hint="default"/>
      </w:rPr>
    </w:lvl>
  </w:abstractNum>
  <w:abstractNum w:abstractNumId="1">
    <w:nsid w:val="8623E93C"/>
    <w:multiLevelType w:val="singleLevel"/>
    <w:tmpl w:val="8623E93C"/>
    <w:lvl w:ilvl="0" w:tentative="0">
      <w:start w:val="1"/>
      <w:numFmt w:val="chineseCounting"/>
      <w:suff w:val="nothing"/>
      <w:lvlText w:val="（%1）"/>
      <w:lvlJc w:val="left"/>
      <w:pPr>
        <w:ind w:left="0" w:firstLine="420"/>
      </w:pPr>
      <w:rPr>
        <w:rFonts w:hint="eastAsia"/>
      </w:rPr>
    </w:lvl>
  </w:abstractNum>
  <w:abstractNum w:abstractNumId="2">
    <w:nsid w:val="87121B77"/>
    <w:multiLevelType w:val="singleLevel"/>
    <w:tmpl w:val="87121B77"/>
    <w:lvl w:ilvl="0" w:tentative="0">
      <w:start w:val="1"/>
      <w:numFmt w:val="chineseCounting"/>
      <w:suff w:val="nothing"/>
      <w:lvlText w:val="（%1）"/>
      <w:lvlJc w:val="left"/>
      <w:pPr>
        <w:ind w:left="0" w:firstLine="420"/>
      </w:pPr>
      <w:rPr>
        <w:rFonts w:hint="eastAsia"/>
      </w:rPr>
    </w:lvl>
  </w:abstractNum>
  <w:abstractNum w:abstractNumId="3">
    <w:nsid w:val="8729FA9D"/>
    <w:multiLevelType w:val="singleLevel"/>
    <w:tmpl w:val="8729FA9D"/>
    <w:lvl w:ilvl="0" w:tentative="0">
      <w:start w:val="1"/>
      <w:numFmt w:val="chineseCounting"/>
      <w:suff w:val="nothing"/>
      <w:lvlText w:val="（%1）"/>
      <w:lvlJc w:val="left"/>
      <w:pPr>
        <w:ind w:left="0" w:firstLine="420"/>
      </w:pPr>
      <w:rPr>
        <w:rFonts w:hint="eastAsia" w:ascii="楷体" w:hAnsi="楷体" w:eastAsia="楷体" w:cs="楷体"/>
        <w:sz w:val="32"/>
        <w:szCs w:val="32"/>
      </w:rPr>
    </w:lvl>
  </w:abstractNum>
  <w:abstractNum w:abstractNumId="4">
    <w:nsid w:val="8C39F88B"/>
    <w:multiLevelType w:val="singleLevel"/>
    <w:tmpl w:val="8C39F88B"/>
    <w:lvl w:ilvl="0" w:tentative="0">
      <w:start w:val="1"/>
      <w:numFmt w:val="chineseCounting"/>
      <w:suff w:val="nothing"/>
      <w:lvlText w:val="（%1）"/>
      <w:lvlJc w:val="left"/>
      <w:pPr>
        <w:ind w:left="0" w:firstLine="40"/>
      </w:pPr>
      <w:rPr>
        <w:rFonts w:hint="eastAsia" w:ascii="仿宋" w:hAnsi="仿宋" w:eastAsia="仿宋" w:cs="仿宋"/>
        <w:sz w:val="32"/>
        <w:szCs w:val="32"/>
      </w:rPr>
    </w:lvl>
  </w:abstractNum>
  <w:abstractNum w:abstractNumId="5">
    <w:nsid w:val="8D057916"/>
    <w:multiLevelType w:val="singleLevel"/>
    <w:tmpl w:val="8D057916"/>
    <w:lvl w:ilvl="0" w:tentative="0">
      <w:start w:val="3"/>
      <w:numFmt w:val="chineseCounting"/>
      <w:suff w:val="space"/>
      <w:lvlText w:val="第%1章"/>
      <w:lvlJc w:val="left"/>
      <w:rPr>
        <w:rFonts w:hint="eastAsia" w:ascii="黑体" w:hAnsi="黑体" w:eastAsia="黑体" w:cs="黑体"/>
        <w:sz w:val="32"/>
        <w:szCs w:val="32"/>
      </w:rPr>
    </w:lvl>
  </w:abstractNum>
  <w:abstractNum w:abstractNumId="6">
    <w:nsid w:val="9420E31E"/>
    <w:multiLevelType w:val="singleLevel"/>
    <w:tmpl w:val="9420E31E"/>
    <w:lvl w:ilvl="0" w:tentative="0">
      <w:start w:val="1"/>
      <w:numFmt w:val="decimal"/>
      <w:suff w:val="nothing"/>
      <w:lvlText w:val="%1．"/>
      <w:lvlJc w:val="left"/>
      <w:pPr>
        <w:ind w:left="-10" w:firstLine="400"/>
      </w:pPr>
      <w:rPr>
        <w:rFonts w:hint="default" w:ascii="仿宋" w:hAnsi="仿宋" w:eastAsia="仿宋" w:cs="仿宋"/>
      </w:rPr>
    </w:lvl>
  </w:abstractNum>
  <w:abstractNum w:abstractNumId="7">
    <w:nsid w:val="9A6864AC"/>
    <w:multiLevelType w:val="singleLevel"/>
    <w:tmpl w:val="9A6864AC"/>
    <w:lvl w:ilvl="0" w:tentative="0">
      <w:start w:val="1"/>
      <w:numFmt w:val="decimal"/>
      <w:suff w:val="nothing"/>
      <w:lvlText w:val="%1．"/>
      <w:lvlJc w:val="left"/>
      <w:pPr>
        <w:ind w:left="0" w:firstLine="400"/>
      </w:pPr>
      <w:rPr>
        <w:rFonts w:hint="default" w:ascii="仿宋" w:hAnsi="仿宋" w:eastAsia="仿宋" w:cs="仿宋"/>
        <w:sz w:val="32"/>
        <w:szCs w:val="32"/>
      </w:rPr>
    </w:lvl>
  </w:abstractNum>
  <w:abstractNum w:abstractNumId="8">
    <w:nsid w:val="A9D522F9"/>
    <w:multiLevelType w:val="singleLevel"/>
    <w:tmpl w:val="A9D522F9"/>
    <w:lvl w:ilvl="0" w:tentative="0">
      <w:start w:val="1"/>
      <w:numFmt w:val="decimal"/>
      <w:suff w:val="nothing"/>
      <w:lvlText w:val="%1．"/>
      <w:lvlJc w:val="left"/>
      <w:pPr>
        <w:ind w:left="0" w:firstLine="400"/>
      </w:pPr>
      <w:rPr>
        <w:rFonts w:hint="default" w:ascii="仿宋" w:hAnsi="仿宋" w:eastAsia="仿宋" w:cs="仿宋"/>
        <w:sz w:val="32"/>
        <w:szCs w:val="32"/>
      </w:rPr>
    </w:lvl>
  </w:abstractNum>
  <w:abstractNum w:abstractNumId="9">
    <w:nsid w:val="AD71C486"/>
    <w:multiLevelType w:val="singleLevel"/>
    <w:tmpl w:val="AD71C486"/>
    <w:lvl w:ilvl="0" w:tentative="0">
      <w:start w:val="1"/>
      <w:numFmt w:val="decimal"/>
      <w:suff w:val="nothing"/>
      <w:lvlText w:val="%1．"/>
      <w:lvlJc w:val="left"/>
      <w:pPr>
        <w:ind w:left="0" w:firstLine="400"/>
      </w:pPr>
      <w:rPr>
        <w:rFonts w:hint="default" w:ascii="仿宋" w:hAnsi="仿宋" w:eastAsia="仿宋" w:cs="仿宋"/>
      </w:rPr>
    </w:lvl>
  </w:abstractNum>
  <w:abstractNum w:abstractNumId="10">
    <w:nsid w:val="C1613A7C"/>
    <w:multiLevelType w:val="singleLevel"/>
    <w:tmpl w:val="C1613A7C"/>
    <w:lvl w:ilvl="0" w:tentative="0">
      <w:start w:val="1"/>
      <w:numFmt w:val="decimal"/>
      <w:lvlText w:val="%1)"/>
      <w:lvlJc w:val="left"/>
      <w:pPr>
        <w:ind w:left="425" w:hanging="425"/>
      </w:pPr>
      <w:rPr>
        <w:rFonts w:hint="default" w:ascii="仿宋" w:hAnsi="仿宋" w:eastAsia="仿宋" w:cs="仿宋"/>
        <w:sz w:val="32"/>
        <w:szCs w:val="32"/>
      </w:rPr>
    </w:lvl>
  </w:abstractNum>
  <w:abstractNum w:abstractNumId="11">
    <w:nsid w:val="C5976359"/>
    <w:multiLevelType w:val="singleLevel"/>
    <w:tmpl w:val="C5976359"/>
    <w:lvl w:ilvl="0" w:tentative="0">
      <w:start w:val="1"/>
      <w:numFmt w:val="decimal"/>
      <w:suff w:val="nothing"/>
      <w:lvlText w:val="%1．"/>
      <w:lvlJc w:val="left"/>
      <w:pPr>
        <w:ind w:left="0" w:firstLine="400"/>
      </w:pPr>
      <w:rPr>
        <w:rFonts w:hint="default" w:ascii="仿宋" w:hAnsi="仿宋" w:eastAsia="仿宋" w:cs="仿宋"/>
      </w:rPr>
    </w:lvl>
  </w:abstractNum>
  <w:abstractNum w:abstractNumId="12">
    <w:nsid w:val="C6E6D969"/>
    <w:multiLevelType w:val="singleLevel"/>
    <w:tmpl w:val="C6E6D969"/>
    <w:lvl w:ilvl="0" w:tentative="0">
      <w:start w:val="1"/>
      <w:numFmt w:val="decimal"/>
      <w:suff w:val="nothing"/>
      <w:lvlText w:val="%1．"/>
      <w:lvlJc w:val="left"/>
      <w:pPr>
        <w:ind w:left="0" w:firstLine="400"/>
      </w:pPr>
      <w:rPr>
        <w:rFonts w:hint="default" w:ascii="仿宋" w:hAnsi="仿宋" w:eastAsia="仿宋" w:cs="仿宋"/>
        <w:sz w:val="32"/>
        <w:szCs w:val="32"/>
      </w:rPr>
    </w:lvl>
  </w:abstractNum>
  <w:abstractNum w:abstractNumId="13">
    <w:nsid w:val="CC92855F"/>
    <w:multiLevelType w:val="singleLevel"/>
    <w:tmpl w:val="CC92855F"/>
    <w:lvl w:ilvl="0" w:tentative="0">
      <w:start w:val="2"/>
      <w:numFmt w:val="chineseCounting"/>
      <w:suff w:val="nothing"/>
      <w:lvlText w:val="（%1）"/>
      <w:lvlJc w:val="left"/>
      <w:pPr>
        <w:ind w:left="0" w:firstLine="397"/>
      </w:pPr>
      <w:rPr>
        <w:rFonts w:hint="eastAsia"/>
      </w:rPr>
    </w:lvl>
  </w:abstractNum>
  <w:abstractNum w:abstractNumId="14">
    <w:nsid w:val="D18013AB"/>
    <w:multiLevelType w:val="singleLevel"/>
    <w:tmpl w:val="D18013AB"/>
    <w:lvl w:ilvl="0" w:tentative="0">
      <w:start w:val="1"/>
      <w:numFmt w:val="decimal"/>
      <w:lvlText w:val="%1)"/>
      <w:lvlJc w:val="left"/>
      <w:pPr>
        <w:ind w:left="425" w:hanging="425"/>
      </w:pPr>
      <w:rPr>
        <w:rFonts w:hint="default" w:ascii="仿宋" w:hAnsi="仿宋" w:eastAsia="仿宋" w:cs="仿宋"/>
        <w:sz w:val="32"/>
        <w:szCs w:val="32"/>
      </w:rPr>
    </w:lvl>
  </w:abstractNum>
  <w:abstractNum w:abstractNumId="15">
    <w:nsid w:val="DCAA3C0B"/>
    <w:multiLevelType w:val="singleLevel"/>
    <w:tmpl w:val="DCAA3C0B"/>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16">
    <w:nsid w:val="E3507803"/>
    <w:multiLevelType w:val="singleLevel"/>
    <w:tmpl w:val="E3507803"/>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17">
    <w:nsid w:val="E7D30B72"/>
    <w:multiLevelType w:val="singleLevel"/>
    <w:tmpl w:val="E7D30B72"/>
    <w:lvl w:ilvl="0" w:tentative="0">
      <w:start w:val="1"/>
      <w:numFmt w:val="chineseCounting"/>
      <w:suff w:val="nothing"/>
      <w:lvlText w:val="（%1）"/>
      <w:lvlJc w:val="left"/>
      <w:pPr>
        <w:ind w:left="0" w:firstLine="40"/>
      </w:pPr>
      <w:rPr>
        <w:rFonts w:hint="eastAsia" w:ascii="仿宋" w:hAnsi="仿宋" w:eastAsia="仿宋" w:cs="仿宋"/>
        <w:sz w:val="32"/>
        <w:szCs w:val="32"/>
      </w:rPr>
    </w:lvl>
  </w:abstractNum>
  <w:abstractNum w:abstractNumId="18">
    <w:nsid w:val="E8B1C18E"/>
    <w:multiLevelType w:val="singleLevel"/>
    <w:tmpl w:val="E8B1C18E"/>
    <w:lvl w:ilvl="0" w:tentative="0">
      <w:start w:val="3"/>
      <w:numFmt w:val="chineseCounting"/>
      <w:suff w:val="nothing"/>
      <w:lvlText w:val="（%1）"/>
      <w:lvlJc w:val="left"/>
      <w:pPr>
        <w:ind w:left="0" w:firstLine="397"/>
      </w:pPr>
      <w:rPr>
        <w:rFonts w:hint="eastAsia"/>
      </w:rPr>
    </w:lvl>
  </w:abstractNum>
  <w:abstractNum w:abstractNumId="19">
    <w:nsid w:val="F2F117D0"/>
    <w:multiLevelType w:val="singleLevel"/>
    <w:tmpl w:val="F2F117D0"/>
    <w:lvl w:ilvl="0" w:tentative="0">
      <w:start w:val="1"/>
      <w:numFmt w:val="decimal"/>
      <w:lvlText w:val="%1)"/>
      <w:lvlJc w:val="left"/>
      <w:pPr>
        <w:tabs>
          <w:tab w:val="left" w:pos="312"/>
        </w:tabs>
      </w:pPr>
      <w:rPr>
        <w:rFonts w:hint="default" w:ascii="仿宋" w:hAnsi="仿宋" w:eastAsia="仿宋" w:cs="仿宋"/>
      </w:rPr>
    </w:lvl>
  </w:abstractNum>
  <w:abstractNum w:abstractNumId="20">
    <w:nsid w:val="F460DA34"/>
    <w:multiLevelType w:val="singleLevel"/>
    <w:tmpl w:val="F460DA34"/>
    <w:lvl w:ilvl="0" w:tentative="0">
      <w:start w:val="1"/>
      <w:numFmt w:val="decimal"/>
      <w:lvlText w:val="(%1)"/>
      <w:lvlJc w:val="left"/>
      <w:pPr>
        <w:ind w:left="425" w:hanging="425"/>
      </w:pPr>
      <w:rPr>
        <w:rFonts w:hint="default"/>
      </w:rPr>
    </w:lvl>
  </w:abstractNum>
  <w:abstractNum w:abstractNumId="21">
    <w:nsid w:val="F7182CCB"/>
    <w:multiLevelType w:val="singleLevel"/>
    <w:tmpl w:val="F7182CCB"/>
    <w:lvl w:ilvl="0" w:tentative="0">
      <w:start w:val="1"/>
      <w:numFmt w:val="chineseCounting"/>
      <w:suff w:val="nothing"/>
      <w:lvlText w:val="（%1）"/>
      <w:lvlJc w:val="left"/>
      <w:pPr>
        <w:tabs>
          <w:tab w:val="left" w:pos="0"/>
        </w:tabs>
      </w:pPr>
      <w:rPr>
        <w:rFonts w:hint="eastAsia" w:ascii="楷体" w:hAnsi="楷体" w:eastAsia="楷体" w:cs="楷体"/>
      </w:rPr>
    </w:lvl>
  </w:abstractNum>
  <w:abstractNum w:abstractNumId="22">
    <w:nsid w:val="00067525"/>
    <w:multiLevelType w:val="singleLevel"/>
    <w:tmpl w:val="00067525"/>
    <w:lvl w:ilvl="0" w:tentative="0">
      <w:start w:val="1"/>
      <w:numFmt w:val="chineseCounting"/>
      <w:suff w:val="nothing"/>
      <w:lvlText w:val="（%1）"/>
      <w:lvlJc w:val="left"/>
      <w:pPr>
        <w:ind w:left="0" w:firstLine="420"/>
      </w:pPr>
      <w:rPr>
        <w:rFonts w:hint="eastAsia" w:ascii="楷体" w:hAnsi="楷体" w:eastAsia="楷体" w:cs="楷体"/>
        <w:sz w:val="32"/>
        <w:szCs w:val="32"/>
      </w:rPr>
    </w:lvl>
  </w:abstractNum>
  <w:abstractNum w:abstractNumId="23">
    <w:nsid w:val="049D32EC"/>
    <w:multiLevelType w:val="singleLevel"/>
    <w:tmpl w:val="049D32EC"/>
    <w:lvl w:ilvl="0" w:tentative="0">
      <w:start w:val="1"/>
      <w:numFmt w:val="chineseCounting"/>
      <w:suff w:val="nothing"/>
      <w:lvlText w:val="（%1）"/>
      <w:lvlJc w:val="left"/>
      <w:pPr>
        <w:ind w:left="0" w:firstLine="420"/>
      </w:pPr>
      <w:rPr>
        <w:rFonts w:hint="eastAsia"/>
      </w:rPr>
    </w:lvl>
  </w:abstractNum>
  <w:abstractNum w:abstractNumId="24">
    <w:nsid w:val="09251F6E"/>
    <w:multiLevelType w:val="singleLevel"/>
    <w:tmpl w:val="09251F6E"/>
    <w:lvl w:ilvl="0" w:tentative="0">
      <w:start w:val="1"/>
      <w:numFmt w:val="chineseCounting"/>
      <w:suff w:val="nothing"/>
      <w:lvlText w:val="（%1）"/>
      <w:lvlJc w:val="left"/>
      <w:pPr>
        <w:tabs>
          <w:tab w:val="left" w:pos="0"/>
        </w:tabs>
      </w:pPr>
      <w:rPr>
        <w:rFonts w:hint="eastAsia" w:ascii="楷体" w:hAnsi="楷体" w:eastAsia="楷体" w:cs="楷体"/>
        <w:sz w:val="32"/>
        <w:szCs w:val="32"/>
      </w:rPr>
    </w:lvl>
  </w:abstractNum>
  <w:abstractNum w:abstractNumId="25">
    <w:nsid w:val="0F96A905"/>
    <w:multiLevelType w:val="singleLevel"/>
    <w:tmpl w:val="0F96A905"/>
    <w:lvl w:ilvl="0" w:tentative="0">
      <w:start w:val="1"/>
      <w:numFmt w:val="decimal"/>
      <w:suff w:val="nothing"/>
      <w:lvlText w:val="%1．"/>
      <w:lvlJc w:val="left"/>
      <w:pPr>
        <w:ind w:left="0" w:firstLine="400"/>
      </w:pPr>
      <w:rPr>
        <w:rFonts w:hint="default" w:ascii="仿宋" w:hAnsi="仿宋" w:eastAsia="仿宋" w:cs="仿宋"/>
        <w:sz w:val="32"/>
        <w:szCs w:val="32"/>
      </w:rPr>
    </w:lvl>
  </w:abstractNum>
  <w:abstractNum w:abstractNumId="26">
    <w:nsid w:val="14DBB45B"/>
    <w:multiLevelType w:val="singleLevel"/>
    <w:tmpl w:val="14DBB45B"/>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27">
    <w:nsid w:val="1C22CE5C"/>
    <w:multiLevelType w:val="singleLevel"/>
    <w:tmpl w:val="1C22CE5C"/>
    <w:lvl w:ilvl="0" w:tentative="0">
      <w:start w:val="1"/>
      <w:numFmt w:val="chineseCounting"/>
      <w:suff w:val="nothing"/>
      <w:lvlText w:val="（%1）"/>
      <w:lvlJc w:val="left"/>
      <w:pPr>
        <w:ind w:left="0" w:firstLine="420"/>
      </w:pPr>
      <w:rPr>
        <w:rFonts w:hint="eastAsia"/>
      </w:rPr>
    </w:lvl>
  </w:abstractNum>
  <w:abstractNum w:abstractNumId="28">
    <w:nsid w:val="1D5278ED"/>
    <w:multiLevelType w:val="singleLevel"/>
    <w:tmpl w:val="1D5278ED"/>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29">
    <w:nsid w:val="2252DA50"/>
    <w:multiLevelType w:val="singleLevel"/>
    <w:tmpl w:val="2252DA50"/>
    <w:lvl w:ilvl="0" w:tentative="0">
      <w:start w:val="1"/>
      <w:numFmt w:val="chineseCounting"/>
      <w:suff w:val="nothing"/>
      <w:lvlText w:val="（%1）"/>
      <w:lvlJc w:val="left"/>
      <w:pPr>
        <w:ind w:left="0" w:firstLine="420"/>
      </w:pPr>
      <w:rPr>
        <w:rFonts w:hint="eastAsia"/>
      </w:rPr>
    </w:lvl>
  </w:abstractNum>
  <w:abstractNum w:abstractNumId="30">
    <w:nsid w:val="27BEBBA1"/>
    <w:multiLevelType w:val="singleLevel"/>
    <w:tmpl w:val="27BEBBA1"/>
    <w:lvl w:ilvl="0" w:tentative="0">
      <w:start w:val="1"/>
      <w:numFmt w:val="chineseCounting"/>
      <w:suff w:val="nothing"/>
      <w:lvlText w:val="（%1）"/>
      <w:lvlJc w:val="left"/>
      <w:pPr>
        <w:ind w:left="0" w:firstLine="420"/>
      </w:pPr>
      <w:rPr>
        <w:rFonts w:hint="eastAsia" w:ascii="仿宋" w:hAnsi="仿宋" w:eastAsia="仿宋" w:cs="仿宋"/>
      </w:rPr>
    </w:lvl>
  </w:abstractNum>
  <w:abstractNum w:abstractNumId="31">
    <w:nsid w:val="2C6C988C"/>
    <w:multiLevelType w:val="singleLevel"/>
    <w:tmpl w:val="2C6C988C"/>
    <w:lvl w:ilvl="0" w:tentative="0">
      <w:start w:val="1"/>
      <w:numFmt w:val="chineseCounting"/>
      <w:suff w:val="nothing"/>
      <w:lvlText w:val="（%1）"/>
      <w:lvlJc w:val="left"/>
      <w:pPr>
        <w:ind w:left="0" w:firstLine="420"/>
      </w:pPr>
      <w:rPr>
        <w:rFonts w:hint="eastAsia" w:ascii="仿宋" w:hAnsi="仿宋" w:eastAsia="仿宋" w:cs="仿宋"/>
      </w:rPr>
    </w:lvl>
  </w:abstractNum>
  <w:abstractNum w:abstractNumId="32">
    <w:nsid w:val="3AD65F5F"/>
    <w:multiLevelType w:val="singleLevel"/>
    <w:tmpl w:val="3AD65F5F"/>
    <w:lvl w:ilvl="0" w:tentative="0">
      <w:start w:val="1"/>
      <w:numFmt w:val="decimal"/>
      <w:suff w:val="nothing"/>
      <w:lvlText w:val="%1．"/>
      <w:lvlJc w:val="left"/>
      <w:pPr>
        <w:ind w:left="0" w:firstLine="400"/>
      </w:pPr>
      <w:rPr>
        <w:rFonts w:hint="default"/>
      </w:rPr>
    </w:lvl>
  </w:abstractNum>
  <w:abstractNum w:abstractNumId="33">
    <w:nsid w:val="448287E2"/>
    <w:multiLevelType w:val="singleLevel"/>
    <w:tmpl w:val="448287E2"/>
    <w:lvl w:ilvl="0" w:tentative="0">
      <w:start w:val="2"/>
      <w:numFmt w:val="decimal"/>
      <w:suff w:val="nothing"/>
      <w:lvlText w:val="%1．"/>
      <w:lvlJc w:val="left"/>
      <w:pPr>
        <w:ind w:left="0" w:firstLine="403"/>
      </w:pPr>
      <w:rPr>
        <w:rFonts w:hint="default" w:ascii="仿宋" w:hAnsi="仿宋" w:eastAsia="仿宋" w:cs="仿宋"/>
        <w:sz w:val="32"/>
        <w:szCs w:val="32"/>
      </w:rPr>
    </w:lvl>
  </w:abstractNum>
  <w:abstractNum w:abstractNumId="34">
    <w:nsid w:val="44D51A93"/>
    <w:multiLevelType w:val="singleLevel"/>
    <w:tmpl w:val="44D51A93"/>
    <w:lvl w:ilvl="0" w:tentative="0">
      <w:start w:val="1"/>
      <w:numFmt w:val="decimal"/>
      <w:suff w:val="nothing"/>
      <w:lvlText w:val="%1．"/>
      <w:lvlJc w:val="left"/>
      <w:pPr>
        <w:ind w:left="0" w:firstLine="400"/>
      </w:pPr>
      <w:rPr>
        <w:rFonts w:hint="default" w:ascii="仿宋" w:hAnsi="仿宋" w:eastAsia="仿宋" w:cs="仿宋"/>
      </w:rPr>
    </w:lvl>
  </w:abstractNum>
  <w:abstractNum w:abstractNumId="35">
    <w:nsid w:val="4B62AD95"/>
    <w:multiLevelType w:val="singleLevel"/>
    <w:tmpl w:val="4B62AD95"/>
    <w:lvl w:ilvl="0" w:tentative="0">
      <w:start w:val="1"/>
      <w:numFmt w:val="chineseCounting"/>
      <w:suff w:val="nothing"/>
      <w:lvlText w:val="（%1）"/>
      <w:lvlJc w:val="left"/>
      <w:pPr>
        <w:ind w:left="0" w:firstLine="420"/>
      </w:pPr>
      <w:rPr>
        <w:rFonts w:hint="eastAsia"/>
      </w:rPr>
    </w:lvl>
  </w:abstractNum>
  <w:abstractNum w:abstractNumId="36">
    <w:nsid w:val="5AF2CE05"/>
    <w:multiLevelType w:val="singleLevel"/>
    <w:tmpl w:val="5AF2CE05"/>
    <w:lvl w:ilvl="0" w:tentative="0">
      <w:start w:val="1"/>
      <w:numFmt w:val="decimal"/>
      <w:suff w:val="nothing"/>
      <w:lvlText w:val="%1．"/>
      <w:lvlJc w:val="left"/>
      <w:pPr>
        <w:ind w:left="0" w:firstLine="400"/>
      </w:pPr>
      <w:rPr>
        <w:rFonts w:hint="default" w:ascii="仿宋" w:hAnsi="仿宋" w:eastAsia="仿宋" w:cs="仿宋"/>
        <w:sz w:val="32"/>
        <w:szCs w:val="32"/>
      </w:rPr>
    </w:lvl>
  </w:abstractNum>
  <w:abstractNum w:abstractNumId="37">
    <w:nsid w:val="5D4A65CC"/>
    <w:multiLevelType w:val="singleLevel"/>
    <w:tmpl w:val="5D4A65CC"/>
    <w:lvl w:ilvl="0" w:tentative="0">
      <w:start w:val="1"/>
      <w:numFmt w:val="decimal"/>
      <w:suff w:val="nothing"/>
      <w:lvlText w:val="%1．"/>
      <w:lvlJc w:val="left"/>
      <w:pPr>
        <w:ind w:left="0" w:firstLine="400"/>
      </w:pPr>
      <w:rPr>
        <w:rFonts w:hint="default" w:ascii="仿宋" w:hAnsi="仿宋" w:eastAsia="仿宋" w:cs="仿宋"/>
      </w:rPr>
    </w:lvl>
  </w:abstractNum>
  <w:abstractNum w:abstractNumId="38">
    <w:nsid w:val="6227C204"/>
    <w:multiLevelType w:val="singleLevel"/>
    <w:tmpl w:val="6227C204"/>
    <w:lvl w:ilvl="0" w:tentative="0">
      <w:start w:val="1"/>
      <w:numFmt w:val="chineseCounting"/>
      <w:suff w:val="nothing"/>
      <w:lvlText w:val="（%1）"/>
      <w:lvlJc w:val="left"/>
      <w:pPr>
        <w:tabs>
          <w:tab w:val="left" w:pos="0"/>
        </w:tabs>
        <w:ind w:left="0" w:firstLine="420"/>
      </w:pPr>
      <w:rPr>
        <w:rFonts w:hint="eastAsia" w:ascii="仿宋" w:hAnsi="仿宋" w:eastAsia="仿宋" w:cs="仿宋"/>
        <w:sz w:val="32"/>
        <w:szCs w:val="32"/>
      </w:rPr>
    </w:lvl>
  </w:abstractNum>
  <w:abstractNum w:abstractNumId="39">
    <w:nsid w:val="6A47FBDB"/>
    <w:multiLevelType w:val="singleLevel"/>
    <w:tmpl w:val="6A47FBDB"/>
    <w:lvl w:ilvl="0" w:tentative="0">
      <w:start w:val="1"/>
      <w:numFmt w:val="decimal"/>
      <w:suff w:val="nothing"/>
      <w:lvlText w:val="%1．"/>
      <w:lvlJc w:val="left"/>
      <w:pPr>
        <w:ind w:left="0" w:firstLine="400"/>
      </w:pPr>
      <w:rPr>
        <w:rFonts w:hint="default" w:ascii="仿宋" w:hAnsi="仿宋" w:eastAsia="仿宋" w:cs="仿宋"/>
      </w:rPr>
    </w:lvl>
  </w:abstractNum>
  <w:abstractNum w:abstractNumId="40">
    <w:nsid w:val="6F666E56"/>
    <w:multiLevelType w:val="singleLevel"/>
    <w:tmpl w:val="6F666E56"/>
    <w:lvl w:ilvl="0" w:tentative="0">
      <w:start w:val="1"/>
      <w:numFmt w:val="decimal"/>
      <w:suff w:val="nothing"/>
      <w:lvlText w:val="%1．"/>
      <w:lvlJc w:val="left"/>
      <w:pPr>
        <w:ind w:left="0" w:firstLine="400"/>
      </w:pPr>
      <w:rPr>
        <w:rFonts w:hint="default"/>
      </w:rPr>
    </w:lvl>
  </w:abstractNum>
  <w:abstractNum w:abstractNumId="41">
    <w:nsid w:val="7345CAEC"/>
    <w:multiLevelType w:val="singleLevel"/>
    <w:tmpl w:val="7345CAEC"/>
    <w:lvl w:ilvl="0" w:tentative="0">
      <w:start w:val="1"/>
      <w:numFmt w:val="decimal"/>
      <w:suff w:val="nothing"/>
      <w:lvlText w:val="%1．"/>
      <w:lvlJc w:val="left"/>
      <w:pPr>
        <w:ind w:left="0" w:firstLine="400"/>
      </w:pPr>
      <w:rPr>
        <w:rFonts w:hint="default" w:ascii="仿宋" w:hAnsi="仿宋" w:eastAsia="仿宋" w:cs="仿宋"/>
      </w:rPr>
    </w:lvl>
  </w:abstractNum>
  <w:abstractNum w:abstractNumId="42">
    <w:nsid w:val="7E5C64F9"/>
    <w:multiLevelType w:val="singleLevel"/>
    <w:tmpl w:val="7E5C64F9"/>
    <w:lvl w:ilvl="0" w:tentative="0">
      <w:start w:val="1"/>
      <w:numFmt w:val="decimal"/>
      <w:suff w:val="nothing"/>
      <w:lvlText w:val="%1．"/>
      <w:lvlJc w:val="left"/>
      <w:pPr>
        <w:ind w:left="0" w:firstLine="400"/>
      </w:pPr>
      <w:rPr>
        <w:rFonts w:hint="default" w:ascii="仿宋" w:hAnsi="仿宋" w:eastAsia="仿宋" w:cs="仿宋"/>
      </w:rPr>
    </w:lvl>
  </w:abstractNum>
  <w:abstractNum w:abstractNumId="43">
    <w:nsid w:val="7FAC73CC"/>
    <w:multiLevelType w:val="singleLevel"/>
    <w:tmpl w:val="7FAC73CC"/>
    <w:lvl w:ilvl="0" w:tentative="0">
      <w:start w:val="1"/>
      <w:numFmt w:val="decimal"/>
      <w:suff w:val="nothing"/>
      <w:lvlText w:val="%1．"/>
      <w:lvlJc w:val="left"/>
      <w:pPr>
        <w:ind w:left="0" w:firstLine="400"/>
      </w:pPr>
      <w:rPr>
        <w:rFonts w:hint="default" w:ascii="仿宋" w:hAnsi="仿宋" w:eastAsia="仿宋" w:cs="仿宋"/>
        <w:sz w:val="21"/>
        <w:szCs w:val="21"/>
      </w:rPr>
    </w:lvl>
  </w:abstractNum>
  <w:abstractNum w:abstractNumId="44">
    <w:nsid w:val="7FFBDC71"/>
    <w:multiLevelType w:val="singleLevel"/>
    <w:tmpl w:val="7FFBDC71"/>
    <w:lvl w:ilvl="0" w:tentative="0">
      <w:start w:val="1"/>
      <w:numFmt w:val="decimal"/>
      <w:lvlText w:val="(%1)"/>
      <w:lvlJc w:val="left"/>
      <w:pPr>
        <w:tabs>
          <w:tab w:val="left" w:pos="420"/>
        </w:tabs>
        <w:ind w:left="845" w:hanging="425"/>
      </w:pPr>
      <w:rPr>
        <w:rFonts w:hint="default" w:ascii="仿宋" w:hAnsi="仿宋" w:eastAsia="仿宋" w:cs="仿宋"/>
        <w:sz w:val="21"/>
        <w:szCs w:val="21"/>
      </w:rPr>
    </w:lvl>
  </w:abstractNum>
  <w:num w:numId="1">
    <w:abstractNumId w:val="16"/>
  </w:num>
  <w:num w:numId="2">
    <w:abstractNumId w:val="24"/>
  </w:num>
  <w:num w:numId="3">
    <w:abstractNumId w:val="7"/>
  </w:num>
  <w:num w:numId="4">
    <w:abstractNumId w:val="10"/>
  </w:num>
  <w:num w:numId="5">
    <w:abstractNumId w:val="33"/>
  </w:num>
  <w:num w:numId="6">
    <w:abstractNumId w:val="14"/>
  </w:num>
  <w:num w:numId="7">
    <w:abstractNumId w:val="21"/>
  </w:num>
  <w:num w:numId="8">
    <w:abstractNumId w:val="19"/>
  </w:num>
  <w:num w:numId="9">
    <w:abstractNumId w:val="12"/>
  </w:num>
  <w:num w:numId="10">
    <w:abstractNumId w:val="17"/>
  </w:num>
  <w:num w:numId="11">
    <w:abstractNumId w:val="15"/>
  </w:num>
  <w:num w:numId="12">
    <w:abstractNumId w:val="4"/>
  </w:num>
  <w:num w:numId="13">
    <w:abstractNumId w:val="26"/>
  </w:num>
  <w:num w:numId="14">
    <w:abstractNumId w:val="22"/>
  </w:num>
  <w:num w:numId="15">
    <w:abstractNumId w:val="8"/>
  </w:num>
  <w:num w:numId="16">
    <w:abstractNumId w:val="42"/>
  </w:num>
  <w:num w:numId="17">
    <w:abstractNumId w:val="3"/>
  </w:num>
  <w:num w:numId="18">
    <w:abstractNumId w:val="31"/>
  </w:num>
  <w:num w:numId="19">
    <w:abstractNumId w:val="30"/>
  </w:num>
  <w:num w:numId="20">
    <w:abstractNumId w:val="23"/>
  </w:num>
  <w:num w:numId="21">
    <w:abstractNumId w:val="39"/>
  </w:num>
  <w:num w:numId="22">
    <w:abstractNumId w:val="43"/>
  </w:num>
  <w:num w:numId="23">
    <w:abstractNumId w:val="44"/>
  </w:num>
  <w:num w:numId="24">
    <w:abstractNumId w:val="20"/>
  </w:num>
  <w:num w:numId="25">
    <w:abstractNumId w:val="5"/>
  </w:num>
  <w:num w:numId="26">
    <w:abstractNumId w:val="1"/>
  </w:num>
  <w:num w:numId="27">
    <w:abstractNumId w:val="6"/>
  </w:num>
  <w:num w:numId="28">
    <w:abstractNumId w:val="13"/>
  </w:num>
  <w:num w:numId="29">
    <w:abstractNumId w:val="0"/>
  </w:num>
  <w:num w:numId="30">
    <w:abstractNumId w:val="18"/>
  </w:num>
  <w:num w:numId="31">
    <w:abstractNumId w:val="40"/>
  </w:num>
  <w:num w:numId="32">
    <w:abstractNumId w:val="35"/>
  </w:num>
  <w:num w:numId="33">
    <w:abstractNumId w:val="2"/>
  </w:num>
  <w:num w:numId="34">
    <w:abstractNumId w:val="27"/>
  </w:num>
  <w:num w:numId="35">
    <w:abstractNumId w:val="32"/>
  </w:num>
  <w:num w:numId="36">
    <w:abstractNumId w:val="28"/>
  </w:num>
  <w:num w:numId="37">
    <w:abstractNumId w:val="38"/>
  </w:num>
  <w:num w:numId="38">
    <w:abstractNumId w:val="36"/>
  </w:num>
  <w:num w:numId="39">
    <w:abstractNumId w:val="25"/>
  </w:num>
  <w:num w:numId="40">
    <w:abstractNumId w:val="29"/>
  </w:num>
  <w:num w:numId="41">
    <w:abstractNumId w:val="41"/>
  </w:num>
  <w:num w:numId="42">
    <w:abstractNumId w:val="9"/>
  </w:num>
  <w:num w:numId="43">
    <w:abstractNumId w:val="11"/>
  </w:num>
  <w:num w:numId="44">
    <w:abstractNumId w:val="34"/>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B61DCC"/>
    <w:rsid w:val="00B71F65"/>
    <w:rsid w:val="00D249C2"/>
    <w:rsid w:val="011C079C"/>
    <w:rsid w:val="021518E3"/>
    <w:rsid w:val="023267E6"/>
    <w:rsid w:val="06996401"/>
    <w:rsid w:val="0A47511D"/>
    <w:rsid w:val="0AA43652"/>
    <w:rsid w:val="0B1C1901"/>
    <w:rsid w:val="0BF876D6"/>
    <w:rsid w:val="0C474AE5"/>
    <w:rsid w:val="0E6D1D7A"/>
    <w:rsid w:val="0EF46860"/>
    <w:rsid w:val="0FA80D1D"/>
    <w:rsid w:val="104840C6"/>
    <w:rsid w:val="11540454"/>
    <w:rsid w:val="11FC12FC"/>
    <w:rsid w:val="14844E6E"/>
    <w:rsid w:val="15004E24"/>
    <w:rsid w:val="151F4689"/>
    <w:rsid w:val="1532320F"/>
    <w:rsid w:val="162C51BF"/>
    <w:rsid w:val="17441C6B"/>
    <w:rsid w:val="18695096"/>
    <w:rsid w:val="18EA3108"/>
    <w:rsid w:val="18EC6C42"/>
    <w:rsid w:val="19066D08"/>
    <w:rsid w:val="19741246"/>
    <w:rsid w:val="19E738FF"/>
    <w:rsid w:val="19F56E1C"/>
    <w:rsid w:val="1B7347CD"/>
    <w:rsid w:val="1BCE28BC"/>
    <w:rsid w:val="1CDD1759"/>
    <w:rsid w:val="1E3556EC"/>
    <w:rsid w:val="1E3B1FCF"/>
    <w:rsid w:val="1F4B2D15"/>
    <w:rsid w:val="1FC23F2E"/>
    <w:rsid w:val="209A29A9"/>
    <w:rsid w:val="211B7FF0"/>
    <w:rsid w:val="22E35977"/>
    <w:rsid w:val="25232865"/>
    <w:rsid w:val="2524556B"/>
    <w:rsid w:val="253E70C7"/>
    <w:rsid w:val="262D044F"/>
    <w:rsid w:val="266D115F"/>
    <w:rsid w:val="27A6555F"/>
    <w:rsid w:val="27D1591C"/>
    <w:rsid w:val="28037CAD"/>
    <w:rsid w:val="2A385615"/>
    <w:rsid w:val="2B483082"/>
    <w:rsid w:val="2B6856E5"/>
    <w:rsid w:val="2BB10F01"/>
    <w:rsid w:val="2D13235D"/>
    <w:rsid w:val="303B15E4"/>
    <w:rsid w:val="30AD6B0E"/>
    <w:rsid w:val="313E1D96"/>
    <w:rsid w:val="3212745D"/>
    <w:rsid w:val="34771C85"/>
    <w:rsid w:val="368E7C0F"/>
    <w:rsid w:val="378B48FB"/>
    <w:rsid w:val="38462317"/>
    <w:rsid w:val="3972236C"/>
    <w:rsid w:val="3ADA6F7F"/>
    <w:rsid w:val="3C8C2B8B"/>
    <w:rsid w:val="3CD0472B"/>
    <w:rsid w:val="3DA86C84"/>
    <w:rsid w:val="3EF3039C"/>
    <w:rsid w:val="3F9E7736"/>
    <w:rsid w:val="40603EF4"/>
    <w:rsid w:val="42102F28"/>
    <w:rsid w:val="442237E4"/>
    <w:rsid w:val="444E4946"/>
    <w:rsid w:val="446E1EBF"/>
    <w:rsid w:val="451163D6"/>
    <w:rsid w:val="464060FB"/>
    <w:rsid w:val="482B7710"/>
    <w:rsid w:val="48825F81"/>
    <w:rsid w:val="491D2636"/>
    <w:rsid w:val="4A204B0B"/>
    <w:rsid w:val="4AF646D8"/>
    <w:rsid w:val="4CEC3B57"/>
    <w:rsid w:val="4E7F3FFB"/>
    <w:rsid w:val="503569BD"/>
    <w:rsid w:val="50D448C3"/>
    <w:rsid w:val="54690411"/>
    <w:rsid w:val="54D5111E"/>
    <w:rsid w:val="55080000"/>
    <w:rsid w:val="55CE57CA"/>
    <w:rsid w:val="57816E0F"/>
    <w:rsid w:val="588A6436"/>
    <w:rsid w:val="5A7A73EE"/>
    <w:rsid w:val="5C741C2D"/>
    <w:rsid w:val="5CE81550"/>
    <w:rsid w:val="5D0E58F9"/>
    <w:rsid w:val="5D1076B3"/>
    <w:rsid w:val="5DB474E2"/>
    <w:rsid w:val="5FF74A9D"/>
    <w:rsid w:val="601975C1"/>
    <w:rsid w:val="616C398A"/>
    <w:rsid w:val="622E5D25"/>
    <w:rsid w:val="62DD6477"/>
    <w:rsid w:val="62ED51EE"/>
    <w:rsid w:val="63A212F2"/>
    <w:rsid w:val="63D35E78"/>
    <w:rsid w:val="64E9706B"/>
    <w:rsid w:val="65EA240F"/>
    <w:rsid w:val="662A1B70"/>
    <w:rsid w:val="670F4BFF"/>
    <w:rsid w:val="69B04E15"/>
    <w:rsid w:val="6B4D2517"/>
    <w:rsid w:val="6E0B7B92"/>
    <w:rsid w:val="6E867C1A"/>
    <w:rsid w:val="6ED23F99"/>
    <w:rsid w:val="72EE4600"/>
    <w:rsid w:val="73730A1E"/>
    <w:rsid w:val="74401BBD"/>
    <w:rsid w:val="74780551"/>
    <w:rsid w:val="76E52A6D"/>
    <w:rsid w:val="77DA3C2E"/>
    <w:rsid w:val="77FC779F"/>
    <w:rsid w:val="78007FBD"/>
    <w:rsid w:val="78425F77"/>
    <w:rsid w:val="79A92DE5"/>
    <w:rsid w:val="7BAD04FE"/>
    <w:rsid w:val="7C624616"/>
    <w:rsid w:val="7C67749B"/>
    <w:rsid w:val="7DF10ED8"/>
    <w:rsid w:val="7F3F690D"/>
    <w:rsid w:val="BFF205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toc 3"/>
    <w:basedOn w:val="1"/>
    <w:next w:val="1"/>
    <w:qFormat/>
    <w:uiPriority w:val="39"/>
    <w:pPr>
      <w:ind w:left="840" w:leftChars="400"/>
    </w:pPr>
  </w:style>
  <w:style w:type="paragraph" w:styleId="8">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9">
    <w:name w:val="Balloon Text"/>
    <w:basedOn w:val="1"/>
    <w:link w:val="29"/>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2">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3">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4">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qFormat/>
    <w:uiPriority w:val="0"/>
    <w:rPr>
      <w:color w:val="0000FF"/>
      <w:u w:val="single"/>
    </w:rPr>
  </w:style>
  <w:style w:type="paragraph" w:styleId="19">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20">
    <w:name w:val="标题1"/>
    <w:qFormat/>
    <w:uiPriority w:val="0"/>
  </w:style>
  <w:style w:type="paragraph" w:customStyle="1" w:styleId="21">
    <w:name w:val="1"/>
    <w:basedOn w:val="1"/>
    <w:qFormat/>
    <w:uiPriority w:val="0"/>
    <w:pPr>
      <w:spacing w:beforeLines="50" w:afterLines="50"/>
    </w:pPr>
    <w:rPr>
      <w:rFonts w:ascii="微软雅黑" w:hAnsi="微软雅黑" w:eastAsia="微软雅黑"/>
      <w:b/>
      <w:sz w:val="18"/>
      <w:szCs w:val="18"/>
    </w:rPr>
  </w:style>
  <w:style w:type="paragraph" w:customStyle="1" w:styleId="22">
    <w:name w:val="Default Text"/>
    <w:basedOn w:val="1"/>
    <w:qFormat/>
    <w:uiPriority w:val="0"/>
    <w:pPr>
      <w:autoSpaceDE w:val="0"/>
      <w:autoSpaceDN w:val="0"/>
      <w:adjustRightInd w:val="0"/>
      <w:jc w:val="left"/>
    </w:pPr>
    <w:rPr>
      <w:kern w:val="0"/>
      <w:sz w:val="24"/>
      <w:szCs w:val="24"/>
    </w:rPr>
  </w:style>
  <w:style w:type="character" w:customStyle="1" w:styleId="23">
    <w:name w:val="font21"/>
    <w:basedOn w:val="17"/>
    <w:qFormat/>
    <w:uiPriority w:val="0"/>
    <w:rPr>
      <w:rFonts w:hint="default" w:ascii="Arial" w:hAnsi="Arial" w:cs="Arial"/>
      <w:color w:val="000000"/>
      <w:sz w:val="18"/>
      <w:szCs w:val="18"/>
      <w:u w:val="none"/>
    </w:rPr>
  </w:style>
  <w:style w:type="character" w:customStyle="1" w:styleId="24">
    <w:name w:val="font41"/>
    <w:basedOn w:val="17"/>
    <w:qFormat/>
    <w:uiPriority w:val="0"/>
    <w:rPr>
      <w:rFonts w:hint="eastAsia" w:ascii="宋体" w:hAnsi="宋体" w:eastAsia="宋体" w:cs="宋体"/>
      <w:color w:val="000000"/>
      <w:sz w:val="18"/>
      <w:szCs w:val="18"/>
      <w:u w:val="none"/>
    </w:rPr>
  </w:style>
  <w:style w:type="character" w:customStyle="1" w:styleId="25">
    <w:name w:val="font11"/>
    <w:basedOn w:val="17"/>
    <w:qFormat/>
    <w:uiPriority w:val="0"/>
    <w:rPr>
      <w:rFonts w:ascii="Arial" w:hAnsi="Arial" w:cs="Arial"/>
      <w:color w:val="000000"/>
      <w:sz w:val="18"/>
      <w:szCs w:val="18"/>
      <w:u w:val="none"/>
    </w:rPr>
  </w:style>
  <w:style w:type="character" w:customStyle="1" w:styleId="26">
    <w:name w:val="font31"/>
    <w:basedOn w:val="17"/>
    <w:qFormat/>
    <w:uiPriority w:val="0"/>
    <w:rPr>
      <w:rFonts w:hint="eastAsia" w:ascii="宋体" w:hAnsi="宋体" w:eastAsia="宋体" w:cs="宋体"/>
      <w:color w:val="000000"/>
      <w:sz w:val="18"/>
      <w:szCs w:val="18"/>
      <w:u w:val="none"/>
    </w:rPr>
  </w:style>
  <w:style w:type="character" w:customStyle="1" w:styleId="27">
    <w:name w:val="font51"/>
    <w:basedOn w:val="17"/>
    <w:qFormat/>
    <w:uiPriority w:val="0"/>
    <w:rPr>
      <w:rFonts w:hint="default" w:ascii="Times New Roman" w:hAnsi="Times New Roman" w:cs="Times New Roman"/>
      <w:color w:val="000000"/>
      <w:sz w:val="20"/>
      <w:szCs w:val="20"/>
      <w:u w:val="none"/>
    </w:rPr>
  </w:style>
  <w:style w:type="character" w:customStyle="1" w:styleId="28">
    <w:name w:val="font01"/>
    <w:basedOn w:val="17"/>
    <w:qFormat/>
    <w:uiPriority w:val="0"/>
    <w:rPr>
      <w:rFonts w:hint="eastAsia" w:ascii="宋体" w:hAnsi="宋体" w:eastAsia="宋体" w:cs="宋体"/>
      <w:color w:val="000000"/>
      <w:sz w:val="20"/>
      <w:szCs w:val="20"/>
      <w:u w:val="none"/>
    </w:rPr>
  </w:style>
  <w:style w:type="character" w:customStyle="1" w:styleId="29">
    <w:name w:val="批注框文本 Char"/>
    <w:basedOn w:val="17"/>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34</Pages>
  <Words>14424</Words>
  <Characters>14831</Characters>
  <Lines>180</Lines>
  <Paragraphs>50</Paragraphs>
  <TotalTime>90</TotalTime>
  <ScaleCrop>false</ScaleCrop>
  <LinksUpToDate>false</LinksUpToDate>
  <CharactersWithSpaces>15232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2020-08-03T09:21:00Z</dcterms:created>
  <dc:creator>运营部-陈宁</dc:creator>
  <cp:lastModifiedBy>黄旭君</cp:lastModifiedBy>
  <cp:lastPrinted>2020-08-06T18:49:00Z</cp:lastPrinted>
  <dcterms:modified xsi:type="dcterms:W3CDTF">2022-06-28T01:47:51Z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A3CA854E835440848946488FC2E48D51</vt:lpwstr>
  </property>
</Properties>
</file>