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Lines="30" w:line="560" w:lineRule="exact"/>
        <w:textAlignment w:val="auto"/>
        <w:rPr>
          <w:rFonts w:ascii="宋体" w:hAnsi="宋体"/>
          <w:b/>
          <w:bCs w:val="0"/>
          <w:sz w:val="28"/>
          <w:szCs w:val="32"/>
          <w:highlight w:val="none"/>
        </w:rPr>
      </w:pPr>
    </w:p>
    <w:p>
      <w:pPr>
        <w:keepNext w:val="0"/>
        <w:keepLines w:val="0"/>
        <w:pageBreakBefore w:val="0"/>
        <w:widowControl w:val="0"/>
        <w:kinsoku/>
        <w:wordWrap/>
        <w:overflowPunct/>
        <w:topLinePunct w:val="0"/>
        <w:autoSpaceDE/>
        <w:autoSpaceDN/>
        <w:bidi w:val="0"/>
        <w:adjustRightInd/>
        <w:snapToGrid/>
        <w:spacing w:beforeLines="30" w:line="560" w:lineRule="exact"/>
        <w:textAlignment w:val="auto"/>
        <w:rPr>
          <w:rFonts w:ascii="宋体" w:hAnsi="宋体"/>
          <w:b/>
          <w:bCs w:val="0"/>
          <w:sz w:val="28"/>
          <w:szCs w:val="32"/>
          <w:highlight w:val="none"/>
        </w:rPr>
      </w:pPr>
    </w:p>
    <w:p>
      <w:pPr>
        <w:keepNext w:val="0"/>
        <w:keepLines w:val="0"/>
        <w:pageBreakBefore w:val="0"/>
        <w:widowControl w:val="0"/>
        <w:kinsoku/>
        <w:wordWrap/>
        <w:overflowPunct/>
        <w:topLinePunct w:val="0"/>
        <w:autoSpaceDE/>
        <w:autoSpaceDN/>
        <w:bidi w:val="0"/>
        <w:adjustRightInd/>
        <w:snapToGrid/>
        <w:spacing w:beforeLines="30" w:line="560" w:lineRule="exact"/>
        <w:jc w:val="both"/>
        <w:textAlignment w:val="auto"/>
        <w:rPr>
          <w:rFonts w:hint="eastAsia" w:ascii="宋体" w:hAnsi="宋体" w:eastAsia="宋体" w:cs="宋体"/>
          <w:b/>
          <w:bCs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ascii="黑体" w:hAnsi="黑体" w:eastAsia="黑体" w:cs="黑体"/>
          <w:b/>
          <w:bCs w:val="0"/>
          <w:sz w:val="52"/>
          <w:szCs w:val="52"/>
          <w:highlight w:val="none"/>
        </w:rPr>
      </w:pPr>
    </w:p>
    <w:p>
      <w:pPr>
        <w:keepNext w:val="0"/>
        <w:keepLines w:val="0"/>
        <w:pageBreakBefore w:val="0"/>
        <w:widowControl w:val="0"/>
        <w:kinsoku/>
        <w:wordWrap/>
        <w:overflowPunct/>
        <w:topLinePunct w:val="0"/>
        <w:autoSpaceDE/>
        <w:autoSpaceDN/>
        <w:bidi w:val="0"/>
        <w:adjustRightInd/>
        <w:snapToGrid/>
        <w:spacing w:beforeLines="30" w:line="640" w:lineRule="exact"/>
        <w:jc w:val="center"/>
        <w:textAlignment w:val="auto"/>
        <w:rPr>
          <w:rFonts w:hint="eastAsia" w:ascii="方正小标宋简体" w:hAnsi="方正小标宋简体" w:eastAsia="方正小标宋简体" w:cs="方正小标宋简体"/>
          <w:b w:val="0"/>
          <w:bCs/>
          <w:sz w:val="52"/>
          <w:szCs w:val="52"/>
          <w:highlight w:val="none"/>
        </w:rPr>
      </w:pPr>
      <w:r>
        <w:rPr>
          <w:rFonts w:hint="eastAsia" w:ascii="方正小标宋简体" w:hAnsi="方正小标宋简体" w:eastAsia="方正小标宋简体" w:cs="方正小标宋简体"/>
          <w:b w:val="0"/>
          <w:bCs/>
          <w:sz w:val="52"/>
          <w:szCs w:val="52"/>
          <w:highlight w:val="none"/>
        </w:rPr>
        <w:t>深圳市鹏劳人力资源管理有限公司</w:t>
      </w:r>
    </w:p>
    <w:p>
      <w:pPr>
        <w:keepNext w:val="0"/>
        <w:keepLines w:val="0"/>
        <w:pageBreakBefore w:val="0"/>
        <w:widowControl w:val="0"/>
        <w:kinsoku/>
        <w:wordWrap/>
        <w:overflowPunct/>
        <w:topLinePunct w:val="0"/>
        <w:autoSpaceDE/>
        <w:autoSpaceDN/>
        <w:bidi w:val="0"/>
        <w:adjustRightInd/>
        <w:snapToGrid/>
        <w:spacing w:beforeLines="30" w:line="640" w:lineRule="exact"/>
        <w:jc w:val="center"/>
        <w:textAlignment w:val="auto"/>
        <w:rPr>
          <w:rFonts w:hint="eastAsia" w:ascii="方正小标宋简体" w:hAnsi="方正小标宋简体" w:eastAsia="方正小标宋简体" w:cs="方正小标宋简体"/>
          <w:b w:val="0"/>
          <w:bCs/>
          <w:sz w:val="52"/>
          <w:szCs w:val="52"/>
          <w:highlight w:val="none"/>
        </w:rPr>
      </w:pPr>
      <w:r>
        <w:rPr>
          <w:rFonts w:hint="eastAsia" w:ascii="方正小标宋简体" w:hAnsi="方正小标宋简体" w:eastAsia="方正小标宋简体" w:cs="方正小标宋简体"/>
          <w:b w:val="0"/>
          <w:bCs/>
          <w:sz w:val="52"/>
          <w:szCs w:val="52"/>
          <w:highlight w:val="none"/>
        </w:rPr>
        <w:t xml:space="preserve">  </w:t>
      </w:r>
      <w:r>
        <w:rPr>
          <w:rFonts w:hint="eastAsia" w:ascii="方正小标宋简体" w:hAnsi="方正小标宋简体" w:eastAsia="方正小标宋简体" w:cs="方正小标宋简体"/>
          <w:b w:val="0"/>
          <w:bCs/>
          <w:sz w:val="52"/>
          <w:szCs w:val="52"/>
          <w:highlight w:val="none"/>
          <w:lang w:val="en-US" w:eastAsia="zh-CN"/>
        </w:rPr>
        <w:t>2022年度</w:t>
      </w:r>
      <w:r>
        <w:rPr>
          <w:rFonts w:hint="eastAsia" w:ascii="方正小标宋简体" w:hAnsi="方正小标宋简体" w:eastAsia="方正小标宋简体" w:cs="方正小标宋简体"/>
          <w:b w:val="0"/>
          <w:bCs/>
          <w:sz w:val="52"/>
          <w:szCs w:val="52"/>
          <w:highlight w:val="none"/>
        </w:rPr>
        <w:t>员工</w:t>
      </w:r>
      <w:r>
        <w:rPr>
          <w:rFonts w:hint="eastAsia" w:ascii="方正小标宋简体" w:hAnsi="方正小标宋简体" w:eastAsia="方正小标宋简体" w:cs="方正小标宋简体"/>
          <w:b w:val="0"/>
          <w:bCs/>
          <w:sz w:val="52"/>
          <w:szCs w:val="52"/>
          <w:highlight w:val="none"/>
          <w:lang w:val="en-US" w:eastAsia="zh-CN"/>
        </w:rPr>
        <w:t>健康</w:t>
      </w:r>
      <w:r>
        <w:rPr>
          <w:rFonts w:hint="eastAsia" w:ascii="方正小标宋简体" w:hAnsi="方正小标宋简体" w:eastAsia="方正小标宋简体" w:cs="方正小标宋简体"/>
          <w:b w:val="0"/>
          <w:bCs/>
          <w:sz w:val="52"/>
          <w:szCs w:val="52"/>
          <w:highlight w:val="none"/>
        </w:rPr>
        <w:t>体检服务</w:t>
      </w:r>
      <w:r>
        <w:rPr>
          <w:rFonts w:hint="eastAsia" w:ascii="方正小标宋简体" w:hAnsi="方正小标宋简体" w:eastAsia="方正小标宋简体" w:cs="方正小标宋简体"/>
          <w:b w:val="0"/>
          <w:bCs/>
          <w:sz w:val="52"/>
          <w:szCs w:val="52"/>
          <w:highlight w:val="none"/>
          <w:lang w:val="en-US" w:eastAsia="zh-CN"/>
        </w:rPr>
        <w:t>采购项目（二次）</w:t>
      </w:r>
      <w:r>
        <w:rPr>
          <w:rFonts w:hint="eastAsia" w:ascii="方正小标宋简体" w:hAnsi="方正小标宋简体" w:eastAsia="方正小标宋简体" w:cs="方正小标宋简体"/>
          <w:b w:val="0"/>
          <w:bCs/>
          <w:sz w:val="52"/>
          <w:szCs w:val="52"/>
          <w:highlight w:val="none"/>
        </w:rPr>
        <w:t>招标文件</w:t>
      </w:r>
    </w:p>
    <w:p>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hint="eastAsia" w:ascii="方正小标宋简体" w:hAnsi="方正小标宋简体" w:eastAsia="方正小标宋简体" w:cs="方正小标宋简体"/>
          <w:b/>
          <w:bCs w:val="0"/>
          <w:sz w:val="48"/>
          <w:szCs w:val="52"/>
          <w:highlight w:val="none"/>
        </w:rPr>
      </w:pPr>
    </w:p>
    <w:p>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hint="eastAsia" w:ascii="方正小标宋简体" w:hAnsi="方正小标宋简体" w:eastAsia="方正小标宋简体" w:cs="方正小标宋简体"/>
          <w:b/>
          <w:bCs w:val="0"/>
          <w:sz w:val="48"/>
          <w:szCs w:val="52"/>
          <w:highlight w:val="none"/>
        </w:rPr>
      </w:pPr>
    </w:p>
    <w:p>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hint="eastAsia" w:ascii="方正小标宋简体" w:hAnsi="方正小标宋简体" w:eastAsia="方正小标宋简体" w:cs="方正小标宋简体"/>
          <w:b/>
          <w:bCs w:val="0"/>
          <w:sz w:val="48"/>
          <w:szCs w:val="52"/>
          <w:highlight w:val="none"/>
        </w:rPr>
      </w:pPr>
    </w:p>
    <w:p>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hint="eastAsia" w:ascii="方正小标宋简体" w:hAnsi="方正小标宋简体" w:eastAsia="方正小标宋简体" w:cs="方正小标宋简体"/>
          <w:b/>
          <w:bCs w:val="0"/>
          <w:sz w:val="48"/>
          <w:szCs w:val="52"/>
          <w:highlight w:val="none"/>
        </w:rPr>
      </w:pPr>
    </w:p>
    <w:p>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rPr>
        <w:t>采购类别:服务采购</w:t>
      </w:r>
    </w:p>
    <w:p>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hint="default" w:ascii="方正小标宋简体" w:hAnsi="方正小标宋简体" w:eastAsia="方正小标宋简体" w:cs="方正小标宋简体"/>
          <w:b w:val="0"/>
          <w:bCs/>
          <w:sz w:val="44"/>
          <w:szCs w:val="44"/>
          <w:highlight w:val="none"/>
          <w:lang w:val="en-US" w:eastAsia="zh-CN"/>
        </w:rPr>
      </w:pPr>
      <w:r>
        <w:rPr>
          <w:rFonts w:hint="eastAsia" w:ascii="方正小标宋简体" w:hAnsi="方正小标宋简体" w:eastAsia="方正小标宋简体" w:cs="方正小标宋简体"/>
          <w:b w:val="0"/>
          <w:bCs/>
          <w:sz w:val="44"/>
          <w:szCs w:val="44"/>
          <w:highlight w:val="none"/>
          <w:lang w:eastAsia="zh-CN"/>
        </w:rPr>
        <w:t>项目</w:t>
      </w:r>
      <w:r>
        <w:rPr>
          <w:rFonts w:hint="eastAsia" w:ascii="方正小标宋简体" w:hAnsi="方正小标宋简体" w:eastAsia="方正小标宋简体" w:cs="方正小标宋简体"/>
          <w:b w:val="0"/>
          <w:bCs/>
          <w:sz w:val="44"/>
          <w:szCs w:val="44"/>
          <w:highlight w:val="none"/>
        </w:rPr>
        <w:t>编号：PLHR-ZB-FW-202</w:t>
      </w:r>
      <w:r>
        <w:rPr>
          <w:rFonts w:hint="eastAsia" w:ascii="方正小标宋简体" w:hAnsi="方正小标宋简体" w:eastAsia="方正小标宋简体" w:cs="方正小标宋简体"/>
          <w:b w:val="0"/>
          <w:bCs/>
          <w:sz w:val="44"/>
          <w:szCs w:val="44"/>
          <w:highlight w:val="none"/>
          <w:lang w:val="en-US" w:eastAsia="zh-CN"/>
        </w:rPr>
        <w:t>20401</w:t>
      </w:r>
    </w:p>
    <w:p>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hint="eastAsia" w:ascii="方正小标宋简体" w:hAnsi="方正小标宋简体" w:eastAsia="方正小标宋简体" w:cs="方正小标宋简体"/>
          <w:b/>
          <w:bCs w:val="0"/>
          <w:sz w:val="24"/>
          <w:szCs w:val="24"/>
          <w:highlight w:val="none"/>
        </w:rPr>
      </w:pPr>
    </w:p>
    <w:p>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hint="eastAsia" w:ascii="方正小标宋简体" w:hAnsi="方正小标宋简体" w:eastAsia="方正小标宋简体" w:cs="方正小标宋简体"/>
          <w:b/>
          <w:bCs w:val="0"/>
          <w:sz w:val="30"/>
          <w:szCs w:val="32"/>
          <w:highlight w:val="none"/>
        </w:rPr>
      </w:pPr>
    </w:p>
    <w:p>
      <w:pPr>
        <w:keepNext w:val="0"/>
        <w:keepLines w:val="0"/>
        <w:pageBreakBefore w:val="0"/>
        <w:widowControl w:val="0"/>
        <w:kinsoku/>
        <w:wordWrap/>
        <w:overflowPunct/>
        <w:topLinePunct w:val="0"/>
        <w:autoSpaceDE/>
        <w:autoSpaceDN/>
        <w:bidi w:val="0"/>
        <w:adjustRightInd/>
        <w:snapToGrid/>
        <w:spacing w:beforeLines="30" w:line="560" w:lineRule="exact"/>
        <w:textAlignment w:val="auto"/>
        <w:rPr>
          <w:rFonts w:hint="eastAsia" w:ascii="方正小标宋简体" w:hAnsi="方正小标宋简体" w:eastAsia="方正小标宋简体" w:cs="方正小标宋简体"/>
          <w:b/>
          <w:bCs w:val="0"/>
          <w:sz w:val="34"/>
          <w:szCs w:val="36"/>
          <w:highlight w:val="none"/>
        </w:rPr>
      </w:pPr>
    </w:p>
    <w:p>
      <w:pPr>
        <w:keepNext w:val="0"/>
        <w:keepLines w:val="0"/>
        <w:pageBreakBefore w:val="0"/>
        <w:widowControl w:val="0"/>
        <w:kinsoku/>
        <w:wordWrap/>
        <w:overflowPunct/>
        <w:topLinePunct w:val="0"/>
        <w:autoSpaceDE/>
        <w:autoSpaceDN/>
        <w:bidi w:val="0"/>
        <w:adjustRightInd/>
        <w:snapToGrid/>
        <w:spacing w:beforeLines="30" w:line="560" w:lineRule="exact"/>
        <w:textAlignment w:val="auto"/>
        <w:rPr>
          <w:rFonts w:hint="eastAsia" w:ascii="方正小标宋简体" w:hAnsi="方正小标宋简体" w:eastAsia="方正小标宋简体" w:cs="方正小标宋简体"/>
          <w:b w:val="0"/>
          <w:bCs/>
          <w:sz w:val="34"/>
          <w:szCs w:val="36"/>
          <w:highlight w:val="none"/>
        </w:rPr>
      </w:pPr>
    </w:p>
    <w:p>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hint="eastAsia" w:ascii="方正小标宋简体" w:hAnsi="方正小标宋简体" w:eastAsia="方正小标宋简体" w:cs="方正小标宋简体"/>
          <w:b w:val="0"/>
          <w:bCs/>
          <w:sz w:val="40"/>
          <w:szCs w:val="40"/>
          <w:highlight w:val="none"/>
        </w:rPr>
      </w:pPr>
      <w:r>
        <w:rPr>
          <w:rFonts w:hint="eastAsia" w:ascii="方正小标宋简体" w:hAnsi="方正小标宋简体" w:eastAsia="方正小标宋简体" w:cs="方正小标宋简体"/>
          <w:b w:val="0"/>
          <w:bCs/>
          <w:sz w:val="40"/>
          <w:szCs w:val="40"/>
          <w:highlight w:val="none"/>
        </w:rPr>
        <w:t>深圳市鹏劳人力资源管理有限公司</w:t>
      </w:r>
    </w:p>
    <w:p>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hint="eastAsia" w:ascii="方正小标宋简体" w:hAnsi="方正小标宋简体" w:eastAsia="方正小标宋简体" w:cs="方正小标宋简体"/>
          <w:b w:val="0"/>
          <w:bCs/>
          <w:sz w:val="40"/>
          <w:szCs w:val="40"/>
          <w:highlight w:val="none"/>
        </w:rPr>
      </w:pPr>
      <w:r>
        <w:rPr>
          <w:rFonts w:hint="eastAsia" w:ascii="方正小标宋简体" w:hAnsi="方正小标宋简体" w:eastAsia="方正小标宋简体" w:cs="方正小标宋简体"/>
          <w:b w:val="0"/>
          <w:bCs/>
          <w:sz w:val="40"/>
          <w:szCs w:val="40"/>
          <w:highlight w:val="none"/>
        </w:rPr>
        <w:t>二〇二</w:t>
      </w:r>
      <w:r>
        <w:rPr>
          <w:rFonts w:hint="eastAsia" w:ascii="方正小标宋简体" w:hAnsi="方正小标宋简体" w:eastAsia="方正小标宋简体" w:cs="方正小标宋简体"/>
          <w:b w:val="0"/>
          <w:bCs/>
          <w:sz w:val="40"/>
          <w:szCs w:val="40"/>
          <w:highlight w:val="none"/>
          <w:lang w:val="en-US" w:eastAsia="zh-CN"/>
        </w:rPr>
        <w:t>二</w:t>
      </w:r>
      <w:r>
        <w:rPr>
          <w:rFonts w:hint="eastAsia" w:ascii="方正小标宋简体" w:hAnsi="方正小标宋简体" w:eastAsia="方正小标宋简体" w:cs="方正小标宋简体"/>
          <w:b w:val="0"/>
          <w:bCs/>
          <w:sz w:val="40"/>
          <w:szCs w:val="40"/>
          <w:highlight w:val="none"/>
        </w:rPr>
        <w:t>年</w:t>
      </w:r>
      <w:r>
        <w:rPr>
          <w:rFonts w:hint="eastAsia" w:ascii="方正小标宋简体" w:hAnsi="方正小标宋简体" w:eastAsia="方正小标宋简体" w:cs="方正小标宋简体"/>
          <w:b w:val="0"/>
          <w:bCs/>
          <w:sz w:val="40"/>
          <w:szCs w:val="40"/>
          <w:highlight w:val="none"/>
          <w:lang w:val="en-US" w:eastAsia="zh-CN"/>
        </w:rPr>
        <w:t>八</w:t>
      </w:r>
      <w:r>
        <w:rPr>
          <w:rFonts w:hint="eastAsia" w:ascii="方正小标宋简体" w:hAnsi="方正小标宋简体" w:eastAsia="方正小标宋简体" w:cs="方正小标宋简体"/>
          <w:b w:val="0"/>
          <w:bCs/>
          <w:sz w:val="40"/>
          <w:szCs w:val="40"/>
          <w:highlight w:val="none"/>
        </w:rPr>
        <w:t>月</w:t>
      </w:r>
    </w:p>
    <w:p>
      <w:pPr>
        <w:pStyle w:val="12"/>
        <w:spacing w:before="0" w:after="0"/>
        <w:ind w:firstLine="0" w:firstLineChars="0"/>
        <w:outlineLvl w:val="3"/>
        <w:rPr>
          <w:rFonts w:ascii="宋体" w:hAnsi="宋体"/>
          <w:b/>
          <w:bCs w:val="0"/>
          <w:sz w:val="36"/>
          <w:szCs w:val="30"/>
          <w:highlight w:val="none"/>
        </w:rPr>
        <w:sectPr>
          <w:headerReference r:id="rId4" w:type="first"/>
          <w:footerReference r:id="rId6" w:type="first"/>
          <w:headerReference r:id="rId3" w:type="default"/>
          <w:footerReference r:id="rId5" w:type="default"/>
          <w:pgSz w:w="11907" w:h="16840"/>
          <w:pgMar w:top="1276" w:right="1275" w:bottom="1135" w:left="1418" w:header="709" w:footer="603" w:gutter="0"/>
          <w:pgBorders>
            <w:top w:val="none" w:sz="0" w:space="0"/>
            <w:left w:val="none" w:sz="0" w:space="0"/>
            <w:bottom w:val="none" w:sz="0" w:space="0"/>
            <w:right w:val="none" w:sz="0" w:space="0"/>
          </w:pgBorders>
          <w:pgNumType w:fmt="decimal"/>
          <w:cols w:space="720" w:num="1"/>
          <w:titlePg/>
          <w:docGrid w:linePitch="462" w:charSpace="0"/>
        </w:sectPr>
      </w:pPr>
      <w:bookmarkStart w:id="0" w:name="_Toc2190"/>
    </w:p>
    <w:p>
      <w:pPr>
        <w:pStyle w:val="7"/>
        <w:ind w:firstLine="643"/>
        <w:jc w:val="center"/>
        <w:rPr>
          <w:rFonts w:ascii="黑体" w:hAnsi="黑体" w:eastAsia="黑体" w:cs="黑体"/>
          <w:b/>
          <w:bCs w:val="0"/>
          <w:sz w:val="32"/>
          <w:szCs w:val="32"/>
          <w:highlight w:val="none"/>
        </w:rPr>
      </w:pPr>
      <w:bookmarkStart w:id="1" w:name="_Toc11413"/>
      <w:bookmarkStart w:id="2" w:name="_Toc21460"/>
      <w:r>
        <w:rPr>
          <w:rFonts w:hint="eastAsia" w:ascii="黑体" w:hAnsi="黑体" w:eastAsia="黑体" w:cs="黑体"/>
          <w:b/>
          <w:bCs w:val="0"/>
          <w:sz w:val="32"/>
          <w:szCs w:val="32"/>
          <w:highlight w:val="none"/>
        </w:rPr>
        <w:t>目 录</w:t>
      </w:r>
      <w:bookmarkEnd w:id="0"/>
      <w:bookmarkEnd w:id="1"/>
      <w:bookmarkEnd w:id="2"/>
    </w:p>
    <w:sdt>
      <w:sdtPr>
        <w:rPr>
          <w:rFonts w:ascii="宋体" w:hAnsi="宋体" w:eastAsia="宋体" w:cs="Times New Roman"/>
          <w:b/>
          <w:bCs w:val="0"/>
          <w:kern w:val="28"/>
          <w:sz w:val="32"/>
          <w:szCs w:val="32"/>
          <w:highlight w:val="none"/>
        </w:rPr>
        <w:id w:val="147481365"/>
        <w:docPartObj>
          <w:docPartGallery w:val="Table of Contents"/>
          <w:docPartUnique/>
        </w:docPartObj>
      </w:sdtPr>
      <w:sdtEndPr>
        <w:rPr>
          <w:rFonts w:hint="eastAsia" w:ascii="仿宋" w:hAnsi="仿宋" w:eastAsia="仿宋" w:cs="仿宋"/>
          <w:b w:val="0"/>
          <w:bCs/>
          <w:kern w:val="28"/>
          <w:sz w:val="28"/>
          <w:szCs w:val="28"/>
          <w:highlight w:val="none"/>
        </w:rPr>
      </w:sdtEndPr>
      <w:sdtContent>
        <w:p>
          <w:pPr>
            <w:jc w:val="center"/>
            <w:rPr>
              <w:b/>
              <w:bCs w:val="0"/>
              <w:highlight w:val="none"/>
            </w:rPr>
          </w:pPr>
        </w:p>
        <w:p>
          <w:pPr>
            <w:pStyle w:val="13"/>
            <w:tabs>
              <w:tab w:val="right" w:leader="dot" w:pos="9214"/>
              <w:tab w:val="clear" w:pos="8295"/>
            </w:tabs>
            <w:rPr>
              <w:rFonts w:hint="eastAsia" w:ascii="黑体" w:hAnsi="黑体" w:eastAsia="黑体" w:cs="黑体"/>
              <w:b w:val="0"/>
              <w:bCs/>
              <w:sz w:val="28"/>
              <w:szCs w:val="28"/>
            </w:rPr>
          </w:pPr>
          <w:r>
            <w:rPr>
              <w:rFonts w:hint="eastAsia" w:ascii="仿宋" w:hAnsi="仿宋" w:eastAsia="仿宋" w:cs="仿宋"/>
              <w:b w:val="0"/>
              <w:bCs/>
              <w:sz w:val="28"/>
              <w:szCs w:val="28"/>
              <w:highlight w:val="none"/>
            </w:rPr>
            <w:fldChar w:fldCharType="begin"/>
          </w:r>
          <w:r>
            <w:rPr>
              <w:rFonts w:hint="eastAsia" w:ascii="仿宋" w:hAnsi="仿宋" w:eastAsia="仿宋" w:cs="仿宋"/>
              <w:b w:val="0"/>
              <w:bCs/>
              <w:sz w:val="28"/>
              <w:szCs w:val="28"/>
              <w:highlight w:val="none"/>
            </w:rPr>
            <w:instrText xml:space="preserve">TOC \o "1-3" \h \u </w:instrText>
          </w:r>
          <w:r>
            <w:rPr>
              <w:rFonts w:hint="eastAsia" w:ascii="仿宋" w:hAnsi="仿宋" w:eastAsia="仿宋" w:cs="仿宋"/>
              <w:b w:val="0"/>
              <w:bCs/>
              <w:sz w:val="28"/>
              <w:szCs w:val="28"/>
              <w:highlight w:val="none"/>
            </w:rPr>
            <w:fldChar w:fldCharType="separate"/>
          </w: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_Toc22082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rPr>
            <w:t>第一章 项目概况</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_Toc22082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3</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6"/>
            <w:tabs>
              <w:tab w:val="right" w:leader="dot" w:pos="9214"/>
            </w:tabs>
            <w:rPr>
              <w:rFonts w:hint="eastAsia" w:ascii="黑体" w:hAnsi="黑体" w:eastAsia="黑体" w:cs="黑体"/>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_Toc19550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lang w:val="zh-CN"/>
            </w:rPr>
            <w:t>一、项目名称</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_Toc19550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3</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6"/>
            <w:tabs>
              <w:tab w:val="right" w:leader="dot" w:pos="9214"/>
            </w:tabs>
            <w:rPr>
              <w:rFonts w:hint="eastAsia" w:ascii="黑体" w:hAnsi="黑体" w:eastAsia="黑体" w:cs="黑体"/>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_Toc16912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lang w:val="zh-CN"/>
            </w:rPr>
            <w:t>二、招标编号</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_Toc16912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3</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6"/>
            <w:tabs>
              <w:tab w:val="right" w:leader="dot" w:pos="9214"/>
            </w:tabs>
            <w:rPr>
              <w:rFonts w:hint="eastAsia" w:ascii="黑体" w:hAnsi="黑体" w:eastAsia="黑体" w:cs="黑体"/>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_Toc11485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rPr>
            <w:t>三、投标人资质要求</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_Toc11485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3</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6"/>
            <w:keepNext w:val="0"/>
            <w:keepLines w:val="0"/>
            <w:pageBreakBefore w:val="0"/>
            <w:widowControl w:val="0"/>
            <w:tabs>
              <w:tab w:val="right" w:leader="dot" w:pos="9214"/>
            </w:tabs>
            <w:kinsoku/>
            <w:wordWrap/>
            <w:overflowPunct/>
            <w:topLinePunct w:val="0"/>
            <w:autoSpaceDE/>
            <w:autoSpaceDN/>
            <w:bidi w:val="0"/>
            <w:adjustRightInd/>
            <w:snapToGrid/>
            <w:spacing w:line="280" w:lineRule="exact"/>
            <w:textAlignment w:val="auto"/>
            <w:rPr>
              <w:rFonts w:hint="eastAsia" w:ascii="黑体" w:hAnsi="黑体" w:eastAsia="黑体" w:cs="黑体"/>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_Toc19708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lang w:val="zh-CN"/>
            </w:rPr>
            <w:t>四、项目内容、服务需求及期限</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_Toc19708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4</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6"/>
            <w:tabs>
              <w:tab w:val="right" w:leader="dot" w:pos="9214"/>
            </w:tabs>
            <w:rPr>
              <w:rFonts w:hint="eastAsia" w:ascii="黑体" w:hAnsi="黑体" w:eastAsia="黑体" w:cs="黑体"/>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_Toc15995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rPr>
            <w:t>五、项目总限价</w:t>
          </w:r>
          <w:r>
            <w:rPr>
              <w:rFonts w:hint="eastAsia" w:ascii="黑体" w:hAnsi="黑体" w:eastAsia="黑体" w:cs="黑体"/>
              <w:b w:val="0"/>
              <w:bCs/>
              <w:sz w:val="28"/>
              <w:szCs w:val="28"/>
              <w:highlight w:val="none"/>
              <w:lang w:eastAsia="zh-CN"/>
            </w:rPr>
            <w:t>及预估体检人数</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_Toc15995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5</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6"/>
            <w:tabs>
              <w:tab w:val="right" w:leader="dot" w:pos="9214"/>
            </w:tabs>
            <w:rPr>
              <w:rFonts w:hint="eastAsia" w:ascii="黑体" w:hAnsi="黑体" w:eastAsia="黑体" w:cs="黑体"/>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_Toc23062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rPr>
            <w:t>六、投标文件要求</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_Toc23062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5</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6"/>
            <w:tabs>
              <w:tab w:val="right" w:leader="dot" w:pos="9214"/>
            </w:tabs>
            <w:rPr>
              <w:rFonts w:hint="eastAsia" w:ascii="黑体" w:hAnsi="黑体" w:eastAsia="黑体" w:cs="黑体"/>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_Toc17905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rPr>
            <w:t>七、投标人须知</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_Toc17905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8</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6"/>
            <w:tabs>
              <w:tab w:val="right" w:leader="dot" w:pos="9214"/>
            </w:tabs>
            <w:rPr>
              <w:rFonts w:hint="eastAsia" w:ascii="黑体" w:hAnsi="黑体" w:eastAsia="黑体" w:cs="黑体"/>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_Toc22927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rPr>
            <w:t>八、投标文件作废</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_Toc22927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9</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6"/>
            <w:tabs>
              <w:tab w:val="right" w:leader="dot" w:pos="9214"/>
            </w:tabs>
            <w:rPr>
              <w:rFonts w:hint="eastAsia" w:ascii="黑体" w:hAnsi="黑体" w:eastAsia="黑体" w:cs="黑体"/>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_Toc8088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rPr>
            <w:t>九、其他要求</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_Toc8088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10</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6"/>
            <w:tabs>
              <w:tab w:val="right" w:leader="dot" w:pos="9214"/>
            </w:tabs>
            <w:rPr>
              <w:rFonts w:hint="eastAsia" w:ascii="黑体" w:hAnsi="黑体" w:eastAsia="黑体" w:cs="黑体"/>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_Toc30595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rPr>
            <w:t>十、投标文件递交</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_Toc30595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10</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6"/>
            <w:tabs>
              <w:tab w:val="right" w:leader="dot" w:pos="9214"/>
            </w:tabs>
            <w:rPr>
              <w:rFonts w:hint="eastAsia" w:ascii="黑体" w:hAnsi="黑体" w:eastAsia="黑体" w:cs="黑体"/>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_Toc11169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rPr>
            <w:t>十</w:t>
          </w:r>
          <w:r>
            <w:rPr>
              <w:rFonts w:hint="eastAsia" w:ascii="黑体" w:hAnsi="黑体" w:eastAsia="黑体" w:cs="黑体"/>
              <w:b w:val="0"/>
              <w:bCs/>
              <w:sz w:val="28"/>
              <w:szCs w:val="28"/>
              <w:highlight w:val="none"/>
              <w:lang w:eastAsia="zh-CN"/>
            </w:rPr>
            <w:t>一</w:t>
          </w:r>
          <w:r>
            <w:rPr>
              <w:rFonts w:hint="eastAsia" w:ascii="黑体" w:hAnsi="黑体" w:eastAsia="黑体" w:cs="黑体"/>
              <w:b w:val="0"/>
              <w:bCs/>
              <w:sz w:val="28"/>
              <w:szCs w:val="28"/>
              <w:highlight w:val="none"/>
            </w:rPr>
            <w:t>、开标</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_Toc11169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11</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6"/>
            <w:tabs>
              <w:tab w:val="right" w:leader="dot" w:pos="9214"/>
            </w:tabs>
            <w:rPr>
              <w:rFonts w:hint="eastAsia" w:ascii="黑体" w:hAnsi="黑体" w:eastAsia="黑体" w:cs="黑体"/>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_Toc28122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rPr>
            <w:t>十</w:t>
          </w:r>
          <w:r>
            <w:rPr>
              <w:rFonts w:hint="eastAsia" w:ascii="黑体" w:hAnsi="黑体" w:eastAsia="黑体" w:cs="黑体"/>
              <w:b w:val="0"/>
              <w:bCs/>
              <w:sz w:val="28"/>
              <w:szCs w:val="28"/>
              <w:highlight w:val="none"/>
              <w:lang w:eastAsia="zh-CN"/>
            </w:rPr>
            <w:t>二</w:t>
          </w:r>
          <w:r>
            <w:rPr>
              <w:rFonts w:hint="eastAsia" w:ascii="黑体" w:hAnsi="黑体" w:eastAsia="黑体" w:cs="黑体"/>
              <w:b w:val="0"/>
              <w:bCs/>
              <w:sz w:val="28"/>
              <w:szCs w:val="28"/>
              <w:highlight w:val="none"/>
            </w:rPr>
            <w:t>、评标</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_Toc28122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12</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6"/>
            <w:tabs>
              <w:tab w:val="right" w:leader="dot" w:pos="9214"/>
            </w:tabs>
            <w:rPr>
              <w:rFonts w:hint="eastAsia" w:ascii="黑体" w:hAnsi="黑体" w:eastAsia="黑体" w:cs="黑体"/>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_Toc5346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rPr>
            <w:t>十</w:t>
          </w:r>
          <w:r>
            <w:rPr>
              <w:rFonts w:hint="eastAsia" w:ascii="黑体" w:hAnsi="黑体" w:eastAsia="黑体" w:cs="黑体"/>
              <w:b w:val="0"/>
              <w:bCs/>
              <w:sz w:val="28"/>
              <w:szCs w:val="28"/>
              <w:highlight w:val="none"/>
              <w:lang w:eastAsia="zh-CN"/>
            </w:rPr>
            <w:t>三</w:t>
          </w:r>
          <w:r>
            <w:rPr>
              <w:rFonts w:hint="eastAsia" w:ascii="黑体" w:hAnsi="黑体" w:eastAsia="黑体" w:cs="黑体"/>
              <w:b w:val="0"/>
              <w:bCs/>
              <w:sz w:val="28"/>
              <w:szCs w:val="28"/>
              <w:highlight w:val="none"/>
            </w:rPr>
            <w:t>、定标</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_Toc5346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12</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6"/>
            <w:tabs>
              <w:tab w:val="right" w:leader="dot" w:pos="9214"/>
            </w:tabs>
            <w:rPr>
              <w:rFonts w:hint="eastAsia" w:ascii="黑体" w:hAnsi="黑体" w:eastAsia="黑体" w:cs="黑体"/>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_Toc31323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rPr>
            <w:t>十</w:t>
          </w:r>
          <w:r>
            <w:rPr>
              <w:rFonts w:hint="eastAsia" w:ascii="黑体" w:hAnsi="黑体" w:eastAsia="黑体" w:cs="黑体"/>
              <w:b w:val="0"/>
              <w:bCs/>
              <w:sz w:val="28"/>
              <w:szCs w:val="28"/>
              <w:highlight w:val="none"/>
              <w:lang w:eastAsia="zh-CN"/>
            </w:rPr>
            <w:t>四</w:t>
          </w:r>
          <w:r>
            <w:rPr>
              <w:rFonts w:hint="eastAsia" w:ascii="黑体" w:hAnsi="黑体" w:eastAsia="黑体" w:cs="黑体"/>
              <w:b w:val="0"/>
              <w:bCs/>
              <w:sz w:val="28"/>
              <w:szCs w:val="28"/>
              <w:highlight w:val="none"/>
            </w:rPr>
            <w:t>、结算方式</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_Toc31323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12</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6"/>
            <w:tabs>
              <w:tab w:val="right" w:leader="dot" w:pos="9214"/>
            </w:tabs>
            <w:rPr>
              <w:rFonts w:hint="eastAsia" w:ascii="黑体" w:hAnsi="黑体" w:eastAsia="黑体" w:cs="黑体"/>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_Toc3888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rPr>
            <w:t>十</w:t>
          </w:r>
          <w:r>
            <w:rPr>
              <w:rFonts w:hint="eastAsia" w:ascii="黑体" w:hAnsi="黑体" w:eastAsia="黑体" w:cs="黑体"/>
              <w:b w:val="0"/>
              <w:bCs/>
              <w:sz w:val="28"/>
              <w:szCs w:val="28"/>
              <w:highlight w:val="none"/>
              <w:lang w:eastAsia="zh-CN"/>
            </w:rPr>
            <w:t>五</w:t>
          </w:r>
          <w:r>
            <w:rPr>
              <w:rFonts w:hint="eastAsia" w:ascii="黑体" w:hAnsi="黑体" w:eastAsia="黑体" w:cs="黑体"/>
              <w:b w:val="0"/>
              <w:bCs/>
              <w:sz w:val="28"/>
              <w:szCs w:val="28"/>
              <w:highlight w:val="none"/>
            </w:rPr>
            <w:t>、解释权</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_Toc3888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12</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13"/>
            <w:tabs>
              <w:tab w:val="right" w:leader="dot" w:pos="9214"/>
              <w:tab w:val="clear" w:pos="8295"/>
            </w:tabs>
            <w:rPr>
              <w:rFonts w:hint="eastAsia" w:ascii="黑体" w:hAnsi="黑体" w:eastAsia="黑体" w:cs="黑体"/>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_Toc16932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rPr>
            <w:t>第二章 评标程序及标准</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_Toc16932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13</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13"/>
            <w:tabs>
              <w:tab w:val="right" w:leader="dot" w:pos="9214"/>
              <w:tab w:val="clear" w:pos="8295"/>
            </w:tabs>
            <w:rPr>
              <w:rFonts w:hint="eastAsia" w:ascii="黑体" w:hAnsi="黑体" w:eastAsia="黑体" w:cs="黑体"/>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_Toc20829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rPr>
            <w:t>第三章 合同条款</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_Toc20829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19</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13"/>
            <w:tabs>
              <w:tab w:val="right" w:leader="dot" w:pos="9214"/>
              <w:tab w:val="clear" w:pos="8295"/>
            </w:tabs>
            <w:rPr>
              <w:rFonts w:hint="eastAsia" w:ascii="黑体" w:hAnsi="黑体" w:eastAsia="黑体" w:cs="黑体"/>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_Toc30248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rPr>
            <w:t>第四章 投标文件格式</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_Toc30248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22</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6"/>
            <w:tabs>
              <w:tab w:val="right" w:leader="dot" w:pos="9214"/>
            </w:tabs>
            <w:rPr>
              <w:rFonts w:hint="eastAsia" w:ascii="黑体" w:hAnsi="黑体" w:eastAsia="黑体" w:cs="黑体"/>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_Toc28753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rPr>
            <w:t>格式1：《唱标信封》</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_Toc28753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22</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6"/>
            <w:tabs>
              <w:tab w:val="right" w:leader="dot" w:pos="9214"/>
            </w:tabs>
            <w:rPr>
              <w:rFonts w:hint="eastAsia" w:ascii="黑体" w:hAnsi="黑体" w:eastAsia="黑体" w:cs="黑体"/>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_Toc26728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rPr>
            <w:t>格式2：开标一览表</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_Toc26728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23</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6"/>
            <w:tabs>
              <w:tab w:val="right" w:leader="dot" w:pos="9214"/>
            </w:tabs>
            <w:rPr>
              <w:rFonts w:hint="eastAsia" w:ascii="黑体" w:hAnsi="黑体" w:eastAsia="黑体" w:cs="黑体"/>
              <w:b w:val="0"/>
              <w:bCs/>
              <w:sz w:val="28"/>
              <w:szCs w:val="28"/>
              <w:highlight w:val="none"/>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_Toc11233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rPr>
            <w:t>格式</w:t>
          </w:r>
          <w:r>
            <w:rPr>
              <w:rFonts w:hint="eastAsia" w:ascii="黑体" w:hAnsi="黑体" w:eastAsia="黑体" w:cs="黑体"/>
              <w:b w:val="0"/>
              <w:bCs/>
              <w:sz w:val="28"/>
              <w:szCs w:val="28"/>
              <w:highlight w:val="none"/>
              <w:lang w:val="en-US" w:eastAsia="zh-CN"/>
            </w:rPr>
            <w:t>3</w:t>
          </w:r>
          <w:r>
            <w:rPr>
              <w:rFonts w:hint="eastAsia" w:ascii="黑体" w:hAnsi="黑体" w:eastAsia="黑体" w:cs="黑体"/>
              <w:b w:val="0"/>
              <w:bCs/>
              <w:sz w:val="28"/>
              <w:szCs w:val="28"/>
              <w:highlight w:val="none"/>
            </w:rPr>
            <w:t>：</w:t>
          </w:r>
          <w:r>
            <w:rPr>
              <w:rFonts w:hint="eastAsia" w:ascii="黑体" w:hAnsi="黑体" w:eastAsia="黑体" w:cs="黑体"/>
              <w:b w:val="0"/>
              <w:bCs/>
              <w:sz w:val="28"/>
              <w:szCs w:val="28"/>
              <w:highlight w:val="none"/>
              <w:lang w:eastAsia="zh-CN"/>
            </w:rPr>
            <w:t>体检方案及</w:t>
          </w:r>
          <w:r>
            <w:rPr>
              <w:rFonts w:hint="eastAsia" w:ascii="黑体" w:hAnsi="黑体" w:eastAsia="黑体" w:cs="黑体"/>
              <w:b w:val="0"/>
              <w:bCs/>
              <w:sz w:val="28"/>
              <w:szCs w:val="28"/>
              <w:highlight w:val="none"/>
            </w:rPr>
            <w:t>报价表</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_Toc11233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24</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6"/>
            <w:tabs>
              <w:tab w:val="right" w:leader="dot" w:pos="9214"/>
            </w:tabs>
            <w:rPr>
              <w:rFonts w:hint="default" w:ascii="黑体" w:hAnsi="黑体" w:eastAsia="黑体" w:cs="黑体"/>
              <w:b w:val="0"/>
              <w:bCs/>
              <w:kern w:val="2"/>
              <w:sz w:val="28"/>
              <w:szCs w:val="28"/>
              <w:highlight w:val="none"/>
              <w:lang w:val="en-US" w:eastAsia="zh-CN" w:bidi="ar-SA"/>
            </w:rPr>
          </w:pPr>
          <w:r>
            <w:rPr>
              <w:rFonts w:hint="eastAsia" w:ascii="黑体" w:hAnsi="黑体" w:eastAsia="黑体" w:cs="黑体"/>
              <w:b w:val="0"/>
              <w:bCs/>
              <w:color w:val="auto"/>
              <w:sz w:val="28"/>
              <w:szCs w:val="28"/>
              <w:highlight w:val="none"/>
              <w:u w:val="none"/>
            </w:rPr>
            <w:fldChar w:fldCharType="begin"/>
          </w:r>
          <w:r>
            <w:rPr>
              <w:rFonts w:hint="eastAsia" w:ascii="黑体" w:hAnsi="黑体" w:eastAsia="黑体" w:cs="黑体"/>
              <w:b w:val="0"/>
              <w:bCs/>
              <w:color w:val="auto"/>
              <w:sz w:val="28"/>
              <w:szCs w:val="28"/>
              <w:highlight w:val="none"/>
              <w:u w:val="none"/>
            </w:rPr>
            <w:instrText xml:space="preserve"> HYPERLINK \l "_格式4：商务技术响应情况偏离表" </w:instrText>
          </w:r>
          <w:r>
            <w:rPr>
              <w:rFonts w:hint="eastAsia" w:ascii="黑体" w:hAnsi="黑体" w:eastAsia="黑体" w:cs="黑体"/>
              <w:b w:val="0"/>
              <w:bCs/>
              <w:color w:val="auto"/>
              <w:sz w:val="28"/>
              <w:szCs w:val="28"/>
              <w:highlight w:val="none"/>
              <w:u w:val="none"/>
            </w:rPr>
            <w:fldChar w:fldCharType="separate"/>
          </w:r>
          <w:r>
            <w:rPr>
              <w:rStyle w:val="17"/>
              <w:rFonts w:hint="eastAsia" w:ascii="黑体" w:hAnsi="黑体" w:eastAsia="黑体" w:cs="黑体"/>
              <w:b w:val="0"/>
              <w:bCs/>
              <w:sz w:val="28"/>
              <w:szCs w:val="28"/>
              <w:highlight w:val="none"/>
            </w:rPr>
            <w:t>格式</w:t>
          </w:r>
          <w:r>
            <w:rPr>
              <w:rStyle w:val="17"/>
              <w:rFonts w:hint="eastAsia" w:ascii="黑体" w:hAnsi="黑体" w:eastAsia="黑体" w:cs="黑体"/>
              <w:b w:val="0"/>
              <w:bCs/>
              <w:sz w:val="28"/>
              <w:szCs w:val="28"/>
              <w:highlight w:val="none"/>
              <w:lang w:val="en-US" w:eastAsia="zh-CN"/>
            </w:rPr>
            <w:t>4</w:t>
          </w:r>
          <w:r>
            <w:rPr>
              <w:rStyle w:val="17"/>
              <w:rFonts w:hint="eastAsia" w:ascii="黑体" w:hAnsi="黑体" w:eastAsia="黑体" w:cs="黑体"/>
              <w:b w:val="0"/>
              <w:bCs/>
              <w:sz w:val="28"/>
              <w:szCs w:val="28"/>
              <w:highlight w:val="none"/>
            </w:rPr>
            <w:t>：</w:t>
          </w:r>
          <w:r>
            <w:rPr>
              <w:rStyle w:val="17"/>
              <w:rFonts w:hint="eastAsia" w:ascii="黑体" w:hAnsi="黑体" w:eastAsia="黑体" w:cs="黑体"/>
              <w:b w:val="0"/>
              <w:bCs/>
              <w:sz w:val="28"/>
              <w:szCs w:val="28"/>
              <w:highlight w:val="none"/>
              <w:lang w:val="en-US" w:eastAsia="zh-CN"/>
            </w:rPr>
            <w:t>商务技术响应</w:t>
          </w:r>
          <w:r>
            <w:rPr>
              <w:rStyle w:val="17"/>
              <w:rFonts w:hint="eastAsia" w:ascii="黑体" w:hAnsi="黑体" w:eastAsia="黑体" w:cs="黑体"/>
              <w:b w:val="0"/>
              <w:bCs/>
              <w:sz w:val="28"/>
              <w:szCs w:val="28"/>
              <w:highlight w:val="none"/>
            </w:rPr>
            <w:t>情况</w:t>
          </w:r>
          <w:r>
            <w:rPr>
              <w:rStyle w:val="17"/>
              <w:rFonts w:hint="eastAsia" w:ascii="黑体" w:hAnsi="黑体" w:eastAsia="黑体" w:cs="黑体"/>
              <w:b w:val="0"/>
              <w:bCs/>
              <w:sz w:val="28"/>
              <w:szCs w:val="28"/>
              <w:highlight w:val="none"/>
              <w:lang w:val="en-US" w:eastAsia="zh-CN"/>
            </w:rPr>
            <w:t>偏离表</w:t>
          </w:r>
          <w:r>
            <w:rPr>
              <w:rStyle w:val="17"/>
              <w:rFonts w:hint="eastAsia" w:ascii="黑体" w:hAnsi="黑体" w:eastAsia="黑体" w:cs="黑体"/>
              <w:b w:val="0"/>
              <w:bCs/>
              <w:sz w:val="28"/>
              <w:szCs w:val="28"/>
            </w:rPr>
            <w:tab/>
          </w:r>
          <w:r>
            <w:rPr>
              <w:rStyle w:val="17"/>
              <w:rFonts w:hint="eastAsia" w:ascii="黑体" w:hAnsi="黑体" w:eastAsia="黑体" w:cs="黑体"/>
              <w:b w:val="0"/>
              <w:bCs/>
              <w:sz w:val="28"/>
              <w:szCs w:val="28"/>
            </w:rPr>
            <w:fldChar w:fldCharType="begin"/>
          </w:r>
          <w:r>
            <w:rPr>
              <w:rStyle w:val="17"/>
              <w:rFonts w:hint="eastAsia" w:ascii="黑体" w:hAnsi="黑体" w:eastAsia="黑体" w:cs="黑体"/>
              <w:b w:val="0"/>
              <w:bCs/>
              <w:sz w:val="28"/>
              <w:szCs w:val="28"/>
            </w:rPr>
            <w:instrText xml:space="preserve"> PAGEREF _Toc11233 </w:instrText>
          </w:r>
          <w:r>
            <w:rPr>
              <w:rStyle w:val="17"/>
              <w:rFonts w:hint="eastAsia" w:ascii="黑体" w:hAnsi="黑体" w:eastAsia="黑体" w:cs="黑体"/>
              <w:b w:val="0"/>
              <w:bCs/>
              <w:sz w:val="28"/>
              <w:szCs w:val="28"/>
            </w:rPr>
            <w:fldChar w:fldCharType="separate"/>
          </w:r>
          <w:r>
            <w:rPr>
              <w:rStyle w:val="17"/>
              <w:rFonts w:hint="eastAsia" w:ascii="黑体" w:hAnsi="黑体" w:eastAsia="黑体" w:cs="黑体"/>
              <w:b w:val="0"/>
              <w:bCs/>
              <w:sz w:val="28"/>
              <w:szCs w:val="28"/>
            </w:rPr>
            <w:t>2</w:t>
          </w:r>
          <w:r>
            <w:rPr>
              <w:rStyle w:val="17"/>
              <w:rFonts w:hint="eastAsia" w:ascii="黑体" w:hAnsi="黑体" w:eastAsia="黑体" w:cs="黑体"/>
              <w:b w:val="0"/>
              <w:bCs/>
              <w:sz w:val="28"/>
              <w:szCs w:val="28"/>
              <w:lang w:val="en-US" w:eastAsia="zh-CN"/>
            </w:rPr>
            <w:t>5</w:t>
          </w:r>
          <w:r>
            <w:rPr>
              <w:rStyle w:val="17"/>
              <w:rFonts w:hint="eastAsia" w:ascii="黑体" w:hAnsi="黑体" w:eastAsia="黑体" w:cs="黑体"/>
              <w:b w:val="0"/>
              <w:bCs/>
              <w:sz w:val="28"/>
              <w:szCs w:val="28"/>
            </w:rPr>
            <w:fldChar w:fldCharType="end"/>
          </w:r>
          <w:r>
            <w:rPr>
              <w:rFonts w:hint="eastAsia" w:ascii="黑体" w:hAnsi="黑体" w:eastAsia="黑体" w:cs="黑体"/>
              <w:b w:val="0"/>
              <w:bCs/>
              <w:color w:val="auto"/>
              <w:sz w:val="28"/>
              <w:szCs w:val="28"/>
              <w:highlight w:val="none"/>
              <w:u w:val="none"/>
            </w:rPr>
            <w:fldChar w:fldCharType="end"/>
          </w:r>
        </w:p>
        <w:p>
          <w:pPr>
            <w:pStyle w:val="6"/>
            <w:tabs>
              <w:tab w:val="right" w:leader="dot" w:pos="9214"/>
            </w:tabs>
            <w:rPr>
              <w:rFonts w:hint="eastAsia" w:ascii="仿宋" w:hAnsi="仿宋" w:eastAsia="仿宋" w:cs="仿宋"/>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_Toc32752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lang w:val="zh-CN"/>
            </w:rPr>
            <w:t>格式</w:t>
          </w:r>
          <w:r>
            <w:rPr>
              <w:rFonts w:hint="eastAsia" w:ascii="黑体" w:hAnsi="黑体" w:eastAsia="黑体" w:cs="黑体"/>
              <w:b w:val="0"/>
              <w:bCs/>
              <w:sz w:val="28"/>
              <w:szCs w:val="28"/>
              <w:highlight w:val="none"/>
              <w:lang w:val="en-US" w:eastAsia="zh-CN"/>
            </w:rPr>
            <w:t>5</w:t>
          </w:r>
          <w:r>
            <w:rPr>
              <w:rFonts w:hint="eastAsia" w:ascii="黑体" w:hAnsi="黑体" w:eastAsia="黑体" w:cs="黑体"/>
              <w:b w:val="0"/>
              <w:bCs/>
              <w:sz w:val="28"/>
              <w:szCs w:val="28"/>
              <w:highlight w:val="none"/>
              <w:lang w:val="zh-CN"/>
            </w:rPr>
            <w:t>：承诺函</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_Toc32752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26</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12"/>
            <w:spacing w:before="0" w:after="0" w:line="360" w:lineRule="exact"/>
            <w:ind w:firstLine="0" w:firstLineChars="0"/>
            <w:jc w:val="both"/>
            <w:outlineLvl w:val="9"/>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fldChar w:fldCharType="end"/>
          </w:r>
        </w:p>
      </w:sdtContent>
    </w:sdt>
    <w:p>
      <w:pPr>
        <w:widowControl/>
        <w:spacing w:beforeLines="30" w:line="360" w:lineRule="auto"/>
        <w:ind w:firstLine="442" w:firstLineChars="200"/>
        <w:jc w:val="left"/>
        <w:rPr>
          <w:rFonts w:asciiTheme="minorEastAsia" w:hAnsiTheme="minorEastAsia"/>
          <w:b/>
          <w:bCs w:val="0"/>
          <w:sz w:val="22"/>
          <w:highlight w:val="none"/>
        </w:rPr>
      </w:pPr>
    </w:p>
    <w:p>
      <w:pPr>
        <w:pStyle w:val="3"/>
        <w:spacing w:line="480" w:lineRule="exact"/>
        <w:jc w:val="center"/>
        <w:rPr>
          <w:rFonts w:hint="eastAsia" w:ascii="宋体" w:hAnsi="宋体" w:eastAsia="宋体" w:cs="宋体"/>
          <w:b/>
          <w:bCs w:val="0"/>
          <w:sz w:val="28"/>
          <w:szCs w:val="28"/>
          <w:highlight w:val="none"/>
        </w:rPr>
      </w:pPr>
      <w:bookmarkStart w:id="3" w:name="_Toc4395"/>
    </w:p>
    <w:p>
      <w:pPr>
        <w:rPr>
          <w:rFonts w:hint="eastAsia" w:ascii="宋体" w:hAnsi="宋体" w:eastAsia="宋体" w:cs="宋体"/>
          <w:b/>
          <w:bCs w:val="0"/>
          <w:sz w:val="28"/>
          <w:szCs w:val="28"/>
          <w:highlight w:val="none"/>
        </w:rPr>
      </w:pPr>
    </w:p>
    <w:p>
      <w:pPr>
        <w:rPr>
          <w:rFonts w:hint="eastAsia" w:ascii="宋体" w:hAnsi="宋体" w:eastAsia="宋体" w:cs="宋体"/>
          <w:b/>
          <w:bCs w:val="0"/>
          <w:sz w:val="28"/>
          <w:szCs w:val="28"/>
          <w:highlight w:val="none"/>
        </w:rPr>
      </w:pPr>
    </w:p>
    <w:p>
      <w:pPr>
        <w:rPr>
          <w:rFonts w:hint="eastAsia" w:ascii="宋体" w:hAnsi="宋体" w:eastAsia="宋体" w:cs="宋体"/>
          <w:b/>
          <w:bCs w:val="0"/>
          <w:sz w:val="28"/>
          <w:szCs w:val="28"/>
          <w:highlight w:val="none"/>
        </w:rPr>
      </w:pPr>
    </w:p>
    <w:p>
      <w:pPr>
        <w:rPr>
          <w:rFonts w:hint="eastAsia" w:ascii="宋体" w:hAnsi="宋体" w:eastAsia="宋体" w:cs="宋体"/>
          <w:b/>
          <w:bCs w:val="0"/>
          <w:sz w:val="28"/>
          <w:szCs w:val="28"/>
          <w:highlight w:val="none"/>
        </w:rPr>
      </w:pPr>
    </w:p>
    <w:p>
      <w:pPr>
        <w:rPr>
          <w:rFonts w:hint="eastAsia" w:ascii="宋体" w:hAnsi="宋体" w:eastAsia="宋体" w:cs="宋体"/>
          <w:b/>
          <w:bCs w:val="0"/>
          <w:sz w:val="28"/>
          <w:szCs w:val="28"/>
          <w:highlight w:val="none"/>
        </w:rPr>
      </w:pPr>
    </w:p>
    <w:p>
      <w:pPr>
        <w:rPr>
          <w:rFonts w:hint="eastAsia" w:ascii="宋体" w:hAnsi="宋体" w:eastAsia="宋体" w:cs="宋体"/>
          <w:b/>
          <w:bCs w:val="0"/>
          <w:sz w:val="28"/>
          <w:szCs w:val="28"/>
          <w:highlight w:val="none"/>
        </w:rPr>
      </w:pPr>
    </w:p>
    <w:p>
      <w:pPr>
        <w:rPr>
          <w:rFonts w:hint="eastAsia" w:ascii="宋体" w:hAnsi="宋体" w:eastAsia="宋体" w:cs="宋体"/>
          <w:b/>
          <w:bCs w:val="0"/>
          <w:sz w:val="28"/>
          <w:szCs w:val="28"/>
          <w:highlight w:val="none"/>
        </w:rPr>
      </w:pPr>
    </w:p>
    <w:p>
      <w:pPr>
        <w:rPr>
          <w:rFonts w:hint="eastAsia" w:ascii="宋体" w:hAnsi="宋体" w:eastAsia="宋体" w:cs="宋体"/>
          <w:b/>
          <w:bCs w:val="0"/>
          <w:sz w:val="28"/>
          <w:szCs w:val="28"/>
          <w:highlight w:val="none"/>
        </w:rPr>
      </w:pPr>
    </w:p>
    <w:p>
      <w:pPr>
        <w:rPr>
          <w:rFonts w:hint="eastAsia"/>
          <w:b/>
          <w:bCs w:val="0"/>
          <w:highlight w:val="none"/>
        </w:rPr>
      </w:pPr>
    </w:p>
    <w:p>
      <w:pPr>
        <w:pStyle w:val="3"/>
        <w:pageBreakBefore w:val="0"/>
        <w:kinsoku/>
        <w:overflowPunct/>
        <w:topLinePunct w:val="0"/>
        <w:autoSpaceDE/>
        <w:autoSpaceDN/>
        <w:bidi w:val="0"/>
        <w:spacing w:line="560" w:lineRule="exact"/>
        <w:jc w:val="center"/>
        <w:rPr>
          <w:rFonts w:hint="eastAsia" w:ascii="黑体" w:hAnsi="黑体" w:eastAsia="黑体" w:cs="黑体"/>
          <w:b/>
          <w:bCs w:val="0"/>
          <w:sz w:val="32"/>
          <w:szCs w:val="32"/>
          <w:highlight w:val="none"/>
        </w:rPr>
      </w:pPr>
      <w:bookmarkStart w:id="4" w:name="_Toc22082"/>
      <w:r>
        <w:rPr>
          <w:rFonts w:hint="eastAsia" w:ascii="黑体" w:hAnsi="黑体" w:eastAsia="黑体" w:cs="黑体"/>
          <w:b/>
          <w:bCs w:val="0"/>
          <w:sz w:val="32"/>
          <w:szCs w:val="32"/>
          <w:highlight w:val="none"/>
        </w:rPr>
        <w:t>第一章 项目概况</w:t>
      </w:r>
      <w:bookmarkEnd w:id="3"/>
      <w:bookmarkEnd w:id="4"/>
    </w:p>
    <w:p>
      <w:pPr>
        <w:pStyle w:val="4"/>
        <w:pageBreakBefore w:val="0"/>
        <w:kinsoku/>
        <w:wordWrap/>
        <w:overflowPunct/>
        <w:topLinePunct w:val="0"/>
        <w:autoSpaceDE/>
        <w:autoSpaceDN/>
        <w:bidi w:val="0"/>
        <w:spacing w:line="560" w:lineRule="exact"/>
        <w:ind w:firstLine="560"/>
        <w:textAlignment w:val="auto"/>
        <w:rPr>
          <w:rFonts w:hint="eastAsia" w:ascii="黑体" w:hAnsi="黑体" w:eastAsia="黑体" w:cs="黑体"/>
          <w:b w:val="0"/>
          <w:bCs/>
          <w:sz w:val="32"/>
          <w:szCs w:val="32"/>
          <w:highlight w:val="none"/>
          <w:lang w:val="zh-CN"/>
        </w:rPr>
      </w:pPr>
      <w:bookmarkStart w:id="5" w:name="_Toc19550"/>
      <w:r>
        <w:rPr>
          <w:rFonts w:hint="eastAsia" w:ascii="黑体" w:hAnsi="黑体" w:eastAsia="黑体" w:cs="黑体"/>
          <w:b w:val="0"/>
          <w:bCs/>
          <w:sz w:val="32"/>
          <w:szCs w:val="32"/>
          <w:highlight w:val="none"/>
          <w:lang w:val="zh-CN"/>
        </w:rPr>
        <w:t>一、项目名称</w:t>
      </w:r>
      <w:bookmarkEnd w:id="5"/>
    </w:p>
    <w:p>
      <w:pPr>
        <w:pStyle w:val="7"/>
        <w:pageBreakBefore w:val="0"/>
        <w:tabs>
          <w:tab w:val="left" w:pos="7740"/>
        </w:tabs>
        <w:kinsoku/>
        <w:wordWrap/>
        <w:overflowPunct/>
        <w:topLinePunct w:val="0"/>
        <w:autoSpaceDE/>
        <w:autoSpaceDN/>
        <w:bidi w:val="0"/>
        <w:adjustRightInd w:val="0"/>
        <w:snapToGrid w:val="0"/>
        <w:spacing w:line="560" w:lineRule="exact"/>
        <w:ind w:firstLine="560"/>
        <w:textAlignment w:val="auto"/>
        <w:rPr>
          <w:rFonts w:hint="default" w:ascii="仿宋" w:hAnsi="仿宋" w:eastAsia="仿宋" w:cs="仿宋"/>
          <w:b w:val="0"/>
          <w:bCs/>
          <w:kern w:val="2"/>
          <w:sz w:val="32"/>
          <w:szCs w:val="32"/>
          <w:highlight w:val="none"/>
          <w:lang w:val="en-US" w:eastAsia="zh-CN"/>
        </w:rPr>
      </w:pPr>
      <w:r>
        <w:rPr>
          <w:rFonts w:hint="eastAsia" w:ascii="仿宋" w:hAnsi="仿宋" w:eastAsia="仿宋" w:cs="仿宋"/>
          <w:b w:val="0"/>
          <w:bCs/>
          <w:kern w:val="2"/>
          <w:sz w:val="32"/>
          <w:szCs w:val="32"/>
          <w:highlight w:val="none"/>
          <w:lang w:val="zh-CN"/>
        </w:rPr>
        <w:t>深圳市鹏劳人力资源管理有限公司</w:t>
      </w:r>
      <w:r>
        <w:rPr>
          <w:rFonts w:hint="eastAsia" w:ascii="仿宋" w:hAnsi="仿宋" w:eastAsia="仿宋" w:cs="仿宋"/>
          <w:b w:val="0"/>
          <w:bCs/>
          <w:kern w:val="2"/>
          <w:sz w:val="32"/>
          <w:szCs w:val="32"/>
          <w:highlight w:val="none"/>
          <w:lang w:val="en-US" w:eastAsia="zh-CN"/>
        </w:rPr>
        <w:t>2022年度</w:t>
      </w:r>
      <w:r>
        <w:rPr>
          <w:rFonts w:hint="eastAsia" w:ascii="仿宋" w:hAnsi="仿宋" w:eastAsia="仿宋" w:cs="仿宋"/>
          <w:b w:val="0"/>
          <w:bCs/>
          <w:kern w:val="2"/>
          <w:sz w:val="32"/>
          <w:szCs w:val="32"/>
          <w:highlight w:val="none"/>
          <w:lang w:val="zh-CN"/>
        </w:rPr>
        <w:t>员工</w:t>
      </w:r>
      <w:r>
        <w:rPr>
          <w:rFonts w:hint="eastAsia" w:ascii="仿宋" w:hAnsi="仿宋" w:eastAsia="仿宋" w:cs="仿宋"/>
          <w:b w:val="0"/>
          <w:bCs/>
          <w:kern w:val="2"/>
          <w:sz w:val="32"/>
          <w:szCs w:val="32"/>
          <w:highlight w:val="none"/>
          <w:lang w:val="en-US" w:eastAsia="zh-CN"/>
        </w:rPr>
        <w:t>健康</w:t>
      </w:r>
      <w:r>
        <w:rPr>
          <w:rFonts w:hint="eastAsia" w:ascii="仿宋" w:hAnsi="仿宋" w:eastAsia="仿宋" w:cs="仿宋"/>
          <w:b w:val="0"/>
          <w:bCs/>
          <w:kern w:val="2"/>
          <w:sz w:val="32"/>
          <w:szCs w:val="32"/>
          <w:highlight w:val="none"/>
          <w:lang w:val="zh-CN"/>
        </w:rPr>
        <w:t>体检服务采购</w:t>
      </w:r>
      <w:r>
        <w:rPr>
          <w:rFonts w:hint="eastAsia" w:ascii="仿宋" w:hAnsi="仿宋" w:eastAsia="仿宋" w:cs="仿宋"/>
          <w:b w:val="0"/>
          <w:bCs/>
          <w:kern w:val="2"/>
          <w:sz w:val="32"/>
          <w:szCs w:val="32"/>
          <w:highlight w:val="none"/>
          <w:lang w:val="en-US" w:eastAsia="zh-CN"/>
        </w:rPr>
        <w:t>（二次）</w:t>
      </w:r>
    </w:p>
    <w:p>
      <w:pPr>
        <w:pStyle w:val="4"/>
        <w:pageBreakBefore w:val="0"/>
        <w:kinsoku/>
        <w:wordWrap/>
        <w:overflowPunct/>
        <w:topLinePunct w:val="0"/>
        <w:autoSpaceDE/>
        <w:autoSpaceDN/>
        <w:bidi w:val="0"/>
        <w:spacing w:line="560" w:lineRule="exact"/>
        <w:ind w:firstLine="560"/>
        <w:textAlignment w:val="auto"/>
        <w:rPr>
          <w:rFonts w:hint="eastAsia" w:ascii="黑体" w:hAnsi="黑体" w:eastAsia="黑体" w:cs="黑体"/>
          <w:b w:val="0"/>
          <w:bCs/>
          <w:sz w:val="32"/>
          <w:szCs w:val="32"/>
          <w:highlight w:val="none"/>
          <w:lang w:val="zh-CN"/>
        </w:rPr>
      </w:pPr>
      <w:bookmarkStart w:id="6" w:name="_Toc16912"/>
      <w:r>
        <w:rPr>
          <w:rFonts w:hint="eastAsia" w:ascii="黑体" w:hAnsi="黑体" w:eastAsia="黑体" w:cs="黑体"/>
          <w:b w:val="0"/>
          <w:bCs/>
          <w:sz w:val="32"/>
          <w:szCs w:val="32"/>
          <w:highlight w:val="none"/>
          <w:lang w:val="zh-CN"/>
        </w:rPr>
        <w:t>二、招标编号</w:t>
      </w:r>
      <w:bookmarkEnd w:id="6"/>
    </w:p>
    <w:p>
      <w:pPr>
        <w:pStyle w:val="7"/>
        <w:pageBreakBefore w:val="0"/>
        <w:tabs>
          <w:tab w:val="left" w:pos="7740"/>
        </w:tabs>
        <w:kinsoku/>
        <w:wordWrap/>
        <w:overflowPunct/>
        <w:topLinePunct w:val="0"/>
        <w:autoSpaceDE/>
        <w:autoSpaceDN/>
        <w:bidi w:val="0"/>
        <w:adjustRightInd w:val="0"/>
        <w:snapToGrid w:val="0"/>
        <w:spacing w:line="560" w:lineRule="exact"/>
        <w:ind w:firstLine="560" w:firstLineChars="0"/>
        <w:textAlignment w:val="auto"/>
        <w:rPr>
          <w:rFonts w:hint="default" w:ascii="仿宋" w:hAnsi="仿宋" w:eastAsia="仿宋" w:cs="仿宋"/>
          <w:b w:val="0"/>
          <w:bCs/>
          <w:kern w:val="2"/>
          <w:sz w:val="32"/>
          <w:szCs w:val="32"/>
          <w:highlight w:val="none"/>
          <w:lang w:val="en-US" w:eastAsia="zh-CN"/>
        </w:rPr>
      </w:pPr>
      <w:r>
        <w:rPr>
          <w:rFonts w:hint="eastAsia" w:ascii="仿宋" w:hAnsi="仿宋" w:eastAsia="仿宋" w:cs="仿宋"/>
          <w:b w:val="0"/>
          <w:bCs/>
          <w:kern w:val="2"/>
          <w:sz w:val="32"/>
          <w:szCs w:val="32"/>
          <w:highlight w:val="none"/>
        </w:rPr>
        <w:t>PLHR-ZB-FW-202</w:t>
      </w:r>
      <w:r>
        <w:rPr>
          <w:rFonts w:hint="eastAsia" w:ascii="仿宋" w:hAnsi="仿宋" w:eastAsia="仿宋" w:cs="仿宋"/>
          <w:b w:val="0"/>
          <w:bCs/>
          <w:kern w:val="2"/>
          <w:sz w:val="32"/>
          <w:szCs w:val="32"/>
          <w:highlight w:val="none"/>
          <w:lang w:val="en-US" w:eastAsia="zh-CN"/>
        </w:rPr>
        <w:t>20401</w:t>
      </w:r>
    </w:p>
    <w:p>
      <w:pPr>
        <w:pStyle w:val="4"/>
        <w:pageBreakBefore w:val="0"/>
        <w:kinsoku/>
        <w:wordWrap/>
        <w:overflowPunct/>
        <w:topLinePunct w:val="0"/>
        <w:autoSpaceDE/>
        <w:autoSpaceDN/>
        <w:bidi w:val="0"/>
        <w:spacing w:line="560" w:lineRule="exact"/>
        <w:ind w:firstLine="560"/>
        <w:textAlignment w:val="auto"/>
        <w:rPr>
          <w:rFonts w:hint="eastAsia" w:ascii="黑体" w:hAnsi="黑体" w:eastAsia="黑体" w:cs="黑体"/>
          <w:b w:val="0"/>
          <w:bCs/>
          <w:sz w:val="32"/>
          <w:szCs w:val="32"/>
          <w:highlight w:val="none"/>
        </w:rPr>
      </w:pPr>
      <w:bookmarkStart w:id="7" w:name="_Toc11485"/>
      <w:r>
        <w:rPr>
          <w:rFonts w:hint="eastAsia" w:ascii="黑体" w:hAnsi="黑体" w:eastAsia="黑体" w:cs="黑体"/>
          <w:b w:val="0"/>
          <w:bCs/>
          <w:sz w:val="32"/>
          <w:szCs w:val="32"/>
          <w:highlight w:val="none"/>
        </w:rPr>
        <w:t>三、投标人资质要求</w:t>
      </w:r>
      <w:bookmarkEnd w:id="7"/>
    </w:p>
    <w:p>
      <w:pPr>
        <w:pStyle w:val="7"/>
        <w:pageBreakBefore w:val="0"/>
        <w:tabs>
          <w:tab w:val="left" w:pos="7740"/>
        </w:tabs>
        <w:kinsoku/>
        <w:wordWrap/>
        <w:overflowPunct/>
        <w:topLinePunct w:val="0"/>
        <w:autoSpaceDE/>
        <w:autoSpaceDN/>
        <w:bidi w:val="0"/>
        <w:adjustRightInd w:val="0"/>
        <w:snapToGrid w:val="0"/>
        <w:spacing w:line="560" w:lineRule="exact"/>
        <w:ind w:firstLine="560"/>
        <w:textAlignment w:val="auto"/>
        <w:rPr>
          <w:rFonts w:hint="eastAsia" w:ascii="仿宋" w:hAnsi="仿宋" w:eastAsia="仿宋" w:cs="仿宋"/>
          <w:b w:val="0"/>
          <w:bCs/>
          <w:i w:val="0"/>
          <w:iCs w:val="0"/>
          <w:sz w:val="32"/>
          <w:szCs w:val="32"/>
          <w:highlight w:val="none"/>
        </w:rPr>
      </w:pPr>
      <w:r>
        <w:rPr>
          <w:rFonts w:hint="eastAsia" w:ascii="仿宋" w:hAnsi="仿宋" w:eastAsia="仿宋" w:cs="仿宋"/>
          <w:b w:val="0"/>
          <w:bCs/>
          <w:i w:val="0"/>
          <w:iCs w:val="0"/>
          <w:sz w:val="32"/>
          <w:szCs w:val="32"/>
          <w:highlight w:val="none"/>
        </w:rPr>
        <w:t>（一）投标人</w:t>
      </w:r>
      <w:r>
        <w:rPr>
          <w:rFonts w:hint="eastAsia" w:ascii="仿宋" w:hAnsi="仿宋" w:eastAsia="仿宋" w:cs="仿宋"/>
          <w:b w:val="0"/>
          <w:bCs/>
          <w:i w:val="0"/>
          <w:iCs w:val="0"/>
          <w:sz w:val="32"/>
          <w:szCs w:val="32"/>
          <w:highlight w:val="none"/>
          <w:lang w:eastAsia="zh-CN"/>
        </w:rPr>
        <w:t>应</w:t>
      </w:r>
      <w:r>
        <w:rPr>
          <w:rFonts w:hint="eastAsia" w:ascii="仿宋" w:hAnsi="仿宋" w:eastAsia="仿宋" w:cs="仿宋"/>
          <w:b w:val="0"/>
          <w:bCs/>
          <w:i w:val="0"/>
          <w:iCs w:val="0"/>
          <w:sz w:val="32"/>
          <w:szCs w:val="32"/>
          <w:highlight w:val="none"/>
        </w:rPr>
        <w:t>为国内</w:t>
      </w:r>
      <w:r>
        <w:rPr>
          <w:rFonts w:hint="eastAsia" w:ascii="仿宋" w:hAnsi="仿宋" w:eastAsia="仿宋" w:cs="仿宋"/>
          <w:b w:val="0"/>
          <w:bCs/>
          <w:i w:val="0"/>
          <w:iCs w:val="0"/>
          <w:sz w:val="32"/>
          <w:szCs w:val="32"/>
          <w:highlight w:val="none"/>
          <w:lang w:eastAsia="zh-CN"/>
        </w:rPr>
        <w:t>合法合规</w:t>
      </w:r>
      <w:r>
        <w:rPr>
          <w:rFonts w:hint="eastAsia" w:ascii="仿宋" w:hAnsi="仿宋" w:eastAsia="仿宋" w:cs="仿宋"/>
          <w:b w:val="0"/>
          <w:bCs/>
          <w:i w:val="0"/>
          <w:iCs w:val="0"/>
          <w:sz w:val="32"/>
          <w:szCs w:val="32"/>
          <w:highlight w:val="none"/>
        </w:rPr>
        <w:t>注册，具备</w:t>
      </w:r>
      <w:r>
        <w:rPr>
          <w:rFonts w:hint="eastAsia" w:ascii="仿宋" w:hAnsi="仿宋" w:eastAsia="仿宋" w:cs="仿宋"/>
          <w:b w:val="0"/>
          <w:bCs/>
          <w:i w:val="0"/>
          <w:iCs w:val="0"/>
          <w:sz w:val="32"/>
          <w:szCs w:val="32"/>
          <w:highlight w:val="none"/>
          <w:lang w:eastAsia="zh-CN"/>
        </w:rPr>
        <w:t>独立</w:t>
      </w:r>
      <w:r>
        <w:rPr>
          <w:rFonts w:hint="eastAsia" w:ascii="仿宋" w:hAnsi="仿宋" w:eastAsia="仿宋" w:cs="仿宋"/>
          <w:b w:val="0"/>
          <w:bCs/>
          <w:i w:val="0"/>
          <w:iCs w:val="0"/>
          <w:sz w:val="32"/>
          <w:szCs w:val="32"/>
          <w:highlight w:val="none"/>
        </w:rPr>
        <w:t>法人资格</w:t>
      </w:r>
      <w:r>
        <w:rPr>
          <w:rFonts w:hint="eastAsia" w:ascii="仿宋" w:hAnsi="仿宋" w:eastAsia="仿宋" w:cs="仿宋"/>
          <w:b w:val="0"/>
          <w:bCs/>
          <w:i w:val="0"/>
          <w:iCs w:val="0"/>
          <w:sz w:val="32"/>
          <w:szCs w:val="32"/>
          <w:highlight w:val="none"/>
          <w:lang w:eastAsia="zh-CN"/>
        </w:rPr>
        <w:t>，且根据国家《医院分级管理办法》评级达到三级甲等的</w:t>
      </w:r>
      <w:r>
        <w:rPr>
          <w:rFonts w:hint="eastAsia" w:ascii="仿宋" w:hAnsi="仿宋" w:eastAsia="仿宋" w:cs="仿宋"/>
          <w:b w:val="0"/>
          <w:bCs/>
          <w:i w:val="0"/>
          <w:iCs w:val="0"/>
          <w:sz w:val="32"/>
          <w:szCs w:val="32"/>
          <w:highlight w:val="none"/>
        </w:rPr>
        <w:t>医院；</w:t>
      </w:r>
    </w:p>
    <w:p>
      <w:pPr>
        <w:pStyle w:val="7"/>
        <w:pageBreakBefore w:val="0"/>
        <w:tabs>
          <w:tab w:val="left" w:pos="7740"/>
        </w:tabs>
        <w:kinsoku/>
        <w:wordWrap/>
        <w:overflowPunct/>
        <w:topLinePunct w:val="0"/>
        <w:autoSpaceDE/>
        <w:autoSpaceDN/>
        <w:bidi w:val="0"/>
        <w:adjustRightInd w:val="0"/>
        <w:snapToGrid w:val="0"/>
        <w:spacing w:line="560" w:lineRule="exact"/>
        <w:ind w:firstLine="560"/>
        <w:textAlignment w:val="auto"/>
        <w:rPr>
          <w:rFonts w:hint="eastAsia" w:ascii="仿宋" w:hAnsi="仿宋" w:eastAsia="仿宋" w:cs="仿宋"/>
          <w:b w:val="0"/>
          <w:bCs/>
          <w:i w:val="0"/>
          <w:iCs w:val="0"/>
          <w:sz w:val="32"/>
          <w:szCs w:val="32"/>
          <w:highlight w:val="none"/>
          <w:lang w:eastAsia="zh-CN"/>
        </w:rPr>
      </w:pPr>
      <w:r>
        <w:rPr>
          <w:rFonts w:hint="eastAsia" w:ascii="仿宋" w:hAnsi="仿宋" w:eastAsia="仿宋" w:cs="仿宋"/>
          <w:b w:val="0"/>
          <w:bCs/>
          <w:i w:val="0"/>
          <w:iCs w:val="0"/>
          <w:sz w:val="32"/>
          <w:szCs w:val="32"/>
          <w:highlight w:val="none"/>
          <w:lang w:eastAsia="zh-CN"/>
        </w:rPr>
        <w:t>（二）投标人总部设立在罗湖区或福田区，或在前述区域内已设立具备公众体检服务接待能力的分支机构；</w:t>
      </w:r>
    </w:p>
    <w:p>
      <w:pPr>
        <w:pStyle w:val="7"/>
        <w:pageBreakBefore w:val="0"/>
        <w:tabs>
          <w:tab w:val="left" w:pos="7740"/>
        </w:tabs>
        <w:kinsoku/>
        <w:wordWrap/>
        <w:overflowPunct/>
        <w:topLinePunct w:val="0"/>
        <w:autoSpaceDE/>
        <w:autoSpaceDN/>
        <w:bidi w:val="0"/>
        <w:adjustRightInd w:val="0"/>
        <w:snapToGrid w:val="0"/>
        <w:spacing w:line="560" w:lineRule="exact"/>
        <w:ind w:firstLine="560"/>
        <w:textAlignment w:val="auto"/>
        <w:rPr>
          <w:rFonts w:hint="eastAsia" w:ascii="仿宋" w:hAnsi="仿宋" w:eastAsia="仿宋" w:cs="仿宋"/>
          <w:b w:val="0"/>
          <w:bCs/>
          <w:i w:val="0"/>
          <w:iCs w:val="0"/>
          <w:sz w:val="32"/>
          <w:szCs w:val="32"/>
          <w:highlight w:val="none"/>
        </w:rPr>
      </w:pPr>
      <w:r>
        <w:rPr>
          <w:rFonts w:hint="eastAsia" w:ascii="仿宋" w:hAnsi="仿宋" w:eastAsia="仿宋" w:cs="仿宋"/>
          <w:b w:val="0"/>
          <w:bCs/>
          <w:i w:val="0"/>
          <w:iCs w:val="0"/>
          <w:sz w:val="32"/>
          <w:szCs w:val="32"/>
          <w:highlight w:val="none"/>
        </w:rPr>
        <w:t>（</w:t>
      </w:r>
      <w:r>
        <w:rPr>
          <w:rFonts w:hint="eastAsia" w:ascii="仿宋" w:hAnsi="仿宋" w:eastAsia="仿宋" w:cs="仿宋"/>
          <w:b w:val="0"/>
          <w:bCs/>
          <w:i w:val="0"/>
          <w:iCs w:val="0"/>
          <w:sz w:val="32"/>
          <w:szCs w:val="32"/>
          <w:highlight w:val="none"/>
          <w:lang w:eastAsia="zh-CN"/>
        </w:rPr>
        <w:t>三</w:t>
      </w:r>
      <w:r>
        <w:rPr>
          <w:rFonts w:hint="eastAsia" w:ascii="仿宋" w:hAnsi="仿宋" w:eastAsia="仿宋" w:cs="仿宋"/>
          <w:b w:val="0"/>
          <w:bCs/>
          <w:i w:val="0"/>
          <w:iCs w:val="0"/>
          <w:sz w:val="32"/>
          <w:szCs w:val="32"/>
          <w:highlight w:val="none"/>
        </w:rPr>
        <w:t>）投标人具有完全响应本项目</w:t>
      </w:r>
      <w:r>
        <w:rPr>
          <w:rFonts w:hint="eastAsia" w:ascii="仿宋" w:hAnsi="仿宋" w:eastAsia="仿宋" w:cs="仿宋"/>
          <w:b w:val="0"/>
          <w:bCs/>
          <w:i w:val="0"/>
          <w:iCs w:val="0"/>
          <w:sz w:val="32"/>
          <w:szCs w:val="32"/>
          <w:highlight w:val="none"/>
          <w:lang w:eastAsia="zh-CN"/>
        </w:rPr>
        <w:t>服务提供</w:t>
      </w:r>
      <w:r>
        <w:rPr>
          <w:rFonts w:hint="eastAsia" w:ascii="仿宋" w:hAnsi="仿宋" w:eastAsia="仿宋" w:cs="仿宋"/>
          <w:b w:val="0"/>
          <w:bCs/>
          <w:i w:val="0"/>
          <w:iCs w:val="0"/>
          <w:sz w:val="32"/>
          <w:szCs w:val="32"/>
          <w:highlight w:val="none"/>
        </w:rPr>
        <w:t>需求的能力</w:t>
      </w:r>
      <w:r>
        <w:rPr>
          <w:rFonts w:hint="eastAsia" w:ascii="仿宋" w:hAnsi="仿宋" w:eastAsia="仿宋" w:cs="仿宋"/>
          <w:b w:val="0"/>
          <w:bCs/>
          <w:i w:val="0"/>
          <w:iCs w:val="0"/>
          <w:sz w:val="32"/>
          <w:szCs w:val="32"/>
          <w:highlight w:val="none"/>
          <w:lang w:eastAsia="zh-CN"/>
        </w:rPr>
        <w:t>，</w:t>
      </w:r>
      <w:r>
        <w:rPr>
          <w:rFonts w:hint="eastAsia" w:ascii="仿宋" w:hAnsi="仿宋" w:eastAsia="仿宋" w:cs="仿宋"/>
          <w:b w:val="0"/>
          <w:bCs/>
          <w:i w:val="0"/>
          <w:iCs w:val="0"/>
          <w:sz w:val="32"/>
          <w:szCs w:val="32"/>
          <w:highlight w:val="none"/>
        </w:rPr>
        <w:t>能独立承担本招标文件所示民事等法律责任和合同义务。</w:t>
      </w:r>
    </w:p>
    <w:p>
      <w:pPr>
        <w:pStyle w:val="7"/>
        <w:keepNext w:val="0"/>
        <w:keepLines w:val="0"/>
        <w:pageBreakBefore w:val="0"/>
        <w:widowControl w:val="0"/>
        <w:tabs>
          <w:tab w:val="left" w:pos="7740"/>
        </w:tabs>
        <w:kinsoku/>
        <w:wordWrap w:val="0"/>
        <w:overflowPunct/>
        <w:topLinePunct w:val="0"/>
        <w:autoSpaceDE/>
        <w:autoSpaceDN/>
        <w:bidi w:val="0"/>
        <w:adjustRightInd w:val="0"/>
        <w:snapToGrid w:val="0"/>
        <w:spacing w:line="560" w:lineRule="exact"/>
        <w:ind w:firstLine="560"/>
        <w:textAlignment w:val="auto"/>
        <w:rPr>
          <w:rFonts w:hint="eastAsia" w:ascii="仿宋" w:hAnsi="仿宋" w:eastAsia="仿宋" w:cs="仿宋"/>
          <w:b w:val="0"/>
          <w:bCs/>
          <w:i w:val="0"/>
          <w:iCs w:val="0"/>
          <w:sz w:val="32"/>
          <w:szCs w:val="32"/>
          <w:highlight w:val="none"/>
        </w:rPr>
      </w:pPr>
      <w:r>
        <w:rPr>
          <w:rFonts w:hint="eastAsia" w:ascii="仿宋" w:hAnsi="仿宋" w:eastAsia="仿宋" w:cs="仿宋"/>
          <w:b w:val="0"/>
          <w:bCs/>
          <w:i w:val="0"/>
          <w:iCs w:val="0"/>
          <w:sz w:val="32"/>
          <w:szCs w:val="32"/>
          <w:highlight w:val="none"/>
        </w:rPr>
        <w:t>（</w:t>
      </w:r>
      <w:r>
        <w:rPr>
          <w:rFonts w:hint="eastAsia" w:ascii="仿宋" w:hAnsi="仿宋" w:eastAsia="仿宋" w:cs="仿宋"/>
          <w:b w:val="0"/>
          <w:bCs/>
          <w:i w:val="0"/>
          <w:iCs w:val="0"/>
          <w:sz w:val="32"/>
          <w:szCs w:val="32"/>
          <w:highlight w:val="none"/>
          <w:lang w:val="en-US" w:eastAsia="zh-CN"/>
        </w:rPr>
        <w:t>四）</w:t>
      </w:r>
      <w:r>
        <w:rPr>
          <w:rFonts w:hint="eastAsia" w:ascii="仿宋" w:hAnsi="仿宋" w:eastAsia="仿宋" w:cs="仿宋"/>
          <w:b w:val="0"/>
          <w:bCs/>
          <w:i w:val="0"/>
          <w:iCs w:val="0"/>
          <w:sz w:val="32"/>
          <w:szCs w:val="32"/>
          <w:highlight w:val="none"/>
        </w:rPr>
        <w:t>投标人无对在“信用中国”网站(www.creditchina.gov.cn)、中国政府采购网(www.ccgp.gov.cn)等渠道列入失信被执行人、重大税收违法案件当事人名单、政府采购严重违法失信行为记录名单的情况；</w:t>
      </w:r>
    </w:p>
    <w:p>
      <w:pPr>
        <w:pStyle w:val="7"/>
        <w:pageBreakBefore w:val="0"/>
        <w:tabs>
          <w:tab w:val="left" w:pos="7740"/>
        </w:tabs>
        <w:kinsoku/>
        <w:wordWrap/>
        <w:overflowPunct/>
        <w:topLinePunct w:val="0"/>
        <w:autoSpaceDE/>
        <w:autoSpaceDN/>
        <w:bidi w:val="0"/>
        <w:adjustRightInd w:val="0"/>
        <w:snapToGrid w:val="0"/>
        <w:spacing w:line="560" w:lineRule="exact"/>
        <w:ind w:firstLine="560"/>
        <w:textAlignment w:val="auto"/>
        <w:rPr>
          <w:rFonts w:hint="eastAsia" w:ascii="仿宋" w:hAnsi="仿宋" w:eastAsia="仿宋" w:cs="仿宋"/>
          <w:b w:val="0"/>
          <w:bCs/>
          <w:i w:val="0"/>
          <w:iCs w:val="0"/>
          <w:sz w:val="32"/>
          <w:szCs w:val="32"/>
          <w:highlight w:val="none"/>
        </w:rPr>
      </w:pPr>
      <w:r>
        <w:rPr>
          <w:rFonts w:hint="eastAsia" w:ascii="仿宋" w:hAnsi="仿宋" w:eastAsia="仿宋" w:cs="仿宋"/>
          <w:b w:val="0"/>
          <w:bCs/>
          <w:i w:val="0"/>
          <w:iCs w:val="0"/>
          <w:sz w:val="32"/>
          <w:szCs w:val="32"/>
          <w:highlight w:val="none"/>
        </w:rPr>
        <w:t>（</w:t>
      </w:r>
      <w:r>
        <w:rPr>
          <w:rFonts w:hint="eastAsia" w:ascii="仿宋" w:hAnsi="仿宋" w:eastAsia="仿宋" w:cs="仿宋"/>
          <w:b w:val="0"/>
          <w:bCs/>
          <w:i w:val="0"/>
          <w:iCs w:val="0"/>
          <w:sz w:val="32"/>
          <w:szCs w:val="32"/>
          <w:highlight w:val="none"/>
          <w:lang w:eastAsia="zh-CN"/>
        </w:rPr>
        <w:t>五</w:t>
      </w:r>
      <w:r>
        <w:rPr>
          <w:rFonts w:hint="eastAsia" w:ascii="仿宋" w:hAnsi="仿宋" w:eastAsia="仿宋" w:cs="仿宋"/>
          <w:b w:val="0"/>
          <w:bCs/>
          <w:i w:val="0"/>
          <w:iCs w:val="0"/>
          <w:sz w:val="32"/>
          <w:szCs w:val="32"/>
          <w:highlight w:val="none"/>
        </w:rPr>
        <w:t>）投标人如为与招标人合作的既往供应商，需满足招标人关于供应商的管理规定，同时既往三年内无重大事故、服务投诉或质量不符合记录；</w:t>
      </w:r>
    </w:p>
    <w:p>
      <w:pPr>
        <w:pStyle w:val="7"/>
        <w:pageBreakBefore w:val="0"/>
        <w:tabs>
          <w:tab w:val="left" w:pos="7740"/>
        </w:tabs>
        <w:kinsoku/>
        <w:wordWrap/>
        <w:overflowPunct/>
        <w:topLinePunct w:val="0"/>
        <w:autoSpaceDE/>
        <w:autoSpaceDN/>
        <w:bidi w:val="0"/>
        <w:adjustRightInd w:val="0"/>
        <w:snapToGrid w:val="0"/>
        <w:spacing w:line="560" w:lineRule="exact"/>
        <w:ind w:firstLine="560"/>
        <w:textAlignment w:val="auto"/>
        <w:rPr>
          <w:rFonts w:hint="eastAsia" w:ascii="仿宋" w:hAnsi="仿宋" w:eastAsia="仿宋" w:cs="仿宋"/>
          <w:b w:val="0"/>
          <w:bCs/>
          <w:i w:val="0"/>
          <w:iCs w:val="0"/>
          <w:sz w:val="32"/>
          <w:szCs w:val="32"/>
          <w:highlight w:val="none"/>
        </w:rPr>
      </w:pPr>
      <w:r>
        <w:rPr>
          <w:rFonts w:hint="eastAsia" w:ascii="仿宋" w:hAnsi="仿宋" w:eastAsia="仿宋" w:cs="仿宋"/>
          <w:b w:val="0"/>
          <w:bCs/>
          <w:i w:val="0"/>
          <w:iCs w:val="0"/>
          <w:sz w:val="32"/>
          <w:szCs w:val="32"/>
          <w:highlight w:val="none"/>
        </w:rPr>
        <w:t>（</w:t>
      </w:r>
      <w:r>
        <w:rPr>
          <w:rFonts w:hint="eastAsia" w:ascii="仿宋" w:hAnsi="仿宋" w:eastAsia="仿宋" w:cs="仿宋"/>
          <w:b w:val="0"/>
          <w:bCs/>
          <w:i w:val="0"/>
          <w:iCs w:val="0"/>
          <w:sz w:val="32"/>
          <w:szCs w:val="32"/>
          <w:highlight w:val="none"/>
          <w:lang w:eastAsia="zh-CN"/>
        </w:rPr>
        <w:t>六</w:t>
      </w:r>
      <w:r>
        <w:rPr>
          <w:rFonts w:hint="eastAsia" w:ascii="仿宋" w:hAnsi="仿宋" w:eastAsia="仿宋" w:cs="仿宋"/>
          <w:b w:val="0"/>
          <w:bCs/>
          <w:i w:val="0"/>
          <w:iCs w:val="0"/>
          <w:sz w:val="32"/>
          <w:szCs w:val="32"/>
          <w:highlight w:val="none"/>
        </w:rPr>
        <w:t>）投标人能够开具符合国家法律法规规定</w:t>
      </w:r>
      <w:r>
        <w:rPr>
          <w:rFonts w:hint="eastAsia" w:ascii="仿宋" w:hAnsi="仿宋" w:eastAsia="仿宋" w:cs="仿宋"/>
          <w:b w:val="0"/>
          <w:bCs/>
          <w:i w:val="0"/>
          <w:iCs w:val="0"/>
          <w:sz w:val="32"/>
          <w:szCs w:val="32"/>
          <w:highlight w:val="none"/>
          <w:lang w:eastAsia="zh-CN"/>
        </w:rPr>
        <w:t>票据。</w:t>
      </w:r>
    </w:p>
    <w:p>
      <w:pPr>
        <w:pStyle w:val="7"/>
        <w:pageBreakBefore w:val="0"/>
        <w:tabs>
          <w:tab w:val="left" w:pos="7740"/>
        </w:tabs>
        <w:kinsoku/>
        <w:wordWrap/>
        <w:overflowPunct/>
        <w:topLinePunct w:val="0"/>
        <w:autoSpaceDE/>
        <w:autoSpaceDN/>
        <w:bidi w:val="0"/>
        <w:adjustRightInd w:val="0"/>
        <w:snapToGrid w:val="0"/>
        <w:spacing w:line="560" w:lineRule="exact"/>
        <w:ind w:firstLine="560"/>
        <w:textAlignment w:val="auto"/>
        <w:rPr>
          <w:rFonts w:hint="eastAsia" w:ascii="仿宋" w:hAnsi="仿宋" w:eastAsia="仿宋" w:cs="仿宋"/>
          <w:b w:val="0"/>
          <w:bCs/>
          <w:i w:val="0"/>
          <w:iCs w:val="0"/>
          <w:kern w:val="2"/>
          <w:sz w:val="32"/>
          <w:szCs w:val="32"/>
          <w:highlight w:val="none"/>
        </w:rPr>
      </w:pPr>
      <w:r>
        <w:rPr>
          <w:rFonts w:hint="eastAsia" w:ascii="仿宋" w:hAnsi="仿宋" w:eastAsia="仿宋" w:cs="仿宋"/>
          <w:b w:val="0"/>
          <w:bCs/>
          <w:i w:val="0"/>
          <w:iCs w:val="0"/>
          <w:sz w:val="32"/>
          <w:szCs w:val="32"/>
          <w:highlight w:val="none"/>
        </w:rPr>
        <w:t>本项目不接受联合体竞标或分标段投标。</w:t>
      </w:r>
      <w:r>
        <w:rPr>
          <w:rFonts w:hint="eastAsia" w:ascii="仿宋" w:hAnsi="仿宋" w:eastAsia="仿宋" w:cs="仿宋"/>
          <w:b w:val="0"/>
          <w:bCs/>
          <w:i w:val="0"/>
          <w:iCs w:val="0"/>
          <w:kern w:val="2"/>
          <w:sz w:val="32"/>
          <w:szCs w:val="32"/>
          <w:highlight w:val="none"/>
        </w:rPr>
        <w:t>投标人应如实提供资质信息及随附证明文件，不得弄虚作假，提供虚假资质信息或虚假的随附证明文件一经查实，取消本项目投标资格，同时三年内不得参加招标人其他项目招标或采购。</w:t>
      </w:r>
    </w:p>
    <w:p>
      <w:pPr>
        <w:pStyle w:val="4"/>
        <w:pageBreakBefore w:val="0"/>
        <w:kinsoku/>
        <w:wordWrap/>
        <w:overflowPunct/>
        <w:topLinePunct w:val="0"/>
        <w:autoSpaceDE/>
        <w:autoSpaceDN/>
        <w:bidi w:val="0"/>
        <w:spacing w:line="560" w:lineRule="exact"/>
        <w:ind w:firstLine="560"/>
        <w:textAlignment w:val="auto"/>
        <w:rPr>
          <w:rFonts w:hint="eastAsia" w:ascii="黑体" w:hAnsi="黑体" w:eastAsia="黑体" w:cs="黑体"/>
          <w:b w:val="0"/>
          <w:bCs/>
          <w:sz w:val="32"/>
          <w:szCs w:val="32"/>
          <w:highlight w:val="none"/>
          <w:lang w:val="zh-CN"/>
        </w:rPr>
      </w:pPr>
      <w:bookmarkStart w:id="8" w:name="_Toc19708"/>
      <w:r>
        <w:rPr>
          <w:rFonts w:hint="eastAsia" w:ascii="黑体" w:hAnsi="黑体" w:eastAsia="黑体" w:cs="黑体"/>
          <w:b w:val="0"/>
          <w:bCs/>
          <w:sz w:val="32"/>
          <w:szCs w:val="32"/>
          <w:highlight w:val="none"/>
          <w:lang w:val="zh-CN"/>
        </w:rPr>
        <w:t>四、项目内容、服务需求及期限</w:t>
      </w:r>
      <w:bookmarkEnd w:id="8"/>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楷体" w:hAnsi="楷体" w:eastAsia="楷体" w:cs="楷体"/>
          <w:b w:val="0"/>
          <w:bCs/>
          <w:sz w:val="32"/>
          <w:szCs w:val="32"/>
          <w:highlight w:val="none"/>
        </w:rPr>
      </w:pPr>
      <w:bookmarkStart w:id="9" w:name="_Toc15949_WPSOffice_Level2"/>
      <w:r>
        <w:rPr>
          <w:rFonts w:hint="eastAsia" w:ascii="楷体" w:hAnsi="楷体" w:eastAsia="楷体" w:cs="楷体"/>
          <w:b w:val="0"/>
          <w:bCs/>
          <w:sz w:val="32"/>
          <w:szCs w:val="32"/>
          <w:highlight w:val="none"/>
        </w:rPr>
        <w:t>（一）项目内容</w:t>
      </w:r>
      <w:bookmarkEnd w:id="9"/>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为招标人指定员工在招标人指定时间内提供健康体检服务，出具体检报告及健康管理建议。</w:t>
      </w:r>
    </w:p>
    <w:p>
      <w:pPr>
        <w:pageBreakBefore w:val="0"/>
        <w:widowControl/>
        <w:numPr>
          <w:ilvl w:val="0"/>
          <w:numId w:val="1"/>
        </w:numPr>
        <w:kinsoku/>
        <w:wordWrap/>
        <w:overflowPunct/>
        <w:topLinePunct w:val="0"/>
        <w:autoSpaceDE/>
        <w:autoSpaceDN/>
        <w:bidi w:val="0"/>
        <w:snapToGrid w:val="0"/>
        <w:spacing w:line="560" w:lineRule="exact"/>
        <w:ind w:firstLine="640" w:firstLineChars="200"/>
        <w:jc w:val="left"/>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rPr>
        <w:t>项目需求</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1.</w:t>
      </w:r>
      <w:r>
        <w:rPr>
          <w:rFonts w:hint="eastAsia" w:ascii="仿宋" w:hAnsi="仿宋" w:eastAsia="仿宋" w:cs="仿宋"/>
          <w:b w:val="0"/>
          <w:bCs/>
          <w:sz w:val="32"/>
          <w:szCs w:val="32"/>
          <w:highlight w:val="none"/>
        </w:rPr>
        <w:t>投标人应为招标人员工提供便利的线上、线下体检预约渠道，同时设置合理体检服务期限，</w:t>
      </w:r>
      <w:r>
        <w:rPr>
          <w:rFonts w:hint="eastAsia" w:ascii="仿宋" w:hAnsi="仿宋" w:eastAsia="仿宋" w:cs="仿宋"/>
          <w:b w:val="0"/>
          <w:bCs/>
          <w:sz w:val="32"/>
          <w:szCs w:val="32"/>
          <w:highlight w:val="none"/>
          <w:lang w:eastAsia="zh-CN"/>
        </w:rPr>
        <w:t>在招标人员工集中预约的体检高峰期内预留企业专用通道，</w:t>
      </w:r>
      <w:r>
        <w:rPr>
          <w:rFonts w:hint="eastAsia" w:ascii="仿宋" w:hAnsi="仿宋" w:eastAsia="仿宋" w:cs="仿宋"/>
          <w:b w:val="0"/>
          <w:bCs/>
          <w:sz w:val="32"/>
          <w:szCs w:val="32"/>
          <w:highlight w:val="none"/>
        </w:rPr>
        <w:t>同时为逾期未能参加综合专场体检服务</w:t>
      </w:r>
      <w:r>
        <w:rPr>
          <w:rFonts w:hint="eastAsia" w:ascii="仿宋" w:hAnsi="仿宋" w:eastAsia="仿宋" w:cs="仿宋"/>
          <w:b w:val="0"/>
          <w:bCs/>
          <w:sz w:val="32"/>
          <w:szCs w:val="32"/>
          <w:highlight w:val="none"/>
          <w:lang w:eastAsia="zh-CN"/>
        </w:rPr>
        <w:t>的</w:t>
      </w:r>
      <w:r>
        <w:rPr>
          <w:rFonts w:hint="eastAsia" w:ascii="仿宋" w:hAnsi="仿宋" w:eastAsia="仿宋" w:cs="仿宋"/>
          <w:b w:val="0"/>
          <w:bCs/>
          <w:sz w:val="32"/>
          <w:szCs w:val="32"/>
          <w:highlight w:val="none"/>
        </w:rPr>
        <w:t>员工提供灵活、机动、合理的体检服务补检；</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2</w:t>
      </w:r>
      <w:r>
        <w:rPr>
          <w:rFonts w:hint="eastAsia" w:ascii="仿宋" w:hAnsi="仿宋" w:eastAsia="仿宋" w:cs="仿宋"/>
          <w:b w:val="0"/>
          <w:bCs/>
          <w:sz w:val="32"/>
          <w:szCs w:val="32"/>
          <w:highlight w:val="none"/>
        </w:rPr>
        <w:t>.投标人应为招标人</w:t>
      </w:r>
      <w:r>
        <w:rPr>
          <w:rFonts w:hint="eastAsia" w:ascii="仿宋" w:hAnsi="仿宋" w:eastAsia="仿宋" w:cs="仿宋"/>
          <w:b w:val="0"/>
          <w:bCs/>
          <w:sz w:val="32"/>
          <w:szCs w:val="32"/>
          <w:highlight w:val="none"/>
          <w:lang w:eastAsia="zh-CN"/>
        </w:rPr>
        <w:t>员工</w:t>
      </w:r>
      <w:r>
        <w:rPr>
          <w:rFonts w:hint="eastAsia" w:ascii="仿宋" w:hAnsi="仿宋" w:eastAsia="仿宋" w:cs="仿宋"/>
          <w:b w:val="0"/>
          <w:bCs/>
          <w:sz w:val="32"/>
          <w:szCs w:val="32"/>
          <w:highlight w:val="none"/>
        </w:rPr>
        <w:t>提供至少包含以下内容的随附服务：</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(1)</w:t>
      </w:r>
      <w:r>
        <w:rPr>
          <w:rFonts w:hint="eastAsia" w:ascii="仿宋" w:hAnsi="仿宋" w:eastAsia="仿宋" w:cs="仿宋"/>
          <w:b w:val="0"/>
          <w:bCs/>
          <w:sz w:val="32"/>
          <w:szCs w:val="32"/>
          <w:highlight w:val="none"/>
        </w:rPr>
        <w:t>个人纸质及电子版体检报告</w:t>
      </w:r>
      <w:r>
        <w:rPr>
          <w:rFonts w:hint="eastAsia" w:ascii="仿宋" w:hAnsi="仿宋" w:eastAsia="仿宋" w:cs="仿宋"/>
          <w:b w:val="0"/>
          <w:bCs/>
          <w:sz w:val="32"/>
          <w:szCs w:val="32"/>
          <w:highlight w:val="none"/>
          <w:lang w:eastAsia="zh-CN"/>
        </w:rPr>
        <w:t>以及基于体检结果的个人健康咨询解读</w:t>
      </w:r>
      <w:r>
        <w:rPr>
          <w:rFonts w:hint="eastAsia" w:ascii="仿宋" w:hAnsi="仿宋" w:eastAsia="仿宋" w:cs="仿宋"/>
          <w:b w:val="0"/>
          <w:bCs/>
          <w:sz w:val="32"/>
          <w:szCs w:val="32"/>
          <w:highlight w:val="none"/>
        </w:rPr>
        <w:t>；</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w:t>
      </w:r>
      <w:r>
        <w:rPr>
          <w:rFonts w:hint="eastAsia" w:ascii="仿宋" w:hAnsi="仿宋" w:eastAsia="仿宋" w:cs="仿宋"/>
          <w:b w:val="0"/>
          <w:bCs/>
          <w:sz w:val="32"/>
          <w:szCs w:val="32"/>
          <w:highlight w:val="none"/>
          <w:lang w:val="en-US" w:eastAsia="zh-CN"/>
        </w:rPr>
        <w:t>2</w:t>
      </w:r>
      <w:r>
        <w:rPr>
          <w:rFonts w:hint="eastAsia" w:ascii="仿宋" w:hAnsi="仿宋" w:eastAsia="仿宋" w:cs="仿宋"/>
          <w:b w:val="0"/>
          <w:bCs/>
          <w:sz w:val="32"/>
          <w:szCs w:val="32"/>
          <w:highlight w:val="none"/>
        </w:rPr>
        <w:t>)体检当日营养早餐；</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w:t>
      </w:r>
      <w:r>
        <w:rPr>
          <w:rFonts w:hint="eastAsia" w:ascii="仿宋" w:hAnsi="仿宋" w:eastAsia="仿宋" w:cs="仿宋"/>
          <w:b w:val="0"/>
          <w:bCs/>
          <w:sz w:val="32"/>
          <w:szCs w:val="32"/>
          <w:highlight w:val="none"/>
          <w:lang w:val="en-US" w:eastAsia="zh-CN"/>
        </w:rPr>
        <w:t>3</w:t>
      </w:r>
      <w:r>
        <w:rPr>
          <w:rFonts w:hint="eastAsia" w:ascii="仿宋" w:hAnsi="仿宋" w:eastAsia="仿宋" w:cs="仿宋"/>
          <w:b w:val="0"/>
          <w:bCs/>
          <w:sz w:val="32"/>
          <w:szCs w:val="32"/>
          <w:highlight w:val="none"/>
        </w:rPr>
        <w:t>)疑似肿瘤、癌症，重度心血管疾病，血液、血压、尿酸指标中度以上异常重大阳性结果或复查提示通知；</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val="en-US" w:eastAsia="zh-CN"/>
        </w:rPr>
        <w:t>3</w:t>
      </w:r>
      <w:r>
        <w:rPr>
          <w:rFonts w:hint="eastAsia" w:ascii="仿宋" w:hAnsi="仿宋" w:eastAsia="仿宋" w:cs="仿宋"/>
          <w:b w:val="0"/>
          <w:bCs/>
          <w:sz w:val="32"/>
          <w:szCs w:val="32"/>
          <w:highlight w:val="none"/>
        </w:rPr>
        <w:t>.投标人应为招标人提供</w:t>
      </w:r>
      <w:r>
        <w:rPr>
          <w:rFonts w:hint="eastAsia" w:ascii="仿宋" w:hAnsi="仿宋" w:eastAsia="仿宋" w:cs="仿宋"/>
          <w:b w:val="0"/>
          <w:bCs/>
          <w:sz w:val="32"/>
          <w:szCs w:val="32"/>
          <w:highlight w:val="none"/>
          <w:lang w:eastAsia="zh-CN"/>
        </w:rPr>
        <w:t>员工</w:t>
      </w:r>
      <w:r>
        <w:rPr>
          <w:rFonts w:hint="eastAsia" w:ascii="仿宋" w:hAnsi="仿宋" w:eastAsia="仿宋" w:cs="仿宋"/>
          <w:b w:val="0"/>
          <w:bCs/>
          <w:sz w:val="32"/>
          <w:szCs w:val="32"/>
          <w:highlight w:val="none"/>
        </w:rPr>
        <w:t>团体体检汇总报告</w:t>
      </w:r>
      <w:r>
        <w:rPr>
          <w:rFonts w:hint="eastAsia" w:ascii="仿宋" w:hAnsi="仿宋" w:eastAsia="仿宋" w:cs="仿宋"/>
          <w:b w:val="0"/>
          <w:bCs/>
          <w:sz w:val="32"/>
          <w:szCs w:val="32"/>
          <w:highlight w:val="none"/>
          <w:lang w:eastAsia="zh-CN"/>
        </w:rPr>
        <w:t>；</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val="en-US" w:eastAsia="zh-CN"/>
        </w:rPr>
        <w:t>4.</w:t>
      </w:r>
      <w:r>
        <w:rPr>
          <w:rFonts w:hint="eastAsia" w:ascii="仿宋" w:hAnsi="仿宋" w:eastAsia="仿宋" w:cs="仿宋"/>
          <w:b w:val="0"/>
          <w:bCs/>
          <w:sz w:val="32"/>
          <w:szCs w:val="32"/>
          <w:highlight w:val="none"/>
        </w:rPr>
        <w:t>在满足以上服务需求的同时，投标人需根据招标文件所示限价情况</w:t>
      </w:r>
      <w:r>
        <w:rPr>
          <w:rFonts w:hint="eastAsia" w:ascii="仿宋" w:hAnsi="仿宋" w:eastAsia="仿宋" w:cs="仿宋"/>
          <w:b w:val="0"/>
          <w:bCs/>
          <w:sz w:val="32"/>
          <w:szCs w:val="32"/>
          <w:highlight w:val="none"/>
          <w:lang w:val="en-US" w:eastAsia="zh-CN"/>
        </w:rPr>
        <w:t>,</w:t>
      </w:r>
      <w:r>
        <w:rPr>
          <w:rFonts w:hint="eastAsia" w:ascii="仿宋" w:hAnsi="仿宋" w:eastAsia="仿宋" w:cs="仿宋"/>
          <w:b w:val="0"/>
          <w:bCs/>
          <w:sz w:val="32"/>
          <w:szCs w:val="32"/>
          <w:highlight w:val="none"/>
          <w:lang w:eastAsia="zh-CN"/>
        </w:rPr>
        <w:t>根据邀请投标公告</w:t>
      </w:r>
      <w:r>
        <w:rPr>
          <w:rFonts w:hint="eastAsia" w:ascii="仿宋" w:hAnsi="仿宋" w:eastAsia="仿宋" w:cs="仿宋"/>
          <w:b w:val="0"/>
          <w:bCs/>
          <w:sz w:val="32"/>
          <w:szCs w:val="32"/>
          <w:highlight w:val="none"/>
          <w:lang w:val="en-US" w:eastAsia="zh-CN"/>
        </w:rPr>
        <w:t xml:space="preserve"> </w:t>
      </w:r>
      <w:r>
        <w:rPr>
          <w:rFonts w:hint="eastAsia" w:ascii="仿宋" w:hAnsi="仿宋" w:eastAsia="仿宋" w:cs="仿宋"/>
          <w:b w:val="0"/>
          <w:bCs/>
          <w:sz w:val="32"/>
          <w:szCs w:val="32"/>
          <w:highlight w:val="none"/>
          <w:lang w:eastAsia="zh-CN"/>
        </w:rPr>
        <w:t>附件</w:t>
      </w:r>
      <w:r>
        <w:rPr>
          <w:rFonts w:hint="eastAsia" w:ascii="仿宋" w:hAnsi="仿宋" w:eastAsia="仿宋" w:cs="仿宋"/>
          <w:b w:val="0"/>
          <w:bCs/>
          <w:sz w:val="32"/>
          <w:szCs w:val="32"/>
          <w:highlight w:val="none"/>
          <w:lang w:val="en-US" w:eastAsia="zh-CN"/>
        </w:rPr>
        <w:t>3 《深圳市鹏劳人力资源管理有限公司2022年度员工健康体检服务采购项目（二次）体检方案及报价表》</w:t>
      </w:r>
      <w:r>
        <w:rPr>
          <w:rFonts w:hint="eastAsia" w:ascii="仿宋" w:hAnsi="仿宋" w:eastAsia="仿宋" w:cs="仿宋"/>
          <w:b w:val="0"/>
          <w:bCs/>
          <w:sz w:val="32"/>
          <w:szCs w:val="32"/>
          <w:highlight w:val="none"/>
        </w:rPr>
        <w:t>所示</w:t>
      </w:r>
      <w:r>
        <w:rPr>
          <w:rFonts w:hint="eastAsia" w:ascii="仿宋" w:hAnsi="仿宋" w:eastAsia="仿宋" w:cs="仿宋"/>
          <w:b w:val="0"/>
          <w:bCs/>
          <w:sz w:val="32"/>
          <w:szCs w:val="32"/>
          <w:highlight w:val="none"/>
          <w:lang w:eastAsia="zh-CN"/>
        </w:rPr>
        <w:t>体检</w:t>
      </w:r>
      <w:r>
        <w:rPr>
          <w:rFonts w:hint="eastAsia" w:ascii="仿宋" w:hAnsi="仿宋" w:eastAsia="仿宋" w:cs="仿宋"/>
          <w:b w:val="0"/>
          <w:bCs/>
          <w:sz w:val="32"/>
          <w:szCs w:val="32"/>
          <w:highlight w:val="none"/>
        </w:rPr>
        <w:t>项目基础上自行增加</w:t>
      </w:r>
      <w:r>
        <w:rPr>
          <w:rFonts w:hint="eastAsia" w:ascii="仿宋" w:hAnsi="仿宋" w:eastAsia="仿宋" w:cs="仿宋"/>
          <w:b w:val="0"/>
          <w:bCs/>
          <w:sz w:val="32"/>
          <w:szCs w:val="32"/>
          <w:highlight w:val="none"/>
          <w:lang w:eastAsia="zh-CN"/>
        </w:rPr>
        <w:t>体检科目</w:t>
      </w:r>
      <w:r>
        <w:rPr>
          <w:rFonts w:hint="eastAsia" w:ascii="仿宋" w:hAnsi="仿宋" w:eastAsia="仿宋" w:cs="仿宋"/>
          <w:b w:val="0"/>
          <w:bCs/>
          <w:sz w:val="32"/>
          <w:szCs w:val="32"/>
          <w:highlight w:val="none"/>
        </w:rPr>
        <w:t>或提出更优方案并</w:t>
      </w:r>
      <w:r>
        <w:rPr>
          <w:rFonts w:hint="eastAsia" w:ascii="仿宋" w:hAnsi="仿宋" w:eastAsia="仿宋" w:cs="仿宋"/>
          <w:b w:val="0"/>
          <w:bCs/>
          <w:sz w:val="32"/>
          <w:szCs w:val="32"/>
          <w:highlight w:val="none"/>
          <w:lang w:eastAsia="zh-CN"/>
        </w:rPr>
        <w:t>按该表格式</w:t>
      </w:r>
      <w:r>
        <w:rPr>
          <w:rFonts w:hint="eastAsia" w:ascii="仿宋" w:hAnsi="仿宋" w:eastAsia="仿宋" w:cs="仿宋"/>
          <w:b w:val="0"/>
          <w:bCs/>
          <w:sz w:val="32"/>
          <w:szCs w:val="32"/>
          <w:highlight w:val="none"/>
        </w:rPr>
        <w:t>出具报价，不得减少基准项目或降低标准，低于</w:t>
      </w:r>
      <w:r>
        <w:rPr>
          <w:rFonts w:hint="eastAsia" w:ascii="仿宋" w:hAnsi="仿宋" w:eastAsia="仿宋" w:cs="仿宋"/>
          <w:b w:val="0"/>
          <w:bCs/>
          <w:sz w:val="32"/>
          <w:szCs w:val="32"/>
          <w:highlight w:val="none"/>
          <w:lang w:eastAsia="zh-CN"/>
        </w:rPr>
        <w:t>报价表所示体检</w:t>
      </w:r>
      <w:r>
        <w:rPr>
          <w:rFonts w:hint="eastAsia" w:ascii="仿宋" w:hAnsi="仿宋" w:eastAsia="仿宋" w:cs="仿宋"/>
          <w:b w:val="0"/>
          <w:bCs/>
          <w:sz w:val="32"/>
          <w:szCs w:val="32"/>
          <w:highlight w:val="none"/>
        </w:rPr>
        <w:t>标准</w:t>
      </w:r>
      <w:r>
        <w:rPr>
          <w:rFonts w:hint="eastAsia" w:ascii="仿宋" w:hAnsi="仿宋" w:eastAsia="仿宋" w:cs="仿宋"/>
          <w:b w:val="0"/>
          <w:bCs/>
          <w:sz w:val="32"/>
          <w:szCs w:val="32"/>
          <w:highlight w:val="none"/>
          <w:lang w:eastAsia="zh-CN"/>
        </w:rPr>
        <w:t>的</w:t>
      </w:r>
      <w:r>
        <w:rPr>
          <w:rFonts w:hint="eastAsia" w:ascii="仿宋" w:hAnsi="仿宋" w:eastAsia="仿宋" w:cs="仿宋"/>
          <w:b w:val="0"/>
          <w:bCs/>
          <w:sz w:val="32"/>
          <w:szCs w:val="32"/>
          <w:highlight w:val="none"/>
        </w:rPr>
        <w:t>报价文件</w:t>
      </w:r>
      <w:r>
        <w:rPr>
          <w:rFonts w:hint="eastAsia" w:ascii="仿宋" w:hAnsi="仿宋" w:eastAsia="仿宋" w:cs="仿宋"/>
          <w:b w:val="0"/>
          <w:bCs/>
          <w:sz w:val="32"/>
          <w:szCs w:val="32"/>
          <w:highlight w:val="none"/>
          <w:lang w:eastAsia="zh-CN"/>
        </w:rPr>
        <w:t>视为投标无效。</w:t>
      </w:r>
    </w:p>
    <w:p>
      <w:pPr>
        <w:pageBreakBefore w:val="0"/>
        <w:widowControl/>
        <w:kinsoku/>
        <w:wordWrap/>
        <w:overflowPunct/>
        <w:topLinePunct w:val="0"/>
        <w:autoSpaceDE/>
        <w:autoSpaceDN/>
        <w:bidi w:val="0"/>
        <w:snapToGrid w:val="0"/>
        <w:spacing w:line="560" w:lineRule="exact"/>
        <w:ind w:left="473" w:leftChars="225"/>
        <w:jc w:val="left"/>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rPr>
        <w:t>（三）项目期限</w:t>
      </w:r>
    </w:p>
    <w:p>
      <w:pPr>
        <w:pageBreakBefore w:val="0"/>
        <w:widowControl/>
        <w:kinsoku/>
        <w:wordWrap/>
        <w:overflowPunct/>
        <w:topLinePunct w:val="0"/>
        <w:autoSpaceDE/>
        <w:autoSpaceDN/>
        <w:bidi w:val="0"/>
        <w:snapToGrid w:val="0"/>
        <w:spacing w:line="560" w:lineRule="exact"/>
        <w:ind w:firstLine="617" w:firstLineChars="193"/>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rPr>
        <w:t>本项目期限为订立合同之日起至招标人指定</w:t>
      </w:r>
      <w:r>
        <w:rPr>
          <w:rFonts w:hint="eastAsia" w:ascii="仿宋" w:hAnsi="仿宋" w:eastAsia="仿宋" w:cs="仿宋"/>
          <w:b w:val="0"/>
          <w:bCs/>
          <w:sz w:val="32"/>
          <w:szCs w:val="32"/>
          <w:highlight w:val="none"/>
          <w:lang w:eastAsia="zh-CN"/>
        </w:rPr>
        <w:t>员工</w:t>
      </w:r>
      <w:r>
        <w:rPr>
          <w:rFonts w:hint="eastAsia" w:ascii="仿宋" w:hAnsi="仿宋" w:eastAsia="仿宋" w:cs="仿宋"/>
          <w:b w:val="0"/>
          <w:bCs/>
          <w:sz w:val="32"/>
          <w:szCs w:val="32"/>
          <w:highlight w:val="none"/>
        </w:rPr>
        <w:t>年度</w:t>
      </w:r>
      <w:r>
        <w:rPr>
          <w:rFonts w:hint="eastAsia" w:ascii="仿宋" w:hAnsi="仿宋" w:eastAsia="仿宋" w:cs="仿宋"/>
          <w:b w:val="0"/>
          <w:bCs/>
          <w:sz w:val="32"/>
          <w:szCs w:val="32"/>
          <w:highlight w:val="none"/>
          <w:lang w:eastAsia="zh-CN"/>
        </w:rPr>
        <w:t>健康</w:t>
      </w:r>
      <w:r>
        <w:rPr>
          <w:rFonts w:hint="eastAsia" w:ascii="仿宋" w:hAnsi="仿宋" w:eastAsia="仿宋" w:cs="仿宋"/>
          <w:b w:val="0"/>
          <w:bCs/>
          <w:sz w:val="32"/>
          <w:szCs w:val="32"/>
          <w:highlight w:val="none"/>
        </w:rPr>
        <w:t>体检全部完成</w:t>
      </w:r>
      <w:r>
        <w:rPr>
          <w:rFonts w:hint="eastAsia" w:ascii="仿宋" w:hAnsi="仿宋" w:eastAsia="仿宋" w:cs="仿宋"/>
          <w:b w:val="0"/>
          <w:bCs/>
          <w:sz w:val="32"/>
          <w:szCs w:val="32"/>
          <w:highlight w:val="none"/>
          <w:lang w:eastAsia="zh-CN"/>
        </w:rPr>
        <w:t>，招标人员工自行放弃体检的情况除外。</w:t>
      </w:r>
    </w:p>
    <w:p>
      <w:pPr>
        <w:pStyle w:val="4"/>
        <w:pageBreakBefore w:val="0"/>
        <w:kinsoku/>
        <w:wordWrap/>
        <w:overflowPunct/>
        <w:topLinePunct w:val="0"/>
        <w:autoSpaceDE/>
        <w:autoSpaceDN/>
        <w:bidi w:val="0"/>
        <w:spacing w:line="560" w:lineRule="exact"/>
        <w:ind w:firstLine="560"/>
        <w:textAlignment w:val="auto"/>
        <w:rPr>
          <w:rFonts w:hint="eastAsia" w:ascii="黑体" w:hAnsi="黑体" w:eastAsia="黑体" w:cs="黑体"/>
          <w:b w:val="0"/>
          <w:bCs/>
          <w:sz w:val="32"/>
          <w:szCs w:val="32"/>
          <w:highlight w:val="none"/>
          <w:lang w:eastAsia="zh-CN"/>
        </w:rPr>
      </w:pPr>
      <w:bookmarkStart w:id="10" w:name="_Toc15995"/>
      <w:r>
        <w:rPr>
          <w:rFonts w:hint="eastAsia" w:ascii="黑体" w:hAnsi="黑体" w:eastAsia="黑体" w:cs="黑体"/>
          <w:b w:val="0"/>
          <w:bCs/>
          <w:sz w:val="32"/>
          <w:szCs w:val="32"/>
          <w:highlight w:val="none"/>
        </w:rPr>
        <w:t>五、项目总限价</w:t>
      </w:r>
      <w:r>
        <w:rPr>
          <w:rFonts w:hint="eastAsia" w:ascii="黑体" w:hAnsi="黑体" w:eastAsia="黑体" w:cs="黑体"/>
          <w:b w:val="0"/>
          <w:bCs/>
          <w:sz w:val="32"/>
          <w:szCs w:val="32"/>
          <w:highlight w:val="none"/>
          <w:lang w:eastAsia="zh-CN"/>
        </w:rPr>
        <w:t>及预估体检人数</w:t>
      </w:r>
      <w:bookmarkEnd w:id="10"/>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1.本项目总限价为人民币</w:t>
      </w:r>
      <w:r>
        <w:rPr>
          <w:rFonts w:hint="eastAsia" w:ascii="仿宋" w:hAnsi="仿宋" w:eastAsia="仿宋" w:cs="仿宋"/>
          <w:b w:val="0"/>
          <w:bCs/>
          <w:sz w:val="32"/>
          <w:szCs w:val="32"/>
          <w:highlight w:val="none"/>
          <w:lang w:val="en-US" w:eastAsia="zh-CN"/>
        </w:rPr>
        <w:t>35万</w:t>
      </w:r>
      <w:r>
        <w:rPr>
          <w:rFonts w:hint="eastAsia" w:ascii="仿宋" w:hAnsi="仿宋" w:eastAsia="仿宋" w:cs="仿宋"/>
          <w:b w:val="0"/>
          <w:bCs/>
          <w:sz w:val="32"/>
          <w:szCs w:val="32"/>
          <w:highlight w:val="none"/>
        </w:rPr>
        <w:t>元；</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val="en-US" w:eastAsia="zh-CN"/>
        </w:rPr>
        <w:t>2.本项目预估体检人数约为143人，该数据仅作为投标人投标的参照因素，不作为招标人对中标人的合同承诺，实际到检人数根据投标人员工个人意愿、身体状况及其他客观因素影响可能存在变化；</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default"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val="en-US" w:eastAsia="zh-CN"/>
        </w:rPr>
        <w:t>3.本项目按照实际参加体检人员实际选择实施的体检项目据实收费，对本项目的响应视同投标人对本需求做出承诺。</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投标人应于报价文件中明确列示各</w:t>
      </w:r>
      <w:r>
        <w:rPr>
          <w:rFonts w:hint="eastAsia" w:ascii="仿宋" w:hAnsi="仿宋" w:eastAsia="仿宋" w:cs="仿宋"/>
          <w:b w:val="0"/>
          <w:bCs/>
          <w:sz w:val="32"/>
          <w:szCs w:val="32"/>
          <w:highlight w:val="none"/>
          <w:lang w:eastAsia="zh-CN"/>
        </w:rPr>
        <w:t>体检项目</w:t>
      </w:r>
      <w:r>
        <w:rPr>
          <w:rFonts w:hint="eastAsia" w:ascii="仿宋" w:hAnsi="仿宋" w:eastAsia="仿宋" w:cs="仿宋"/>
          <w:b w:val="0"/>
          <w:bCs/>
          <w:sz w:val="32"/>
          <w:szCs w:val="32"/>
          <w:highlight w:val="none"/>
        </w:rPr>
        <w:t>单价</w:t>
      </w:r>
      <w:r>
        <w:rPr>
          <w:rFonts w:hint="eastAsia" w:ascii="仿宋" w:hAnsi="仿宋" w:eastAsia="仿宋" w:cs="仿宋"/>
          <w:b w:val="0"/>
          <w:bCs/>
          <w:sz w:val="32"/>
          <w:szCs w:val="32"/>
          <w:highlight w:val="none"/>
          <w:lang w:eastAsia="zh-CN"/>
        </w:rPr>
        <w:t>，并根据预估人数计算得出</w:t>
      </w:r>
      <w:r>
        <w:rPr>
          <w:rFonts w:hint="eastAsia" w:ascii="仿宋" w:hAnsi="仿宋" w:eastAsia="仿宋" w:cs="仿宋"/>
          <w:b w:val="0"/>
          <w:bCs/>
          <w:sz w:val="32"/>
          <w:szCs w:val="32"/>
          <w:highlight w:val="none"/>
        </w:rPr>
        <w:t>项目总价，总价超出</w:t>
      </w:r>
      <w:r>
        <w:rPr>
          <w:rFonts w:hint="eastAsia" w:ascii="仿宋" w:hAnsi="仿宋" w:eastAsia="仿宋" w:cs="仿宋"/>
          <w:b w:val="0"/>
          <w:bCs/>
          <w:sz w:val="32"/>
          <w:szCs w:val="32"/>
          <w:highlight w:val="none"/>
          <w:lang w:eastAsia="zh-CN"/>
        </w:rPr>
        <w:t>项目总限价金额将导致投标无效</w:t>
      </w:r>
      <w:r>
        <w:rPr>
          <w:rFonts w:hint="eastAsia" w:ascii="仿宋" w:hAnsi="仿宋" w:eastAsia="仿宋" w:cs="仿宋"/>
          <w:b w:val="0"/>
          <w:bCs/>
          <w:sz w:val="32"/>
          <w:szCs w:val="32"/>
          <w:highlight w:val="none"/>
        </w:rPr>
        <w:t>。</w:t>
      </w:r>
    </w:p>
    <w:p>
      <w:pPr>
        <w:pStyle w:val="4"/>
        <w:pageBreakBefore w:val="0"/>
        <w:kinsoku/>
        <w:wordWrap/>
        <w:overflowPunct/>
        <w:topLinePunct w:val="0"/>
        <w:autoSpaceDE/>
        <w:autoSpaceDN/>
        <w:bidi w:val="0"/>
        <w:spacing w:line="560" w:lineRule="exact"/>
        <w:ind w:firstLine="560"/>
        <w:textAlignment w:val="auto"/>
        <w:rPr>
          <w:rFonts w:hint="eastAsia" w:ascii="黑体" w:hAnsi="黑体" w:eastAsia="黑体" w:cs="黑体"/>
          <w:b w:val="0"/>
          <w:bCs/>
          <w:sz w:val="32"/>
          <w:szCs w:val="32"/>
          <w:highlight w:val="none"/>
        </w:rPr>
      </w:pPr>
      <w:bookmarkStart w:id="11" w:name="_Toc23062"/>
      <w:r>
        <w:rPr>
          <w:rFonts w:hint="eastAsia" w:ascii="黑体" w:hAnsi="黑体" w:eastAsia="黑体" w:cs="黑体"/>
          <w:b w:val="0"/>
          <w:bCs/>
          <w:sz w:val="32"/>
          <w:szCs w:val="32"/>
          <w:highlight w:val="none"/>
        </w:rPr>
        <w:t>六、投标文件要求</w:t>
      </w:r>
      <w:bookmarkEnd w:id="11"/>
    </w:p>
    <w:p>
      <w:pPr>
        <w:pageBreakBefore w:val="0"/>
        <w:widowControl/>
        <w:kinsoku/>
        <w:wordWrap/>
        <w:overflowPunct/>
        <w:topLinePunct w:val="0"/>
        <w:autoSpaceDE/>
        <w:autoSpaceDN/>
        <w:bidi w:val="0"/>
        <w:snapToGrid w:val="0"/>
        <w:spacing w:line="560" w:lineRule="exact"/>
        <w:ind w:firstLine="729" w:firstLineChars="228"/>
        <w:jc w:val="left"/>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rPr>
        <w:t>（一）投标文件构成</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1.唱标信封及开标一览表</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(1)唱标信封</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用以密封开标一览表，信封格式见“招标文件 第四章 投标文件格式 格式1 唱标信封”；</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(2)开标一览表</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用唱标信封单独封装，与投标文件一并递交，一览表指定格式见“第四章 投标文件格式 格式2 开标一览表”。</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2.投标文件</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(1)资质证明文件</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投标人资质证明文件应按以下顺序排序：</w:t>
      </w:r>
    </w:p>
    <w:p>
      <w:pPr>
        <w:keepNext w:val="0"/>
        <w:keepLines w:val="0"/>
        <w:pageBreakBefore w:val="0"/>
        <w:widowControl/>
        <w:numPr>
          <w:ilvl w:val="0"/>
          <w:numId w:val="2"/>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事业单位法人证书</w:t>
      </w:r>
      <w:r>
        <w:rPr>
          <w:rFonts w:hint="eastAsia" w:ascii="仿宋" w:hAnsi="仿宋" w:eastAsia="仿宋" w:cs="仿宋"/>
          <w:b w:val="0"/>
          <w:bCs/>
          <w:sz w:val="32"/>
          <w:szCs w:val="32"/>
          <w:highlight w:val="none"/>
        </w:rPr>
        <w:t>（加盖公章）</w:t>
      </w:r>
    </w:p>
    <w:p>
      <w:pPr>
        <w:keepNext w:val="0"/>
        <w:keepLines w:val="0"/>
        <w:pageBreakBefore w:val="0"/>
        <w:widowControl/>
        <w:numPr>
          <w:ilvl w:val="0"/>
          <w:numId w:val="2"/>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中华人民共和国医疗经营许可证</w:t>
      </w:r>
    </w:p>
    <w:p>
      <w:pPr>
        <w:keepNext w:val="0"/>
        <w:keepLines w:val="0"/>
        <w:pageBreakBefore w:val="0"/>
        <w:widowControl/>
        <w:numPr>
          <w:ilvl w:val="0"/>
          <w:numId w:val="2"/>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三级甲等医院资质证明</w:t>
      </w:r>
    </w:p>
    <w:p>
      <w:pPr>
        <w:keepNext w:val="0"/>
        <w:keepLines w:val="0"/>
        <w:pageBreakBefore w:val="0"/>
        <w:widowControl/>
        <w:numPr>
          <w:ilvl w:val="0"/>
          <w:numId w:val="2"/>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法人授权委托书原件或同等效力的授权证明文件（加盖公章）</w:t>
      </w:r>
    </w:p>
    <w:p>
      <w:pPr>
        <w:keepNext w:val="0"/>
        <w:keepLines w:val="0"/>
        <w:pageBreakBefore w:val="0"/>
        <w:widowControl/>
        <w:numPr>
          <w:ilvl w:val="0"/>
          <w:numId w:val="2"/>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被委托人身份证复印件（加盖公章）</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(2)价格文件</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格式参见本文件“</w:t>
      </w:r>
      <w:r>
        <w:rPr>
          <w:rFonts w:hint="eastAsia" w:ascii="仿宋" w:hAnsi="仿宋" w:eastAsia="仿宋" w:cs="仿宋"/>
          <w:b w:val="0"/>
          <w:bCs/>
          <w:sz w:val="32"/>
          <w:szCs w:val="32"/>
          <w:highlight w:val="none"/>
          <w:lang w:eastAsia="zh-CN"/>
        </w:rPr>
        <w:t>招标文件</w:t>
      </w:r>
      <w:r>
        <w:rPr>
          <w:rFonts w:hint="eastAsia" w:ascii="仿宋" w:hAnsi="仿宋" w:eastAsia="仿宋" w:cs="仿宋"/>
          <w:b w:val="0"/>
          <w:bCs/>
          <w:sz w:val="32"/>
          <w:szCs w:val="32"/>
          <w:highlight w:val="none"/>
        </w:rPr>
        <w:t xml:space="preserve"> 第四章 投标文件格式 格式</w:t>
      </w:r>
      <w:r>
        <w:rPr>
          <w:rFonts w:hint="eastAsia" w:ascii="仿宋" w:hAnsi="仿宋" w:eastAsia="仿宋" w:cs="仿宋"/>
          <w:b w:val="0"/>
          <w:bCs/>
          <w:sz w:val="32"/>
          <w:szCs w:val="32"/>
          <w:highlight w:val="none"/>
          <w:lang w:val="en-US" w:eastAsia="zh-CN"/>
        </w:rPr>
        <w:t>3</w:t>
      </w:r>
      <w:r>
        <w:rPr>
          <w:rFonts w:hint="eastAsia" w:ascii="仿宋" w:hAnsi="仿宋" w:eastAsia="仿宋" w:cs="仿宋"/>
          <w:b w:val="0"/>
          <w:bCs/>
          <w:sz w:val="32"/>
          <w:szCs w:val="32"/>
          <w:highlight w:val="none"/>
        </w:rPr>
        <w:t xml:space="preserve"> 报</w:t>
      </w:r>
      <w:r>
        <w:rPr>
          <w:rFonts w:hint="eastAsia" w:ascii="仿宋" w:hAnsi="仿宋" w:eastAsia="仿宋" w:cs="仿宋"/>
          <w:b w:val="0"/>
          <w:bCs/>
          <w:sz w:val="32"/>
          <w:szCs w:val="32"/>
          <w:highlight w:val="none"/>
          <w:lang w:eastAsia="zh-CN"/>
        </w:rPr>
        <w:t>体检方案及</w:t>
      </w:r>
      <w:r>
        <w:rPr>
          <w:rFonts w:hint="eastAsia" w:ascii="仿宋" w:hAnsi="仿宋" w:eastAsia="仿宋" w:cs="仿宋"/>
          <w:b w:val="0"/>
          <w:bCs/>
          <w:sz w:val="32"/>
          <w:szCs w:val="32"/>
          <w:highlight w:val="none"/>
        </w:rPr>
        <w:t>报价表”。</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(3)商务技术文件</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1)评标标准及细则内要求提供的证明文件（按“</w:t>
      </w:r>
      <w:r>
        <w:rPr>
          <w:rFonts w:hint="eastAsia" w:ascii="仿宋" w:hAnsi="仿宋" w:eastAsia="仿宋" w:cs="仿宋"/>
          <w:b w:val="0"/>
          <w:bCs/>
          <w:sz w:val="32"/>
          <w:szCs w:val="32"/>
          <w:highlight w:val="none"/>
          <w:lang w:eastAsia="zh-CN"/>
        </w:rPr>
        <w:t>招标文件</w:t>
      </w:r>
      <w:r>
        <w:rPr>
          <w:rFonts w:hint="eastAsia" w:ascii="仿宋" w:hAnsi="仿宋" w:eastAsia="仿宋" w:cs="仿宋"/>
          <w:b w:val="0"/>
          <w:bCs/>
          <w:sz w:val="32"/>
          <w:szCs w:val="32"/>
          <w:highlight w:val="none"/>
        </w:rPr>
        <w:t xml:space="preserve"> 第二章 评标程序及标准”内各评分项列示顺序排序并加盖公章）；</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2)服务方案</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服务方案应包括以下内容：</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A.与报价表</w:t>
      </w:r>
      <w:r>
        <w:rPr>
          <w:rFonts w:hint="eastAsia" w:ascii="仿宋" w:hAnsi="仿宋" w:eastAsia="仿宋" w:cs="仿宋"/>
          <w:b w:val="0"/>
          <w:bCs/>
          <w:sz w:val="32"/>
          <w:szCs w:val="32"/>
          <w:highlight w:val="none"/>
          <w:lang w:eastAsia="zh-CN"/>
        </w:rPr>
        <w:t>格式</w:t>
      </w:r>
      <w:r>
        <w:rPr>
          <w:rFonts w:hint="eastAsia" w:ascii="仿宋" w:hAnsi="仿宋" w:eastAsia="仿宋" w:cs="仿宋"/>
          <w:b w:val="0"/>
          <w:bCs/>
          <w:sz w:val="32"/>
          <w:szCs w:val="32"/>
          <w:highlight w:val="none"/>
        </w:rPr>
        <w:t>体检项目清单，格式参见“</w:t>
      </w:r>
      <w:r>
        <w:rPr>
          <w:rFonts w:hint="eastAsia" w:ascii="仿宋" w:hAnsi="仿宋" w:eastAsia="仿宋" w:cs="仿宋"/>
          <w:b w:val="0"/>
          <w:bCs/>
          <w:sz w:val="32"/>
          <w:szCs w:val="32"/>
          <w:highlight w:val="none"/>
          <w:lang w:eastAsia="zh-CN"/>
        </w:rPr>
        <w:t>邀请投标公告附件</w:t>
      </w:r>
      <w:r>
        <w:rPr>
          <w:rFonts w:hint="eastAsia" w:ascii="仿宋" w:hAnsi="仿宋" w:eastAsia="仿宋" w:cs="仿宋"/>
          <w:b w:val="0"/>
          <w:bCs/>
          <w:sz w:val="32"/>
          <w:szCs w:val="32"/>
          <w:highlight w:val="none"/>
          <w:lang w:val="en-US" w:eastAsia="zh-CN"/>
        </w:rPr>
        <w:t>3《深圳市鹏劳人力资源管理有限公司2022年度员工健康体检服务采购项目（二次）体检方案及报价表》”</w:t>
      </w:r>
      <w:r>
        <w:rPr>
          <w:rFonts w:hint="eastAsia" w:ascii="仿宋" w:hAnsi="仿宋" w:eastAsia="仿宋" w:cs="仿宋"/>
          <w:b w:val="0"/>
          <w:bCs/>
          <w:sz w:val="32"/>
          <w:szCs w:val="32"/>
          <w:highlight w:val="none"/>
        </w:rPr>
        <w:t>，投标人在基准项目要求上另行增加体检项目或随附服务的，</w:t>
      </w:r>
      <w:r>
        <w:rPr>
          <w:rFonts w:hint="eastAsia" w:ascii="仿宋" w:hAnsi="仿宋" w:eastAsia="仿宋" w:cs="仿宋"/>
          <w:b w:val="0"/>
          <w:bCs/>
          <w:sz w:val="32"/>
          <w:szCs w:val="32"/>
          <w:highlight w:val="none"/>
          <w:lang w:eastAsia="zh-CN"/>
        </w:rPr>
        <w:t>表内列</w:t>
      </w:r>
      <w:r>
        <w:rPr>
          <w:rFonts w:hint="eastAsia" w:ascii="仿宋" w:hAnsi="仿宋" w:eastAsia="仿宋" w:cs="仿宋"/>
          <w:b w:val="0"/>
          <w:bCs/>
          <w:sz w:val="32"/>
          <w:szCs w:val="32"/>
          <w:highlight w:val="none"/>
        </w:rPr>
        <w:t>示说明；</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B.除招标文件要求外，投标人另行承诺的</w:t>
      </w:r>
      <w:r>
        <w:rPr>
          <w:rFonts w:hint="eastAsia" w:ascii="仿宋" w:hAnsi="仿宋" w:eastAsia="仿宋" w:cs="仿宋"/>
          <w:b w:val="0"/>
          <w:bCs/>
          <w:sz w:val="32"/>
          <w:szCs w:val="32"/>
          <w:highlight w:val="none"/>
          <w:lang w:eastAsia="zh-CN"/>
        </w:rPr>
        <w:t>增值</w:t>
      </w:r>
      <w:r>
        <w:rPr>
          <w:rFonts w:hint="eastAsia" w:ascii="仿宋" w:hAnsi="仿宋" w:eastAsia="仿宋" w:cs="仿宋"/>
          <w:b w:val="0"/>
          <w:bCs/>
          <w:sz w:val="32"/>
          <w:szCs w:val="32"/>
          <w:highlight w:val="none"/>
        </w:rPr>
        <w:t>服务；</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C.服务有效期；</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D.其他投标人认为需要说明的事项；</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3)商务技术要求响应清单</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投标人应制作与服务方案一致，按照“</w:t>
      </w:r>
      <w:r>
        <w:rPr>
          <w:rFonts w:hint="eastAsia" w:ascii="仿宋" w:hAnsi="仿宋" w:eastAsia="仿宋" w:cs="仿宋"/>
          <w:b w:val="0"/>
          <w:bCs/>
          <w:sz w:val="32"/>
          <w:szCs w:val="32"/>
          <w:highlight w:val="none"/>
          <w:lang w:eastAsia="zh-CN"/>
        </w:rPr>
        <w:t>招标文件</w:t>
      </w:r>
      <w:r>
        <w:rPr>
          <w:rFonts w:hint="eastAsia" w:ascii="仿宋" w:hAnsi="仿宋" w:eastAsia="仿宋" w:cs="仿宋"/>
          <w:b w:val="0"/>
          <w:bCs/>
          <w:sz w:val="32"/>
          <w:szCs w:val="32"/>
          <w:highlight w:val="none"/>
        </w:rPr>
        <w:t xml:space="preserve"> 第四章 投标文件格式 格式</w:t>
      </w:r>
      <w:r>
        <w:rPr>
          <w:rFonts w:hint="eastAsia" w:ascii="仿宋" w:hAnsi="仿宋" w:eastAsia="仿宋" w:cs="仿宋"/>
          <w:b w:val="0"/>
          <w:bCs/>
          <w:sz w:val="32"/>
          <w:szCs w:val="32"/>
          <w:highlight w:val="none"/>
          <w:lang w:val="en-US" w:eastAsia="zh-CN"/>
        </w:rPr>
        <w:t>4</w:t>
      </w:r>
      <w:r>
        <w:rPr>
          <w:rFonts w:hint="eastAsia" w:ascii="仿宋" w:hAnsi="仿宋" w:eastAsia="仿宋" w:cs="仿宋"/>
          <w:b w:val="0"/>
          <w:bCs/>
          <w:sz w:val="32"/>
          <w:szCs w:val="32"/>
          <w:highlight w:val="none"/>
        </w:rPr>
        <w:t xml:space="preserve"> </w:t>
      </w:r>
      <w:r>
        <w:rPr>
          <w:rFonts w:hint="eastAsia" w:ascii="仿宋" w:hAnsi="仿宋" w:eastAsia="仿宋" w:cs="仿宋"/>
          <w:b w:val="0"/>
          <w:bCs/>
          <w:sz w:val="32"/>
          <w:szCs w:val="32"/>
          <w:highlight w:val="none"/>
          <w:lang w:val="en-US" w:eastAsia="zh-CN"/>
        </w:rPr>
        <w:t>商务技术</w:t>
      </w:r>
      <w:r>
        <w:rPr>
          <w:rFonts w:hint="eastAsia" w:ascii="仿宋" w:hAnsi="仿宋" w:eastAsia="仿宋" w:cs="仿宋"/>
          <w:b w:val="0"/>
          <w:bCs/>
          <w:sz w:val="32"/>
          <w:szCs w:val="32"/>
          <w:highlight w:val="none"/>
          <w:lang w:val="zh-CN"/>
        </w:rPr>
        <w:t>响应情况</w:t>
      </w:r>
      <w:r>
        <w:rPr>
          <w:rFonts w:hint="eastAsia" w:ascii="仿宋" w:hAnsi="仿宋" w:eastAsia="仿宋" w:cs="仿宋"/>
          <w:b w:val="0"/>
          <w:bCs/>
          <w:sz w:val="32"/>
          <w:szCs w:val="32"/>
          <w:highlight w:val="none"/>
          <w:lang w:val="en-US" w:eastAsia="zh-CN"/>
        </w:rPr>
        <w:t>偏离表</w:t>
      </w:r>
      <w:r>
        <w:rPr>
          <w:rFonts w:hint="eastAsia" w:ascii="仿宋" w:hAnsi="仿宋" w:eastAsia="仿宋" w:cs="仿宋"/>
          <w:b w:val="0"/>
          <w:bCs/>
          <w:sz w:val="32"/>
          <w:szCs w:val="32"/>
          <w:highlight w:val="none"/>
        </w:rPr>
        <w:t>”模板填列的商务技术要素响应情况，注明相关商务技术要求响应的服务承诺及投标文件对应页数。</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(4)承诺函</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承诺函格式参见“</w:t>
      </w:r>
      <w:r>
        <w:rPr>
          <w:rFonts w:hint="eastAsia" w:ascii="仿宋" w:hAnsi="仿宋" w:eastAsia="仿宋" w:cs="仿宋"/>
          <w:b w:val="0"/>
          <w:bCs/>
          <w:sz w:val="32"/>
          <w:szCs w:val="32"/>
          <w:highlight w:val="none"/>
          <w:lang w:eastAsia="zh-CN"/>
        </w:rPr>
        <w:t>招标文件</w:t>
      </w:r>
      <w:r>
        <w:rPr>
          <w:rFonts w:hint="eastAsia" w:ascii="仿宋" w:hAnsi="仿宋" w:eastAsia="仿宋" w:cs="仿宋"/>
          <w:b w:val="0"/>
          <w:bCs/>
          <w:sz w:val="32"/>
          <w:szCs w:val="32"/>
          <w:highlight w:val="none"/>
        </w:rPr>
        <w:t xml:space="preserve"> 第四章 投标文件格式 格式</w:t>
      </w:r>
      <w:r>
        <w:rPr>
          <w:rFonts w:hint="eastAsia" w:ascii="仿宋" w:hAnsi="仿宋" w:eastAsia="仿宋" w:cs="仿宋"/>
          <w:b w:val="0"/>
          <w:bCs/>
          <w:sz w:val="32"/>
          <w:szCs w:val="32"/>
          <w:highlight w:val="none"/>
          <w:lang w:val="en-US" w:eastAsia="zh-CN"/>
        </w:rPr>
        <w:t>5</w:t>
      </w:r>
      <w:r>
        <w:rPr>
          <w:rFonts w:hint="eastAsia" w:ascii="仿宋" w:hAnsi="仿宋" w:eastAsia="仿宋" w:cs="仿宋"/>
          <w:b w:val="0"/>
          <w:bCs/>
          <w:sz w:val="32"/>
          <w:szCs w:val="32"/>
          <w:highlight w:val="none"/>
        </w:rPr>
        <w:t>承诺函”。</w:t>
      </w:r>
    </w:p>
    <w:p>
      <w:pPr>
        <w:keepNext w:val="0"/>
        <w:keepLines w:val="0"/>
        <w:pageBreakBefore w:val="0"/>
        <w:widowControl/>
        <w:numPr>
          <w:ilvl w:val="0"/>
          <w:numId w:val="3"/>
        </w:numPr>
        <w:kinsoku/>
        <w:wordWrap/>
        <w:overflowPunct/>
        <w:topLinePunct w:val="0"/>
        <w:autoSpaceDE/>
        <w:autoSpaceDN/>
        <w:bidi w:val="0"/>
        <w:adjustRightInd/>
        <w:snapToGrid w:val="0"/>
        <w:spacing w:line="560" w:lineRule="exact"/>
        <w:ind w:left="0" w:leftChars="0" w:firstLine="0" w:firstLineChars="0"/>
        <w:jc w:val="left"/>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rPr>
        <w:t>投标文件标注及封装</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投标人应将投标文件严格按以下要求进行标注、封装，并就封装做出清晰标注：</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1.开标一览表单独用唱标信封封装；</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2.</w:t>
      </w:r>
      <w:r>
        <w:rPr>
          <w:rFonts w:hint="eastAsia" w:ascii="仿宋" w:hAnsi="仿宋" w:eastAsia="仿宋" w:cs="仿宋"/>
          <w:b w:val="0"/>
          <w:bCs/>
          <w:sz w:val="32"/>
          <w:szCs w:val="32"/>
          <w:highlight w:val="none"/>
          <w:lang w:val="en-US" w:eastAsia="zh-CN"/>
        </w:rPr>
        <w:t>编制具有目录页的</w:t>
      </w:r>
      <w:r>
        <w:rPr>
          <w:rFonts w:hint="eastAsia" w:ascii="仿宋" w:hAnsi="仿宋" w:eastAsia="仿宋" w:cs="仿宋"/>
          <w:b w:val="0"/>
          <w:bCs/>
          <w:sz w:val="32"/>
          <w:szCs w:val="32"/>
          <w:highlight w:val="none"/>
        </w:rPr>
        <w:t>投标文件</w:t>
      </w:r>
      <w:r>
        <w:rPr>
          <w:rFonts w:hint="eastAsia" w:ascii="仿宋" w:hAnsi="仿宋" w:eastAsia="仿宋" w:cs="仿宋"/>
          <w:b w:val="0"/>
          <w:bCs/>
          <w:sz w:val="32"/>
          <w:szCs w:val="32"/>
          <w:highlight w:val="none"/>
          <w:lang w:val="en-US" w:eastAsia="zh-CN"/>
        </w:rPr>
        <w:t>装订</w:t>
      </w:r>
      <w:r>
        <w:rPr>
          <w:rFonts w:hint="eastAsia" w:ascii="仿宋" w:hAnsi="仿宋" w:eastAsia="仿宋" w:cs="仿宋"/>
          <w:b w:val="0"/>
          <w:bCs/>
          <w:sz w:val="32"/>
          <w:szCs w:val="32"/>
          <w:highlight w:val="none"/>
        </w:rPr>
        <w:t>成册，形成正本1份，正本每页均需加盖公章，并盖骑缝章；</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3.正本应与和其内容一致的投标文件电子文本的U盘共同封装至一个信封内；</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4.投标文件应同时形成副本</w:t>
      </w:r>
      <w:r>
        <w:rPr>
          <w:rFonts w:hint="eastAsia" w:ascii="仿宋" w:hAnsi="仿宋" w:eastAsia="仿宋" w:cs="仿宋"/>
          <w:b w:val="0"/>
          <w:bCs/>
          <w:sz w:val="32"/>
          <w:szCs w:val="32"/>
          <w:highlight w:val="none"/>
          <w:lang w:val="en-US" w:eastAsia="zh-CN"/>
        </w:rPr>
        <w:t>5</w:t>
      </w:r>
      <w:r>
        <w:rPr>
          <w:rFonts w:hint="eastAsia" w:ascii="仿宋" w:hAnsi="仿宋" w:eastAsia="仿宋" w:cs="仿宋"/>
          <w:b w:val="0"/>
          <w:bCs/>
          <w:sz w:val="32"/>
          <w:szCs w:val="32"/>
          <w:highlight w:val="none"/>
        </w:rPr>
        <w:t>份，副本可为正本的复印件，封装至一个信封内；</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5.正副本封面及封装信封均应注明投标项目、招标编码、投标单位全称、正/副本性质，装于一个信封内密封；</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6.封装信封除以上信息外，还应标注内件正/副本性质、份数，密封处加盖公章。</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投标人未按照招标文件要求进行排序、标注或封装导致招标人提前拆开或错误拆开投标文件造成废标的，由投标人自行承担不利后果。</w:t>
      </w:r>
    </w:p>
    <w:p>
      <w:pPr>
        <w:pStyle w:val="4"/>
        <w:pageBreakBefore w:val="0"/>
        <w:kinsoku/>
        <w:wordWrap/>
        <w:overflowPunct/>
        <w:topLinePunct w:val="0"/>
        <w:autoSpaceDE/>
        <w:autoSpaceDN/>
        <w:bidi w:val="0"/>
        <w:spacing w:line="560" w:lineRule="exact"/>
        <w:ind w:firstLine="560"/>
        <w:textAlignment w:val="auto"/>
        <w:rPr>
          <w:rFonts w:hint="eastAsia" w:ascii="黑体" w:hAnsi="黑体" w:eastAsia="黑体" w:cs="黑体"/>
          <w:b w:val="0"/>
          <w:bCs/>
          <w:sz w:val="32"/>
          <w:szCs w:val="32"/>
          <w:highlight w:val="none"/>
        </w:rPr>
      </w:pPr>
      <w:bookmarkStart w:id="12" w:name="_Toc17905"/>
      <w:r>
        <w:rPr>
          <w:rFonts w:hint="eastAsia" w:ascii="黑体" w:hAnsi="黑体" w:eastAsia="黑体" w:cs="黑体"/>
          <w:b w:val="0"/>
          <w:bCs/>
          <w:sz w:val="32"/>
          <w:szCs w:val="32"/>
          <w:highlight w:val="none"/>
        </w:rPr>
        <w:t>七、投标人须知</w:t>
      </w:r>
      <w:bookmarkEnd w:id="12"/>
    </w:p>
    <w:p>
      <w:pPr>
        <w:pageBreakBefore w:val="0"/>
        <w:widowControl/>
        <w:kinsoku/>
        <w:wordWrap/>
        <w:overflowPunct/>
        <w:topLinePunct w:val="0"/>
        <w:autoSpaceDE/>
        <w:autoSpaceDN/>
        <w:bidi w:val="0"/>
        <w:snapToGrid w:val="0"/>
        <w:spacing w:line="560" w:lineRule="exact"/>
        <w:ind w:firstLine="729" w:firstLineChars="228"/>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（一） 投标人因故不能参加投标的，须在开标会议至少前2个工作日内以书面形式通知招标人。如未按本条要求通知招标人而造成招标工作受到阻碍或不良影响的，三年内不得参与招标人采购项目投标。</w:t>
      </w:r>
    </w:p>
    <w:p>
      <w:pPr>
        <w:pageBreakBefore w:val="0"/>
        <w:widowControl/>
        <w:kinsoku/>
        <w:wordWrap/>
        <w:overflowPunct/>
        <w:topLinePunct w:val="0"/>
        <w:autoSpaceDE/>
        <w:autoSpaceDN/>
        <w:bidi w:val="0"/>
        <w:snapToGrid w:val="0"/>
        <w:spacing w:line="560" w:lineRule="exact"/>
        <w:ind w:firstLine="729" w:firstLineChars="228"/>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（二）投标人对招标文件有任何疑问的，可在</w:t>
      </w:r>
      <w:r>
        <w:rPr>
          <w:rFonts w:hint="eastAsia" w:ascii="仿宋" w:hAnsi="仿宋" w:eastAsia="仿宋" w:cs="仿宋"/>
          <w:b w:val="0"/>
          <w:bCs/>
          <w:sz w:val="32"/>
          <w:szCs w:val="32"/>
          <w:highlight w:val="yellow"/>
          <w:lang w:val="en-US" w:eastAsia="zh-CN"/>
        </w:rPr>
        <w:t>2022年8月24日12</w:t>
      </w:r>
      <w:r>
        <w:rPr>
          <w:rFonts w:hint="eastAsia" w:ascii="仿宋" w:hAnsi="仿宋" w:eastAsia="仿宋" w:cs="仿宋"/>
          <w:b w:val="0"/>
          <w:bCs/>
          <w:color w:val="auto"/>
          <w:sz w:val="32"/>
          <w:szCs w:val="32"/>
          <w:highlight w:val="yellow"/>
          <w:u w:val="none"/>
          <w:lang w:val="en-US" w:eastAsia="zh-CN"/>
        </w:rPr>
        <w:t>时</w:t>
      </w:r>
      <w:r>
        <w:rPr>
          <w:rFonts w:hint="eastAsia" w:ascii="仿宋" w:hAnsi="仿宋" w:eastAsia="仿宋" w:cs="仿宋"/>
          <w:b w:val="0"/>
          <w:bCs/>
          <w:color w:val="auto"/>
          <w:sz w:val="32"/>
          <w:szCs w:val="32"/>
          <w:highlight w:val="none"/>
          <w:u w:val="none"/>
          <w:lang w:val="en-US" w:eastAsia="zh-CN"/>
        </w:rPr>
        <w:t>前内向本项目邀请投标公告列示的联系邮箱（cn@plhr.cn）发送书面答疑请求，未在规定时间或未按指定方式提出的，视为对招标文件及程序的认可，不得再以任何理由提出答疑，招标人将于</w:t>
      </w:r>
      <w:r>
        <w:rPr>
          <w:rFonts w:hint="eastAsia" w:ascii="仿宋" w:hAnsi="仿宋" w:eastAsia="仿宋" w:cs="仿宋"/>
          <w:b w:val="0"/>
          <w:bCs/>
          <w:color w:val="auto"/>
          <w:sz w:val="32"/>
          <w:szCs w:val="32"/>
          <w:highlight w:val="yellow"/>
          <w:u w:val="none"/>
          <w:lang w:val="en-US" w:eastAsia="zh-CN"/>
        </w:rPr>
        <w:t>2022年8月24</w:t>
      </w:r>
      <w:r>
        <w:rPr>
          <w:rFonts w:hint="eastAsia" w:ascii="仿宋" w:hAnsi="仿宋" w:eastAsia="仿宋" w:cs="仿宋"/>
          <w:b w:val="0"/>
          <w:bCs/>
          <w:sz w:val="32"/>
          <w:szCs w:val="32"/>
          <w:highlight w:val="yellow"/>
          <w:lang w:val="en-US" w:eastAsia="zh-CN"/>
        </w:rPr>
        <w:t>日17</w:t>
      </w:r>
      <w:r>
        <w:rPr>
          <w:rFonts w:hint="eastAsia" w:ascii="仿宋" w:hAnsi="仿宋" w:eastAsia="仿宋" w:cs="仿宋"/>
          <w:b w:val="0"/>
          <w:bCs/>
          <w:sz w:val="32"/>
          <w:szCs w:val="32"/>
          <w:highlight w:val="none"/>
          <w:lang w:val="en-US" w:eastAsia="zh-CN"/>
        </w:rPr>
        <w:t>时前进</w:t>
      </w:r>
      <w:r>
        <w:rPr>
          <w:rFonts w:hint="eastAsia" w:ascii="仿宋" w:hAnsi="仿宋" w:eastAsia="仿宋" w:cs="仿宋"/>
          <w:b w:val="0"/>
          <w:bCs/>
          <w:sz w:val="32"/>
          <w:szCs w:val="32"/>
          <w:highlight w:val="none"/>
        </w:rPr>
        <w:t>行统一答疑。</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（三）投标人提出的报价应为已包括项目成本、依法应纳税金、履行服务所必要的随附工作所产生的其他费用等。</w:t>
      </w:r>
      <w:r>
        <w:rPr>
          <w:rFonts w:hint="eastAsia" w:ascii="仿宋" w:hAnsi="仿宋" w:eastAsia="仿宋" w:cs="仿宋"/>
          <w:b w:val="0"/>
          <w:bCs/>
          <w:sz w:val="32"/>
          <w:szCs w:val="32"/>
          <w:highlight w:val="none"/>
          <w:lang w:eastAsia="zh-CN"/>
        </w:rPr>
        <w:t>报价单</w:t>
      </w:r>
      <w:r>
        <w:rPr>
          <w:rFonts w:hint="eastAsia" w:ascii="仿宋" w:hAnsi="仿宋" w:eastAsia="仿宋" w:cs="仿宋"/>
          <w:b w:val="0"/>
          <w:bCs/>
          <w:sz w:val="32"/>
          <w:szCs w:val="32"/>
          <w:highlight w:val="none"/>
        </w:rPr>
        <w:t>只允许有一个以各体检项目单价</w:t>
      </w:r>
      <w:r>
        <w:rPr>
          <w:rFonts w:hint="eastAsia" w:ascii="仿宋" w:hAnsi="仿宋" w:eastAsia="仿宋" w:cs="仿宋"/>
          <w:b w:val="0"/>
          <w:bCs/>
          <w:sz w:val="32"/>
          <w:szCs w:val="32"/>
          <w:highlight w:val="none"/>
          <w:lang w:eastAsia="zh-CN"/>
        </w:rPr>
        <w:t>、预期体检人数（以招标人提供的预计数为准）与项目总价</w:t>
      </w:r>
      <w:r>
        <w:rPr>
          <w:rFonts w:hint="eastAsia" w:ascii="仿宋" w:hAnsi="仿宋" w:eastAsia="仿宋" w:cs="仿宋"/>
          <w:b w:val="0"/>
          <w:bCs/>
          <w:sz w:val="32"/>
          <w:szCs w:val="32"/>
          <w:highlight w:val="none"/>
        </w:rPr>
        <w:t>构成的报价文件，任何需要由招标人进行条件选择的非唯一报价将不予接受。</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（四）定标完成后，招标人将在公司官网（www.plhr.cn）</w:t>
      </w:r>
      <w:r>
        <w:rPr>
          <w:rFonts w:hint="eastAsia" w:ascii="仿宋" w:hAnsi="仿宋" w:eastAsia="仿宋" w:cs="仿宋"/>
          <w:b w:val="0"/>
          <w:bCs/>
          <w:sz w:val="32"/>
          <w:szCs w:val="32"/>
          <w:highlight w:val="none"/>
          <w:lang w:val="en-US" w:eastAsia="zh-CN"/>
        </w:rPr>
        <w:t>及阳光采购平台</w:t>
      </w:r>
      <w:r>
        <w:rPr>
          <w:rFonts w:hint="eastAsia" w:ascii="仿宋" w:hAnsi="仿宋" w:eastAsia="仿宋" w:cs="仿宋"/>
          <w:b w:val="0"/>
          <w:bCs/>
          <w:sz w:val="32"/>
          <w:szCs w:val="32"/>
          <w:highlight w:val="none"/>
        </w:rPr>
        <w:t>发布预中标结果公示，公示期为3个自然日。</w:t>
      </w:r>
      <w:r>
        <w:rPr>
          <w:rFonts w:hint="eastAsia" w:ascii="仿宋" w:hAnsi="仿宋" w:eastAsia="仿宋" w:cs="仿宋"/>
          <w:b w:val="0"/>
          <w:bCs/>
          <w:sz w:val="32"/>
          <w:szCs w:val="32"/>
          <w:highlight w:val="none"/>
          <w:lang w:eastAsia="zh-CN"/>
        </w:rPr>
        <w:t>至</w:t>
      </w:r>
      <w:r>
        <w:rPr>
          <w:rFonts w:hint="eastAsia" w:ascii="仿宋" w:hAnsi="仿宋" w:eastAsia="仿宋" w:cs="仿宋"/>
          <w:b w:val="0"/>
          <w:bCs/>
          <w:sz w:val="32"/>
          <w:szCs w:val="32"/>
          <w:highlight w:val="none"/>
        </w:rPr>
        <w:t>公示期结束无异议的，向中标人发放《中标通知书》。公示期内如有质疑，需书面、实名向招标人提出并提交随附证据。招标人对电子邮件、口头形式提出或无实际证据的质疑不予受理。经招标人审定存在恶意质疑或投诉的，三年内不得参与招标人</w:t>
      </w:r>
      <w:r>
        <w:rPr>
          <w:rFonts w:hint="eastAsia" w:ascii="仿宋" w:hAnsi="仿宋" w:eastAsia="仿宋" w:cs="仿宋"/>
          <w:b w:val="0"/>
          <w:bCs/>
          <w:sz w:val="32"/>
          <w:szCs w:val="32"/>
          <w:highlight w:val="none"/>
          <w:lang w:eastAsia="zh-CN"/>
        </w:rPr>
        <w:t>采购响应</w:t>
      </w:r>
      <w:r>
        <w:rPr>
          <w:rFonts w:hint="eastAsia" w:ascii="仿宋" w:hAnsi="仿宋" w:eastAsia="仿宋" w:cs="仿宋"/>
          <w:b w:val="0"/>
          <w:bCs/>
          <w:sz w:val="32"/>
          <w:szCs w:val="32"/>
          <w:highlight w:val="none"/>
        </w:rPr>
        <w:t>。</w:t>
      </w:r>
    </w:p>
    <w:p>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（五）若接受邀请、递交投标文件或投标文件符合性审查阶段中任一阶段的有效投标人数量不足 3 家，</w:t>
      </w:r>
      <w:r>
        <w:rPr>
          <w:rFonts w:hint="eastAsia" w:ascii="仿宋" w:hAnsi="仿宋" w:eastAsia="仿宋" w:cs="仿宋"/>
          <w:bCs/>
          <w:sz w:val="32"/>
          <w:szCs w:val="32"/>
          <w:highlight w:val="none"/>
          <w:lang w:val="en-US" w:eastAsia="zh-CN"/>
        </w:rPr>
        <w:t>则按规实施二次公告。经二次公告后，作出实质性响应的有效投标人仍不足3家的，招标人有权根据有效响应情况另行组织谈判。</w:t>
      </w:r>
      <w:r>
        <w:rPr>
          <w:rFonts w:hint="eastAsia" w:ascii="仿宋" w:hAnsi="仿宋" w:eastAsia="仿宋" w:cs="仿宋"/>
          <w:bCs/>
          <w:sz w:val="32"/>
          <w:szCs w:val="32"/>
          <w:highlight w:val="none"/>
        </w:rPr>
        <w:t>招标人不承担因招标失败给投标人造成的损失。</w:t>
      </w:r>
    </w:p>
    <w:p>
      <w:pPr>
        <w:pageBreakBefore w:val="0"/>
        <w:widowControl/>
        <w:kinsoku/>
        <w:wordWrap/>
        <w:overflowPunct/>
        <w:topLinePunct w:val="0"/>
        <w:autoSpaceDE/>
        <w:autoSpaceDN/>
        <w:bidi w:val="0"/>
        <w:snapToGrid w:val="0"/>
        <w:spacing w:line="560" w:lineRule="exact"/>
        <w:ind w:firstLine="729" w:firstLineChars="228"/>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（六）本项目采用综合评标法，招标人不承诺投标价格最低的投标人中标。</w:t>
      </w:r>
    </w:p>
    <w:p>
      <w:pPr>
        <w:pageBreakBefore w:val="0"/>
        <w:widowControl/>
        <w:kinsoku/>
        <w:wordWrap/>
        <w:overflowPunct/>
        <w:topLinePunct w:val="0"/>
        <w:autoSpaceDE/>
        <w:autoSpaceDN/>
        <w:bidi w:val="0"/>
        <w:snapToGrid w:val="0"/>
        <w:spacing w:line="560" w:lineRule="exact"/>
        <w:ind w:firstLine="729" w:firstLineChars="228"/>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（七）中标方应在接到招标人电话通知后3个工作日内到招标人地址领取中标通知书，若逾期未领取的，视为自动放弃中标资格，项目重新招标，自动放弃的投标方不得再次参加本项目投标。</w:t>
      </w:r>
    </w:p>
    <w:p>
      <w:pPr>
        <w:pageBreakBefore w:val="0"/>
        <w:widowControl/>
        <w:kinsoku/>
        <w:wordWrap/>
        <w:overflowPunct/>
        <w:topLinePunct w:val="0"/>
        <w:autoSpaceDE/>
        <w:autoSpaceDN/>
        <w:bidi w:val="0"/>
        <w:snapToGrid w:val="0"/>
        <w:spacing w:line="560" w:lineRule="exact"/>
        <w:ind w:firstLine="729" w:firstLineChars="228"/>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（八）本项目不设置投标保证金及履约保证金，但招标人可以根据实际经营管理需要在定标完成后就合同条款、补充协议的订立与中标人进行协商以获得更有利于招标人经营管理的服务或价格。</w:t>
      </w:r>
    </w:p>
    <w:p>
      <w:pPr>
        <w:pageBreakBefore w:val="0"/>
        <w:widowControl/>
        <w:kinsoku/>
        <w:wordWrap/>
        <w:overflowPunct/>
        <w:topLinePunct w:val="0"/>
        <w:autoSpaceDE/>
        <w:autoSpaceDN/>
        <w:bidi w:val="0"/>
        <w:snapToGrid w:val="0"/>
        <w:spacing w:line="560" w:lineRule="exact"/>
        <w:ind w:firstLine="729" w:firstLineChars="228"/>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（九）投标人必须接受招标人对本项目的全部招标、谈判方法。招标人对投标人未中标的结果不负有解释义务，不退还投标文件，且不承担投标方因投标产生的任何费用或损失。</w:t>
      </w:r>
    </w:p>
    <w:p>
      <w:pPr>
        <w:pageBreakBefore w:val="0"/>
        <w:widowControl/>
        <w:kinsoku/>
        <w:wordWrap/>
        <w:overflowPunct/>
        <w:topLinePunct w:val="0"/>
        <w:autoSpaceDE/>
        <w:autoSpaceDN/>
        <w:bidi w:val="0"/>
        <w:snapToGrid w:val="0"/>
        <w:spacing w:line="560" w:lineRule="exact"/>
        <w:ind w:firstLine="729" w:firstLineChars="228"/>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（十）投标人有义务在整个招标工作开展期间自行留意招标人官方网站（www.plhr.cn）</w:t>
      </w:r>
      <w:r>
        <w:rPr>
          <w:rFonts w:hint="eastAsia" w:ascii="仿宋" w:hAnsi="仿宋" w:eastAsia="仿宋" w:cs="仿宋"/>
          <w:b w:val="0"/>
          <w:bCs/>
          <w:sz w:val="32"/>
          <w:szCs w:val="32"/>
          <w:highlight w:val="none"/>
          <w:lang w:val="en-US" w:eastAsia="zh-CN"/>
        </w:rPr>
        <w:t>及深圳阳光采购平台</w:t>
      </w:r>
      <w:r>
        <w:rPr>
          <w:rFonts w:hint="eastAsia" w:ascii="仿宋" w:hAnsi="仿宋" w:eastAsia="仿宋" w:cs="仿宋"/>
          <w:b w:val="0"/>
          <w:bCs/>
          <w:sz w:val="32"/>
          <w:szCs w:val="32"/>
          <w:highlight w:val="none"/>
        </w:rPr>
        <w:t>发布的公告通知，所有在该网站发布的公告、通知均视为有效送达。因投标人疏于浏览而导致的不利后果由投标人自行承担。</w:t>
      </w:r>
    </w:p>
    <w:p>
      <w:pPr>
        <w:pStyle w:val="4"/>
        <w:pageBreakBefore w:val="0"/>
        <w:kinsoku/>
        <w:wordWrap/>
        <w:overflowPunct/>
        <w:topLinePunct w:val="0"/>
        <w:autoSpaceDE/>
        <w:autoSpaceDN/>
        <w:bidi w:val="0"/>
        <w:spacing w:line="560" w:lineRule="exact"/>
        <w:ind w:firstLine="560"/>
        <w:textAlignment w:val="auto"/>
        <w:rPr>
          <w:rFonts w:hint="eastAsia" w:ascii="黑体" w:hAnsi="黑体" w:eastAsia="黑体" w:cs="黑体"/>
          <w:b w:val="0"/>
          <w:bCs/>
          <w:sz w:val="32"/>
          <w:szCs w:val="32"/>
          <w:highlight w:val="none"/>
        </w:rPr>
      </w:pPr>
      <w:bookmarkStart w:id="13" w:name="_Toc22927"/>
      <w:r>
        <w:rPr>
          <w:rFonts w:hint="eastAsia" w:ascii="黑体" w:hAnsi="黑体" w:eastAsia="黑体" w:cs="黑体"/>
          <w:b w:val="0"/>
          <w:bCs/>
          <w:sz w:val="32"/>
          <w:szCs w:val="32"/>
          <w:highlight w:val="none"/>
        </w:rPr>
        <w:t>八、投标文件作废</w:t>
      </w:r>
      <w:bookmarkEnd w:id="13"/>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投标人在投标过程中存在以下任一行为的，投标文件作废，取消投标资格：</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(一)未按照投标邀请函示要求提交答复函、报名表及随附材料；</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(二)投标人在投标、评标、定标期间存在企图影响招标结果、泄密、违反《承诺函》函示内容等不公平竞争行为；</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(三)未按照招标文件要求制作投标文件；</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(四)未经招标方同意擅自改动招标文件内容；</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(五)投标文件递交超过截止时限或未能递交投标文件；</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(六)在邀请投标及后续谈判的任意环节中提供虚假材料及信息；</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(七)本文件中规定的其它按废标处理的情形。</w:t>
      </w:r>
    </w:p>
    <w:p>
      <w:pPr>
        <w:pStyle w:val="4"/>
        <w:pageBreakBefore w:val="0"/>
        <w:kinsoku/>
        <w:wordWrap/>
        <w:overflowPunct/>
        <w:topLinePunct w:val="0"/>
        <w:autoSpaceDE/>
        <w:autoSpaceDN/>
        <w:bidi w:val="0"/>
        <w:spacing w:line="560" w:lineRule="exact"/>
        <w:ind w:firstLine="560"/>
        <w:textAlignment w:val="auto"/>
        <w:rPr>
          <w:rFonts w:hint="eastAsia" w:ascii="黑体" w:hAnsi="黑体" w:eastAsia="黑体" w:cs="黑体"/>
          <w:b w:val="0"/>
          <w:bCs/>
          <w:sz w:val="32"/>
          <w:szCs w:val="32"/>
          <w:highlight w:val="none"/>
        </w:rPr>
      </w:pPr>
      <w:bookmarkStart w:id="14" w:name="_Toc8088"/>
      <w:r>
        <w:rPr>
          <w:rFonts w:hint="eastAsia" w:ascii="黑体" w:hAnsi="黑体" w:eastAsia="黑体" w:cs="黑体"/>
          <w:b w:val="0"/>
          <w:bCs/>
          <w:sz w:val="32"/>
          <w:szCs w:val="32"/>
          <w:highlight w:val="none"/>
        </w:rPr>
        <w:t>九、其他要求</w:t>
      </w:r>
      <w:bookmarkEnd w:id="14"/>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一)投标人应逐项阅读招标文件的全部要求，根据投标人真实情况以审慎、诚信原则提交投标文件。如投标人编制的投标文件不能响应和满足招标文件及项目要求，该投标文件将被视为无效，由此引起的不利后果由投标人自行承担；</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(二)对恶意投标、中标后不能按照本招标文件“</w:t>
      </w:r>
      <w:r>
        <w:rPr>
          <w:rFonts w:hint="eastAsia" w:ascii="仿宋" w:hAnsi="仿宋" w:eastAsia="仿宋" w:cs="仿宋"/>
          <w:b w:val="0"/>
          <w:bCs/>
          <w:sz w:val="32"/>
          <w:szCs w:val="32"/>
          <w:highlight w:val="none"/>
          <w:lang w:eastAsia="zh-CN"/>
        </w:rPr>
        <w:t>招标文件</w:t>
      </w:r>
      <w:r>
        <w:rPr>
          <w:rFonts w:hint="eastAsia" w:ascii="仿宋" w:hAnsi="仿宋" w:eastAsia="仿宋" w:cs="仿宋"/>
          <w:b w:val="0"/>
          <w:bCs/>
          <w:sz w:val="32"/>
          <w:szCs w:val="32"/>
          <w:highlight w:val="none"/>
        </w:rPr>
        <w:t xml:space="preserve"> 第三章 合同条款”要求的服务标准提供服务者，招标人有权即时停止履行合同，同时取消投标人供应商资格。对招标人造成实际经济或商誉损失的，招标人保留起诉、索赔等正当权利。</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(三)不论投标结果如何，投标人的投标文件均不退回，且不对未中标单位作任何解释。投标人因投标产生的一切费用不管投标结果如何，均由投标人承担。</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(四)投标人不得相互串通投标报价，不得排挤其他投标人的公平竞争。一经发现违规行为，招标人有权立即终止采购活动并取消违反规定的投标人资格。</w:t>
      </w:r>
    </w:p>
    <w:p>
      <w:pPr>
        <w:pStyle w:val="4"/>
        <w:pageBreakBefore w:val="0"/>
        <w:kinsoku/>
        <w:wordWrap/>
        <w:overflowPunct/>
        <w:topLinePunct w:val="0"/>
        <w:autoSpaceDE/>
        <w:autoSpaceDN/>
        <w:bidi w:val="0"/>
        <w:spacing w:line="560" w:lineRule="exact"/>
        <w:ind w:firstLine="560"/>
        <w:textAlignment w:val="auto"/>
        <w:rPr>
          <w:rFonts w:hint="eastAsia" w:ascii="黑体" w:hAnsi="黑体" w:eastAsia="黑体" w:cs="黑体"/>
          <w:b w:val="0"/>
          <w:bCs/>
          <w:sz w:val="32"/>
          <w:szCs w:val="32"/>
          <w:highlight w:val="none"/>
        </w:rPr>
      </w:pPr>
      <w:bookmarkStart w:id="15" w:name="_Toc30595"/>
      <w:r>
        <w:rPr>
          <w:rFonts w:hint="eastAsia" w:ascii="黑体" w:hAnsi="黑体" w:eastAsia="黑体" w:cs="黑体"/>
          <w:b w:val="0"/>
          <w:bCs/>
          <w:sz w:val="32"/>
          <w:szCs w:val="32"/>
          <w:highlight w:val="none"/>
        </w:rPr>
        <w:t>十、投标文件递交</w:t>
      </w:r>
      <w:bookmarkEnd w:id="15"/>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一）</w:t>
      </w:r>
      <w:r>
        <w:rPr>
          <w:rFonts w:hint="eastAsia" w:ascii="仿宋" w:hAnsi="仿宋" w:eastAsia="仿宋" w:cs="仿宋"/>
          <w:b w:val="0"/>
          <w:bCs/>
          <w:sz w:val="32"/>
          <w:szCs w:val="32"/>
          <w:highlight w:val="none"/>
        </w:rPr>
        <w:t>递交方式</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现场递交。</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二）</w:t>
      </w:r>
      <w:r>
        <w:rPr>
          <w:rFonts w:hint="eastAsia" w:ascii="仿宋" w:hAnsi="仿宋" w:eastAsia="仿宋" w:cs="仿宋"/>
          <w:b w:val="0"/>
          <w:bCs/>
          <w:sz w:val="32"/>
          <w:szCs w:val="32"/>
          <w:highlight w:val="none"/>
        </w:rPr>
        <w:t>递交</w:t>
      </w:r>
      <w:r>
        <w:rPr>
          <w:rFonts w:hint="eastAsia" w:ascii="仿宋" w:hAnsi="仿宋" w:eastAsia="仿宋" w:cs="仿宋"/>
          <w:b w:val="0"/>
          <w:bCs/>
          <w:sz w:val="32"/>
          <w:szCs w:val="32"/>
          <w:highlight w:val="none"/>
          <w:lang w:val="en-US" w:eastAsia="zh-CN"/>
        </w:rPr>
        <w:t>截止时间：</w:t>
      </w:r>
      <w:r>
        <w:rPr>
          <w:rFonts w:hint="eastAsia" w:ascii="仿宋" w:hAnsi="仿宋" w:eastAsia="仿宋" w:cs="仿宋"/>
          <w:b w:val="0"/>
          <w:bCs/>
          <w:kern w:val="0"/>
          <w:sz w:val="32"/>
          <w:szCs w:val="32"/>
          <w:highlight w:val="yellow"/>
          <w:lang w:val="en-US" w:eastAsia="zh-CN" w:bidi="ar-SA"/>
        </w:rPr>
        <w:t>2022年8月30日9时</w:t>
      </w:r>
      <w:r>
        <w:rPr>
          <w:rFonts w:hint="eastAsia" w:ascii="仿宋" w:hAnsi="仿宋" w:eastAsia="仿宋" w:cs="仿宋"/>
          <w:b w:val="0"/>
          <w:bCs/>
          <w:kern w:val="0"/>
          <w:sz w:val="32"/>
          <w:szCs w:val="32"/>
          <w:highlight w:val="none"/>
          <w:lang w:val="en-US" w:eastAsia="zh-CN" w:bidi="ar-SA"/>
        </w:rPr>
        <w:t>。</w:t>
      </w:r>
    </w:p>
    <w:p>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三）</w:t>
      </w:r>
      <w:r>
        <w:rPr>
          <w:rFonts w:hint="eastAsia" w:ascii="仿宋" w:hAnsi="仿宋" w:eastAsia="仿宋" w:cs="仿宋"/>
          <w:b w:val="0"/>
          <w:bCs/>
          <w:sz w:val="32"/>
          <w:szCs w:val="32"/>
          <w:highlight w:val="none"/>
        </w:rPr>
        <w:t>递交地址</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广东省深圳市罗湖区桂园路红围街19号深圳市鹏劳人力资源管理有限公司一楼会议室。</w:t>
      </w:r>
    </w:p>
    <w:p>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四）</w:t>
      </w:r>
      <w:r>
        <w:rPr>
          <w:rFonts w:hint="eastAsia" w:ascii="仿宋" w:hAnsi="仿宋" w:eastAsia="仿宋" w:cs="仿宋"/>
          <w:b w:val="0"/>
          <w:bCs/>
          <w:sz w:val="32"/>
          <w:szCs w:val="32"/>
          <w:highlight w:val="none"/>
        </w:rPr>
        <w:t>递交要求</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所有投标文件由投标人按照招标文件指定格式与方式逐一进场递交。</w:t>
      </w:r>
    </w:p>
    <w:p>
      <w:pPr>
        <w:pStyle w:val="4"/>
        <w:pageBreakBefore w:val="0"/>
        <w:kinsoku/>
        <w:wordWrap/>
        <w:overflowPunct/>
        <w:topLinePunct w:val="0"/>
        <w:autoSpaceDE/>
        <w:autoSpaceDN/>
        <w:bidi w:val="0"/>
        <w:spacing w:line="560" w:lineRule="exact"/>
        <w:ind w:firstLine="560"/>
        <w:textAlignment w:val="auto"/>
        <w:rPr>
          <w:rFonts w:hint="eastAsia" w:ascii="黑体" w:hAnsi="黑体" w:eastAsia="黑体" w:cs="黑体"/>
          <w:b w:val="0"/>
          <w:bCs/>
          <w:sz w:val="32"/>
          <w:szCs w:val="32"/>
          <w:highlight w:val="none"/>
        </w:rPr>
      </w:pPr>
      <w:bookmarkStart w:id="16" w:name="_Toc11169"/>
      <w:r>
        <w:rPr>
          <w:rFonts w:hint="eastAsia" w:ascii="黑体" w:hAnsi="黑体" w:eastAsia="黑体" w:cs="黑体"/>
          <w:b w:val="0"/>
          <w:bCs/>
          <w:sz w:val="32"/>
          <w:szCs w:val="32"/>
          <w:highlight w:val="none"/>
        </w:rPr>
        <w:t>十</w:t>
      </w:r>
      <w:r>
        <w:rPr>
          <w:rFonts w:hint="eastAsia" w:ascii="黑体" w:hAnsi="黑体" w:eastAsia="黑体" w:cs="黑体"/>
          <w:b w:val="0"/>
          <w:bCs/>
          <w:sz w:val="32"/>
          <w:szCs w:val="32"/>
          <w:highlight w:val="none"/>
          <w:lang w:eastAsia="zh-CN"/>
        </w:rPr>
        <w:t>一</w:t>
      </w:r>
      <w:r>
        <w:rPr>
          <w:rFonts w:hint="eastAsia" w:ascii="黑体" w:hAnsi="黑体" w:eastAsia="黑体" w:cs="黑体"/>
          <w:b w:val="0"/>
          <w:bCs/>
          <w:sz w:val="32"/>
          <w:szCs w:val="32"/>
          <w:highlight w:val="none"/>
        </w:rPr>
        <w:t>、开标</w:t>
      </w:r>
      <w:bookmarkEnd w:id="16"/>
      <w:bookmarkStart w:id="52" w:name="_GoBack"/>
      <w:bookmarkEnd w:id="52"/>
    </w:p>
    <w:p>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19" w:firstLine="640" w:firstLineChars="200"/>
        <w:jc w:val="left"/>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lang w:eastAsia="zh-CN"/>
        </w:rPr>
        <w:t>（</w:t>
      </w:r>
      <w:r>
        <w:rPr>
          <w:rFonts w:hint="eastAsia" w:ascii="楷体" w:hAnsi="楷体" w:eastAsia="楷体" w:cs="楷体"/>
          <w:b w:val="0"/>
          <w:bCs/>
          <w:sz w:val="32"/>
          <w:szCs w:val="32"/>
          <w:highlight w:val="none"/>
          <w:lang w:val="en-US" w:eastAsia="zh-CN"/>
        </w:rPr>
        <w:t>一</w:t>
      </w:r>
      <w:r>
        <w:rPr>
          <w:rFonts w:hint="eastAsia" w:ascii="楷体" w:hAnsi="楷体" w:eastAsia="楷体" w:cs="楷体"/>
          <w:b w:val="0"/>
          <w:bCs/>
          <w:sz w:val="32"/>
          <w:szCs w:val="32"/>
          <w:highlight w:val="none"/>
          <w:lang w:eastAsia="zh-CN"/>
        </w:rPr>
        <w:t>）</w:t>
      </w:r>
      <w:r>
        <w:rPr>
          <w:rFonts w:hint="eastAsia" w:ascii="楷体" w:hAnsi="楷体" w:eastAsia="楷体" w:cs="楷体"/>
          <w:b w:val="0"/>
          <w:bCs/>
          <w:sz w:val="32"/>
          <w:szCs w:val="32"/>
          <w:highlight w:val="none"/>
        </w:rPr>
        <w:t>开标时间</w:t>
      </w:r>
    </w:p>
    <w:p>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17" w:firstLine="640" w:firstLineChars="200"/>
        <w:jc w:val="left"/>
        <w:textAlignment w:val="auto"/>
        <w:rPr>
          <w:rFonts w:hint="eastAsia" w:ascii="仿宋" w:hAnsi="仿宋" w:eastAsia="仿宋" w:cs="仿宋"/>
          <w:b w:val="0"/>
          <w:bCs/>
          <w:sz w:val="32"/>
          <w:szCs w:val="32"/>
          <w:highlight w:val="yellow"/>
        </w:rPr>
      </w:pPr>
      <w:r>
        <w:rPr>
          <w:rFonts w:hint="eastAsia" w:ascii="仿宋" w:hAnsi="仿宋" w:eastAsia="仿宋" w:cs="仿宋"/>
          <w:b w:val="0"/>
          <w:bCs/>
          <w:sz w:val="32"/>
          <w:szCs w:val="32"/>
          <w:highlight w:val="yellow"/>
        </w:rPr>
        <w:t>202</w:t>
      </w:r>
      <w:r>
        <w:rPr>
          <w:rFonts w:hint="eastAsia" w:ascii="仿宋" w:hAnsi="仿宋" w:eastAsia="仿宋" w:cs="仿宋"/>
          <w:b w:val="0"/>
          <w:bCs/>
          <w:sz w:val="32"/>
          <w:szCs w:val="32"/>
          <w:highlight w:val="yellow"/>
          <w:lang w:val="en-US" w:eastAsia="zh-CN"/>
        </w:rPr>
        <w:t>2</w:t>
      </w:r>
      <w:r>
        <w:rPr>
          <w:rFonts w:hint="eastAsia" w:ascii="仿宋" w:hAnsi="仿宋" w:eastAsia="仿宋" w:cs="仿宋"/>
          <w:b w:val="0"/>
          <w:bCs/>
          <w:sz w:val="32"/>
          <w:szCs w:val="32"/>
          <w:highlight w:val="yellow"/>
        </w:rPr>
        <w:t>年</w:t>
      </w:r>
      <w:r>
        <w:rPr>
          <w:rFonts w:hint="eastAsia" w:ascii="仿宋" w:hAnsi="仿宋" w:eastAsia="仿宋" w:cs="仿宋"/>
          <w:b w:val="0"/>
          <w:bCs/>
          <w:sz w:val="32"/>
          <w:szCs w:val="32"/>
          <w:highlight w:val="yellow"/>
          <w:lang w:val="en-US" w:eastAsia="zh-CN"/>
        </w:rPr>
        <w:t>8月30</w:t>
      </w:r>
      <w:r>
        <w:rPr>
          <w:rFonts w:hint="eastAsia" w:ascii="仿宋" w:hAnsi="仿宋" w:eastAsia="仿宋" w:cs="仿宋"/>
          <w:b w:val="0"/>
          <w:bCs/>
          <w:sz w:val="32"/>
          <w:szCs w:val="32"/>
          <w:highlight w:val="yellow"/>
        </w:rPr>
        <w:t>日</w:t>
      </w:r>
      <w:r>
        <w:rPr>
          <w:rFonts w:hint="eastAsia" w:ascii="仿宋" w:hAnsi="仿宋" w:eastAsia="仿宋" w:cs="仿宋"/>
          <w:b w:val="0"/>
          <w:bCs/>
          <w:sz w:val="32"/>
          <w:szCs w:val="32"/>
          <w:highlight w:val="yellow"/>
          <w:lang w:val="en-US" w:eastAsia="zh-CN"/>
        </w:rPr>
        <w:t>9</w:t>
      </w:r>
      <w:r>
        <w:rPr>
          <w:rFonts w:hint="eastAsia" w:ascii="仿宋" w:hAnsi="仿宋" w:eastAsia="仿宋" w:cs="仿宋"/>
          <w:b w:val="0"/>
          <w:bCs/>
          <w:sz w:val="32"/>
          <w:szCs w:val="32"/>
          <w:highlight w:val="yellow"/>
        </w:rPr>
        <w:t>时</w:t>
      </w:r>
      <w:r>
        <w:rPr>
          <w:rFonts w:hint="eastAsia" w:ascii="仿宋" w:hAnsi="仿宋" w:eastAsia="仿宋" w:cs="仿宋"/>
          <w:b w:val="0"/>
          <w:bCs/>
          <w:sz w:val="32"/>
          <w:szCs w:val="32"/>
          <w:highlight w:val="yellow"/>
          <w:lang w:val="en-US" w:eastAsia="zh-CN"/>
        </w:rPr>
        <w:t>30</w:t>
      </w:r>
      <w:r>
        <w:rPr>
          <w:rFonts w:hint="eastAsia" w:ascii="仿宋" w:hAnsi="仿宋" w:eastAsia="仿宋" w:cs="仿宋"/>
          <w:b w:val="0"/>
          <w:bCs/>
          <w:sz w:val="32"/>
          <w:szCs w:val="32"/>
          <w:highlight w:val="yellow"/>
        </w:rPr>
        <w:t>分。</w:t>
      </w:r>
    </w:p>
    <w:p>
      <w:pPr>
        <w:pStyle w:val="7"/>
        <w:keepNext w:val="0"/>
        <w:keepLines w:val="0"/>
        <w:pageBreakBefore w:val="0"/>
        <w:widowControl w:val="0"/>
        <w:numPr>
          <w:ilvl w:val="0"/>
          <w:numId w:val="4"/>
        </w:numPr>
        <w:tabs>
          <w:tab w:val="left" w:pos="774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rPr>
        <w:t>开标方式</w:t>
      </w:r>
    </w:p>
    <w:p>
      <w:pPr>
        <w:pStyle w:val="7"/>
        <w:keepNext w:val="0"/>
        <w:keepLines w:val="0"/>
        <w:pageBreakBefore w:val="0"/>
        <w:widowControl w:val="0"/>
        <w:numPr>
          <w:ilvl w:val="0"/>
          <w:numId w:val="0"/>
        </w:numPr>
        <w:tabs>
          <w:tab w:val="left" w:pos="774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现场开标</w:t>
      </w:r>
    </w:p>
    <w:p>
      <w:pPr>
        <w:pStyle w:val="7"/>
        <w:keepNext w:val="0"/>
        <w:keepLines w:val="0"/>
        <w:pageBreakBefore w:val="0"/>
        <w:widowControl w:val="0"/>
        <w:numPr>
          <w:ilvl w:val="0"/>
          <w:numId w:val="4"/>
        </w:numPr>
        <w:tabs>
          <w:tab w:val="left" w:pos="774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rPr>
        <w:t>开标地点</w:t>
      </w:r>
    </w:p>
    <w:p>
      <w:pPr>
        <w:pStyle w:val="7"/>
        <w:keepNext w:val="0"/>
        <w:keepLines w:val="0"/>
        <w:pageBreakBefore w:val="0"/>
        <w:widowControl w:val="0"/>
        <w:numPr>
          <w:ilvl w:val="0"/>
          <w:numId w:val="0"/>
        </w:numPr>
        <w:tabs>
          <w:tab w:val="left" w:pos="774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广东省深圳市罗湖区桂园路红围街19号深圳市鹏劳人力资源管理有限公司一楼会议室。</w:t>
      </w:r>
    </w:p>
    <w:p>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19" w:firstLine="640" w:firstLineChars="200"/>
        <w:jc w:val="left"/>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lang w:eastAsia="zh-CN"/>
        </w:rPr>
        <w:t>（</w:t>
      </w:r>
      <w:r>
        <w:rPr>
          <w:rFonts w:hint="eastAsia" w:ascii="楷体" w:hAnsi="楷体" w:eastAsia="楷体" w:cs="楷体"/>
          <w:b w:val="0"/>
          <w:bCs/>
          <w:sz w:val="32"/>
          <w:szCs w:val="32"/>
          <w:highlight w:val="none"/>
          <w:lang w:val="en-US" w:eastAsia="zh-CN"/>
        </w:rPr>
        <w:t>四）</w:t>
      </w:r>
      <w:r>
        <w:rPr>
          <w:rFonts w:hint="eastAsia" w:ascii="楷体" w:hAnsi="楷体" w:eastAsia="楷体" w:cs="楷体"/>
          <w:b w:val="0"/>
          <w:bCs/>
          <w:sz w:val="32"/>
          <w:szCs w:val="32"/>
          <w:highlight w:val="none"/>
        </w:rPr>
        <w:t>开标程序</w:t>
      </w:r>
    </w:p>
    <w:p>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1.</w:t>
      </w:r>
      <w:r>
        <w:rPr>
          <w:rFonts w:hint="eastAsia" w:ascii="仿宋" w:hAnsi="仿宋" w:eastAsia="仿宋" w:cs="仿宋"/>
          <w:b w:val="0"/>
          <w:bCs/>
          <w:sz w:val="32"/>
          <w:szCs w:val="32"/>
          <w:highlight w:val="none"/>
        </w:rPr>
        <w:t>招标人工作组进场；</w:t>
      </w:r>
    </w:p>
    <w:p>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2.</w:t>
      </w:r>
      <w:r>
        <w:rPr>
          <w:rFonts w:hint="eastAsia" w:ascii="仿宋" w:hAnsi="仿宋" w:eastAsia="仿宋" w:cs="仿宋"/>
          <w:b w:val="0"/>
          <w:bCs/>
          <w:sz w:val="32"/>
          <w:szCs w:val="32"/>
          <w:highlight w:val="none"/>
        </w:rPr>
        <w:t>招标人监督员、投标人代表检查投标文件密封情况并向工作组组长通报加密情况；</w:t>
      </w:r>
    </w:p>
    <w:p>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3.</w:t>
      </w:r>
      <w:r>
        <w:rPr>
          <w:rFonts w:hint="eastAsia" w:ascii="仿宋" w:hAnsi="仿宋" w:eastAsia="仿宋" w:cs="仿宋"/>
          <w:b w:val="0"/>
          <w:bCs/>
          <w:sz w:val="32"/>
          <w:szCs w:val="32"/>
          <w:highlight w:val="none"/>
        </w:rPr>
        <w:t>招标人工作组组长宣布开标；</w:t>
      </w:r>
    </w:p>
    <w:p>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4.</w:t>
      </w:r>
      <w:r>
        <w:rPr>
          <w:rFonts w:hint="eastAsia" w:ascii="仿宋" w:hAnsi="仿宋" w:eastAsia="仿宋" w:cs="仿宋"/>
          <w:b w:val="0"/>
          <w:bCs/>
          <w:sz w:val="32"/>
          <w:szCs w:val="32"/>
          <w:highlight w:val="none"/>
        </w:rPr>
        <w:t>招标人工作组成员逐一拆开唱标信封，现场唱标并形成《开标记录表》；</w:t>
      </w:r>
    </w:p>
    <w:p>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5.</w:t>
      </w:r>
      <w:r>
        <w:rPr>
          <w:rFonts w:hint="eastAsia" w:ascii="仿宋" w:hAnsi="仿宋" w:eastAsia="仿宋" w:cs="仿宋"/>
          <w:b w:val="0"/>
          <w:bCs/>
          <w:sz w:val="32"/>
          <w:szCs w:val="32"/>
          <w:highlight w:val="none"/>
        </w:rPr>
        <w:t>投标人代表确认开标记录，签字确认并离场。</w:t>
      </w:r>
    </w:p>
    <w:p>
      <w:pPr>
        <w:pStyle w:val="7"/>
        <w:pageBreakBefore w:val="0"/>
        <w:tabs>
          <w:tab w:val="left" w:pos="7740"/>
        </w:tabs>
        <w:kinsoku/>
        <w:wordWrap/>
        <w:overflowPunct/>
        <w:topLinePunct w:val="0"/>
        <w:autoSpaceDE/>
        <w:autoSpaceDN/>
        <w:bidi w:val="0"/>
        <w:adjustRightInd w:val="0"/>
        <w:snapToGrid w:val="0"/>
        <w:spacing w:line="560" w:lineRule="exact"/>
        <w:ind w:left="619" w:firstLine="0" w:firstLineChars="0"/>
        <w:jc w:val="left"/>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lang w:eastAsia="zh-CN"/>
        </w:rPr>
        <w:t>（</w:t>
      </w:r>
      <w:r>
        <w:rPr>
          <w:rFonts w:hint="eastAsia" w:ascii="楷体" w:hAnsi="楷体" w:eastAsia="楷体" w:cs="楷体"/>
          <w:b w:val="0"/>
          <w:bCs/>
          <w:sz w:val="32"/>
          <w:szCs w:val="32"/>
          <w:highlight w:val="none"/>
          <w:lang w:val="en-US" w:eastAsia="zh-CN"/>
        </w:rPr>
        <w:t>五）</w:t>
      </w:r>
      <w:r>
        <w:rPr>
          <w:rFonts w:hint="eastAsia" w:ascii="楷体" w:hAnsi="楷体" w:eastAsia="楷体" w:cs="楷体"/>
          <w:b w:val="0"/>
          <w:bCs/>
          <w:sz w:val="32"/>
          <w:szCs w:val="32"/>
          <w:highlight w:val="none"/>
        </w:rPr>
        <w:t>注意事项</w:t>
      </w:r>
    </w:p>
    <w:p>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1.</w:t>
      </w:r>
      <w:r>
        <w:rPr>
          <w:rFonts w:hint="eastAsia" w:ascii="仿宋" w:hAnsi="仿宋" w:eastAsia="仿宋" w:cs="仿宋"/>
          <w:b w:val="0"/>
          <w:bCs/>
          <w:sz w:val="32"/>
          <w:szCs w:val="32"/>
          <w:highlight w:val="none"/>
        </w:rPr>
        <w:t>开标全程由投标人代表、招标人派员监督；</w:t>
      </w:r>
    </w:p>
    <w:p>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2.</w:t>
      </w:r>
      <w:r>
        <w:rPr>
          <w:rFonts w:hint="eastAsia" w:ascii="仿宋" w:hAnsi="仿宋" w:eastAsia="仿宋" w:cs="仿宋"/>
          <w:b w:val="0"/>
          <w:bCs/>
          <w:sz w:val="32"/>
          <w:szCs w:val="32"/>
          <w:highlight w:val="none"/>
        </w:rPr>
        <w:t>开标会议全程录音录像；</w:t>
      </w:r>
    </w:p>
    <w:p>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3.</w:t>
      </w:r>
      <w:r>
        <w:rPr>
          <w:rFonts w:hint="eastAsia" w:ascii="仿宋" w:hAnsi="仿宋" w:eastAsia="仿宋" w:cs="仿宋"/>
          <w:b w:val="0"/>
          <w:bCs/>
          <w:sz w:val="32"/>
          <w:szCs w:val="32"/>
          <w:highlight w:val="none"/>
        </w:rPr>
        <w:t>投标人代表因故未能到场，或到场后中途离场的，视同为投标人主动放弃监督权利且投标人对开标结果完全认可，投标人不得再就此提出质疑或投诉。</w:t>
      </w:r>
    </w:p>
    <w:p>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val="en-US" w:eastAsia="zh-CN"/>
        </w:rPr>
        <w:t>4.实质性响应投标人少于3家的，不予开标，根据招标人经营管理需要转其他采购方式。</w:t>
      </w:r>
    </w:p>
    <w:p>
      <w:pPr>
        <w:pStyle w:val="4"/>
        <w:pageBreakBefore w:val="0"/>
        <w:kinsoku/>
        <w:wordWrap/>
        <w:overflowPunct/>
        <w:topLinePunct w:val="0"/>
        <w:autoSpaceDE/>
        <w:autoSpaceDN/>
        <w:bidi w:val="0"/>
        <w:spacing w:line="560" w:lineRule="exact"/>
        <w:ind w:firstLine="560"/>
        <w:textAlignment w:val="auto"/>
        <w:rPr>
          <w:rFonts w:hint="eastAsia" w:ascii="黑体" w:hAnsi="黑体" w:eastAsia="黑体" w:cs="黑体"/>
          <w:b w:val="0"/>
          <w:bCs/>
          <w:sz w:val="32"/>
          <w:szCs w:val="32"/>
          <w:highlight w:val="none"/>
        </w:rPr>
      </w:pPr>
      <w:bookmarkStart w:id="17" w:name="_Toc28122"/>
      <w:r>
        <w:rPr>
          <w:rFonts w:hint="eastAsia" w:ascii="黑体" w:hAnsi="黑体" w:eastAsia="黑体" w:cs="黑体"/>
          <w:b w:val="0"/>
          <w:bCs/>
          <w:sz w:val="32"/>
          <w:szCs w:val="32"/>
          <w:highlight w:val="none"/>
        </w:rPr>
        <w:t>十</w:t>
      </w:r>
      <w:r>
        <w:rPr>
          <w:rFonts w:hint="eastAsia" w:ascii="黑体" w:hAnsi="黑体" w:eastAsia="黑体" w:cs="黑体"/>
          <w:b w:val="0"/>
          <w:bCs/>
          <w:sz w:val="32"/>
          <w:szCs w:val="32"/>
          <w:highlight w:val="none"/>
          <w:lang w:eastAsia="zh-CN"/>
        </w:rPr>
        <w:t>二</w:t>
      </w:r>
      <w:r>
        <w:rPr>
          <w:rFonts w:hint="eastAsia" w:ascii="黑体" w:hAnsi="黑体" w:eastAsia="黑体" w:cs="黑体"/>
          <w:b w:val="0"/>
          <w:bCs/>
          <w:sz w:val="32"/>
          <w:szCs w:val="32"/>
          <w:highlight w:val="none"/>
        </w:rPr>
        <w:t>、评标</w:t>
      </w:r>
      <w:bookmarkEnd w:id="17"/>
    </w:p>
    <w:p>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firstLine="560"/>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lang w:eastAsia="zh-CN"/>
        </w:rPr>
        <w:t>（</w:t>
      </w:r>
      <w:r>
        <w:rPr>
          <w:rFonts w:hint="eastAsia" w:ascii="楷体" w:hAnsi="楷体" w:eastAsia="楷体" w:cs="楷体"/>
          <w:b w:val="0"/>
          <w:bCs/>
          <w:sz w:val="32"/>
          <w:szCs w:val="32"/>
          <w:highlight w:val="none"/>
          <w:lang w:val="en-US" w:eastAsia="zh-CN"/>
        </w:rPr>
        <w:t>一）</w:t>
      </w:r>
      <w:r>
        <w:rPr>
          <w:rFonts w:hint="eastAsia" w:ascii="楷体" w:hAnsi="楷体" w:eastAsia="楷体" w:cs="楷体"/>
          <w:b w:val="0"/>
          <w:bCs/>
          <w:sz w:val="32"/>
          <w:szCs w:val="32"/>
          <w:highlight w:val="none"/>
        </w:rPr>
        <w:t>评标方法</w:t>
      </w:r>
    </w:p>
    <w:p>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firstLine="56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本项目采用综合评标法。</w:t>
      </w:r>
    </w:p>
    <w:p>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firstLine="560"/>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lang w:eastAsia="zh-CN"/>
        </w:rPr>
        <w:t>（</w:t>
      </w:r>
      <w:r>
        <w:rPr>
          <w:rFonts w:hint="eastAsia" w:ascii="楷体" w:hAnsi="楷体" w:eastAsia="楷体" w:cs="楷体"/>
          <w:b w:val="0"/>
          <w:bCs/>
          <w:sz w:val="32"/>
          <w:szCs w:val="32"/>
          <w:highlight w:val="none"/>
          <w:lang w:val="en-US" w:eastAsia="zh-CN"/>
        </w:rPr>
        <w:t>二）</w:t>
      </w:r>
      <w:r>
        <w:rPr>
          <w:rFonts w:hint="eastAsia" w:ascii="楷体" w:hAnsi="楷体" w:eastAsia="楷体" w:cs="楷体"/>
          <w:b w:val="0"/>
          <w:bCs/>
          <w:sz w:val="32"/>
          <w:szCs w:val="32"/>
          <w:highlight w:val="none"/>
        </w:rPr>
        <w:t>评标细则及标准</w:t>
      </w:r>
    </w:p>
    <w:p>
      <w:pPr>
        <w:pStyle w:val="7"/>
        <w:keepNext w:val="0"/>
        <w:keepLines w:val="0"/>
        <w:pageBreakBefore w:val="0"/>
        <w:widowControl w:val="0"/>
        <w:numPr>
          <w:ilvl w:val="0"/>
          <w:numId w:val="0"/>
        </w:numPr>
        <w:tabs>
          <w:tab w:val="left" w:pos="7740"/>
        </w:tabs>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见“</w:t>
      </w:r>
      <w:r>
        <w:rPr>
          <w:rFonts w:hint="eastAsia" w:ascii="仿宋" w:hAnsi="仿宋" w:eastAsia="仿宋" w:cs="仿宋"/>
          <w:b w:val="0"/>
          <w:bCs/>
          <w:sz w:val="32"/>
          <w:szCs w:val="32"/>
          <w:highlight w:val="none"/>
          <w:lang w:eastAsia="zh-CN"/>
        </w:rPr>
        <w:t>招标文件</w:t>
      </w:r>
      <w:r>
        <w:rPr>
          <w:rFonts w:hint="eastAsia" w:ascii="仿宋" w:hAnsi="仿宋" w:eastAsia="仿宋" w:cs="仿宋"/>
          <w:b w:val="0"/>
          <w:bCs/>
          <w:sz w:val="32"/>
          <w:szCs w:val="32"/>
          <w:highlight w:val="none"/>
        </w:rPr>
        <w:t xml:space="preserve"> 第二章 评标程序及标准”）</w:t>
      </w:r>
    </w:p>
    <w:p>
      <w:pPr>
        <w:pStyle w:val="4"/>
        <w:pageBreakBefore w:val="0"/>
        <w:kinsoku/>
        <w:wordWrap/>
        <w:overflowPunct/>
        <w:topLinePunct w:val="0"/>
        <w:autoSpaceDE/>
        <w:autoSpaceDN/>
        <w:bidi w:val="0"/>
        <w:spacing w:line="560" w:lineRule="exact"/>
        <w:ind w:firstLine="560"/>
        <w:textAlignment w:val="auto"/>
        <w:rPr>
          <w:rFonts w:hint="eastAsia" w:ascii="黑体" w:hAnsi="黑体" w:eastAsia="黑体" w:cs="黑体"/>
          <w:b w:val="0"/>
          <w:bCs/>
          <w:sz w:val="32"/>
          <w:szCs w:val="32"/>
          <w:highlight w:val="none"/>
        </w:rPr>
      </w:pPr>
      <w:bookmarkStart w:id="18" w:name="_Toc5346"/>
      <w:r>
        <w:rPr>
          <w:rFonts w:hint="eastAsia" w:ascii="黑体" w:hAnsi="黑体" w:eastAsia="黑体" w:cs="黑体"/>
          <w:b w:val="0"/>
          <w:bCs/>
          <w:sz w:val="32"/>
          <w:szCs w:val="32"/>
          <w:highlight w:val="none"/>
        </w:rPr>
        <w:t>十</w:t>
      </w:r>
      <w:r>
        <w:rPr>
          <w:rFonts w:hint="eastAsia" w:ascii="黑体" w:hAnsi="黑体" w:eastAsia="黑体" w:cs="黑体"/>
          <w:b w:val="0"/>
          <w:bCs/>
          <w:sz w:val="32"/>
          <w:szCs w:val="32"/>
          <w:highlight w:val="none"/>
          <w:lang w:eastAsia="zh-CN"/>
        </w:rPr>
        <w:t>三</w:t>
      </w:r>
      <w:r>
        <w:rPr>
          <w:rFonts w:hint="eastAsia" w:ascii="黑体" w:hAnsi="黑体" w:eastAsia="黑体" w:cs="黑体"/>
          <w:b w:val="0"/>
          <w:bCs/>
          <w:sz w:val="32"/>
          <w:szCs w:val="32"/>
          <w:highlight w:val="none"/>
        </w:rPr>
        <w:t>、定标</w:t>
      </w:r>
      <w:bookmarkEnd w:id="18"/>
    </w:p>
    <w:p>
      <w:pPr>
        <w:pStyle w:val="7"/>
        <w:pageBreakBefore w:val="0"/>
        <w:tabs>
          <w:tab w:val="left" w:pos="7740"/>
        </w:tabs>
        <w:kinsoku/>
        <w:wordWrap/>
        <w:overflowPunct/>
        <w:topLinePunct w:val="0"/>
        <w:autoSpaceDE/>
        <w:autoSpaceDN/>
        <w:bidi w:val="0"/>
        <w:adjustRightInd w:val="0"/>
        <w:snapToGrid w:val="0"/>
        <w:spacing w:line="560" w:lineRule="exact"/>
        <w:ind w:firstLine="56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由招标人招标决策委员会依据评标报告综合评价定标。</w:t>
      </w:r>
    </w:p>
    <w:p>
      <w:pPr>
        <w:pStyle w:val="4"/>
        <w:pageBreakBefore w:val="0"/>
        <w:kinsoku/>
        <w:wordWrap/>
        <w:overflowPunct/>
        <w:topLinePunct w:val="0"/>
        <w:autoSpaceDE/>
        <w:autoSpaceDN/>
        <w:bidi w:val="0"/>
        <w:spacing w:line="560" w:lineRule="exact"/>
        <w:ind w:firstLine="560"/>
        <w:textAlignment w:val="auto"/>
        <w:rPr>
          <w:rFonts w:hint="eastAsia" w:ascii="黑体" w:hAnsi="黑体" w:eastAsia="黑体" w:cs="黑体"/>
          <w:b w:val="0"/>
          <w:bCs/>
          <w:sz w:val="32"/>
          <w:szCs w:val="32"/>
          <w:highlight w:val="none"/>
        </w:rPr>
      </w:pPr>
      <w:bookmarkStart w:id="19" w:name="_Toc31323"/>
      <w:r>
        <w:rPr>
          <w:rFonts w:hint="eastAsia" w:ascii="黑体" w:hAnsi="黑体" w:eastAsia="黑体" w:cs="黑体"/>
          <w:b w:val="0"/>
          <w:bCs/>
          <w:sz w:val="32"/>
          <w:szCs w:val="32"/>
          <w:highlight w:val="none"/>
        </w:rPr>
        <w:t>十</w:t>
      </w:r>
      <w:r>
        <w:rPr>
          <w:rFonts w:hint="eastAsia" w:ascii="黑体" w:hAnsi="黑体" w:eastAsia="黑体" w:cs="黑体"/>
          <w:b w:val="0"/>
          <w:bCs/>
          <w:sz w:val="32"/>
          <w:szCs w:val="32"/>
          <w:highlight w:val="none"/>
          <w:lang w:eastAsia="zh-CN"/>
        </w:rPr>
        <w:t>四</w:t>
      </w:r>
      <w:r>
        <w:rPr>
          <w:rFonts w:hint="eastAsia" w:ascii="黑体" w:hAnsi="黑体" w:eastAsia="黑体" w:cs="黑体"/>
          <w:b w:val="0"/>
          <w:bCs/>
          <w:sz w:val="32"/>
          <w:szCs w:val="32"/>
          <w:highlight w:val="none"/>
        </w:rPr>
        <w:t>、结算方式</w:t>
      </w:r>
      <w:bookmarkEnd w:id="19"/>
    </w:p>
    <w:p>
      <w:pPr>
        <w:pStyle w:val="7"/>
        <w:pageBreakBefore w:val="0"/>
        <w:tabs>
          <w:tab w:val="left" w:pos="7740"/>
        </w:tabs>
        <w:kinsoku/>
        <w:wordWrap/>
        <w:overflowPunct/>
        <w:topLinePunct w:val="0"/>
        <w:autoSpaceDE/>
        <w:autoSpaceDN/>
        <w:bidi w:val="0"/>
        <w:adjustRightInd w:val="0"/>
        <w:snapToGrid w:val="0"/>
        <w:spacing w:line="560" w:lineRule="exact"/>
        <w:ind w:firstLine="560" w:firstLineChars="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按本文件“</w:t>
      </w:r>
      <w:r>
        <w:rPr>
          <w:rFonts w:hint="eastAsia" w:ascii="仿宋" w:hAnsi="仿宋" w:eastAsia="仿宋" w:cs="仿宋"/>
          <w:b w:val="0"/>
          <w:bCs/>
          <w:sz w:val="32"/>
          <w:szCs w:val="32"/>
          <w:highlight w:val="none"/>
          <w:lang w:eastAsia="zh-CN"/>
        </w:rPr>
        <w:t>招标文件</w:t>
      </w:r>
      <w:r>
        <w:rPr>
          <w:rFonts w:hint="eastAsia" w:ascii="仿宋" w:hAnsi="仿宋" w:eastAsia="仿宋" w:cs="仿宋"/>
          <w:b w:val="0"/>
          <w:bCs/>
          <w:sz w:val="32"/>
          <w:szCs w:val="32"/>
          <w:highlight w:val="none"/>
        </w:rPr>
        <w:t xml:space="preserve"> 第三章 合同条款”约定的结算方式执行。</w:t>
      </w:r>
    </w:p>
    <w:p>
      <w:pPr>
        <w:pStyle w:val="4"/>
        <w:pageBreakBefore w:val="0"/>
        <w:kinsoku/>
        <w:wordWrap/>
        <w:overflowPunct/>
        <w:topLinePunct w:val="0"/>
        <w:autoSpaceDE/>
        <w:autoSpaceDN/>
        <w:bidi w:val="0"/>
        <w:spacing w:line="560" w:lineRule="exact"/>
        <w:ind w:firstLine="560"/>
        <w:textAlignment w:val="auto"/>
        <w:rPr>
          <w:rFonts w:hint="eastAsia" w:ascii="黑体" w:hAnsi="黑体" w:eastAsia="黑体" w:cs="黑体"/>
          <w:b w:val="0"/>
          <w:bCs/>
          <w:sz w:val="32"/>
          <w:szCs w:val="32"/>
          <w:highlight w:val="none"/>
        </w:rPr>
      </w:pPr>
      <w:bookmarkStart w:id="20" w:name="_Toc3888"/>
      <w:r>
        <w:rPr>
          <w:rFonts w:hint="eastAsia" w:ascii="黑体" w:hAnsi="黑体" w:eastAsia="黑体" w:cs="黑体"/>
          <w:b w:val="0"/>
          <w:bCs/>
          <w:sz w:val="32"/>
          <w:szCs w:val="32"/>
          <w:highlight w:val="none"/>
        </w:rPr>
        <w:t>十</w:t>
      </w:r>
      <w:r>
        <w:rPr>
          <w:rFonts w:hint="eastAsia" w:ascii="黑体" w:hAnsi="黑体" w:eastAsia="黑体" w:cs="黑体"/>
          <w:b w:val="0"/>
          <w:bCs/>
          <w:sz w:val="32"/>
          <w:szCs w:val="32"/>
          <w:highlight w:val="none"/>
          <w:lang w:eastAsia="zh-CN"/>
        </w:rPr>
        <w:t>五</w:t>
      </w:r>
      <w:r>
        <w:rPr>
          <w:rFonts w:hint="eastAsia" w:ascii="黑体" w:hAnsi="黑体" w:eastAsia="黑体" w:cs="黑体"/>
          <w:b w:val="0"/>
          <w:bCs/>
          <w:sz w:val="32"/>
          <w:szCs w:val="32"/>
          <w:highlight w:val="none"/>
        </w:rPr>
        <w:t>、解释权</w:t>
      </w:r>
      <w:bookmarkEnd w:id="20"/>
    </w:p>
    <w:p>
      <w:pPr>
        <w:pStyle w:val="7"/>
        <w:pageBreakBefore w:val="0"/>
        <w:tabs>
          <w:tab w:val="left" w:pos="7740"/>
        </w:tabs>
        <w:kinsoku/>
        <w:wordWrap/>
        <w:overflowPunct/>
        <w:topLinePunct w:val="0"/>
        <w:autoSpaceDE/>
        <w:autoSpaceDN/>
        <w:bidi w:val="0"/>
        <w:adjustRightInd w:val="0"/>
        <w:snapToGrid w:val="0"/>
        <w:spacing w:line="560" w:lineRule="exact"/>
        <w:ind w:firstLine="56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招标文件解释权归深圳市鹏劳人力资源管理有限公司招标决策委员会所有。</w:t>
      </w:r>
    </w:p>
    <w:p>
      <w:pPr>
        <w:pStyle w:val="12"/>
        <w:pageBreakBefore w:val="0"/>
        <w:kinsoku/>
        <w:overflowPunct/>
        <w:topLinePunct w:val="0"/>
        <w:autoSpaceDE/>
        <w:autoSpaceDN/>
        <w:bidi w:val="0"/>
        <w:spacing w:line="560" w:lineRule="exact"/>
        <w:ind w:firstLine="0" w:firstLineChars="0"/>
        <w:outlineLvl w:val="9"/>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br w:type="page"/>
      </w:r>
    </w:p>
    <w:p>
      <w:pPr>
        <w:pStyle w:val="3"/>
        <w:pageBreakBefore w:val="0"/>
        <w:kinsoku/>
        <w:overflowPunct/>
        <w:topLinePunct w:val="0"/>
        <w:autoSpaceDE/>
        <w:autoSpaceDN/>
        <w:bidi w:val="0"/>
        <w:spacing w:line="560" w:lineRule="exact"/>
        <w:jc w:val="center"/>
        <w:rPr>
          <w:rFonts w:hint="eastAsia" w:ascii="黑体" w:hAnsi="黑体" w:eastAsia="黑体" w:cs="黑体"/>
          <w:b w:val="0"/>
          <w:bCs/>
          <w:sz w:val="32"/>
          <w:szCs w:val="32"/>
          <w:highlight w:val="none"/>
        </w:rPr>
      </w:pPr>
      <w:bookmarkStart w:id="21" w:name="_Toc25565"/>
      <w:bookmarkStart w:id="22" w:name="_Toc16932"/>
      <w:r>
        <w:rPr>
          <w:rFonts w:hint="eastAsia" w:ascii="黑体" w:hAnsi="黑体" w:eastAsia="黑体" w:cs="黑体"/>
          <w:b w:val="0"/>
          <w:bCs/>
          <w:sz w:val="32"/>
          <w:szCs w:val="32"/>
          <w:highlight w:val="none"/>
        </w:rPr>
        <w:t xml:space="preserve">第二章 </w:t>
      </w:r>
      <w:bookmarkEnd w:id="21"/>
      <w:r>
        <w:rPr>
          <w:rFonts w:hint="eastAsia" w:ascii="黑体" w:hAnsi="黑体" w:eastAsia="黑体" w:cs="黑体"/>
          <w:b w:val="0"/>
          <w:bCs/>
          <w:sz w:val="32"/>
          <w:szCs w:val="32"/>
          <w:highlight w:val="none"/>
        </w:rPr>
        <w:t>评标程序及标准</w:t>
      </w:r>
      <w:bookmarkEnd w:id="2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本项目采用综合评估法。是指在最大限度地满足招标文件实质性要求前提下，按照招标文件规定的评审标准进行评审，按评审因素的量化指标评审排序靠前的推荐中标候选人。得分相同的，按投标报价由低到高顺序排列；得分且投标报价相同的，按技术指标或服务方案得分顺序排列；如技术指标或服务方案得分仍然相同，则采用抽签的方法确定中标候选人的排序。具体程序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highlight w:val="none"/>
        </w:rPr>
      </w:pPr>
      <w:bookmarkStart w:id="23" w:name="_Toc40445480"/>
      <w:bookmarkStart w:id="24" w:name="_Toc532127158"/>
      <w:r>
        <w:rPr>
          <w:rFonts w:hint="eastAsia" w:ascii="黑体" w:hAnsi="黑体" w:eastAsia="黑体" w:cs="黑体"/>
          <w:b w:val="0"/>
          <w:bCs/>
          <w:sz w:val="32"/>
          <w:szCs w:val="32"/>
          <w:highlight w:val="none"/>
          <w:lang w:val="en-US" w:eastAsia="zh-CN"/>
        </w:rPr>
        <w:t>一、</w:t>
      </w:r>
      <w:r>
        <w:rPr>
          <w:rFonts w:hint="eastAsia" w:ascii="黑体" w:hAnsi="黑体" w:eastAsia="黑体" w:cs="黑体"/>
          <w:b w:val="0"/>
          <w:bCs/>
          <w:sz w:val="32"/>
          <w:szCs w:val="32"/>
          <w:highlight w:val="none"/>
        </w:rPr>
        <w:t>初步评审</w:t>
      </w:r>
      <w:bookmarkEnd w:id="23"/>
      <w:bookmarkEnd w:id="2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评标专家组根据投标人</w:t>
      </w:r>
      <w:r>
        <w:rPr>
          <w:rFonts w:hint="eastAsia" w:ascii="仿宋" w:hAnsi="仿宋" w:eastAsia="仿宋" w:cs="仿宋"/>
          <w:b w:val="0"/>
          <w:bCs/>
          <w:sz w:val="32"/>
          <w:szCs w:val="32"/>
          <w:highlight w:val="none"/>
          <w:lang w:eastAsia="zh-CN"/>
        </w:rPr>
        <w:t>投标文件</w:t>
      </w:r>
      <w:r>
        <w:rPr>
          <w:rFonts w:hint="eastAsia" w:ascii="仿宋" w:hAnsi="仿宋" w:eastAsia="仿宋" w:cs="仿宋"/>
          <w:b w:val="0"/>
          <w:bCs/>
          <w:sz w:val="32"/>
          <w:szCs w:val="32"/>
          <w:highlight w:val="none"/>
        </w:rPr>
        <w:t>进行</w:t>
      </w:r>
      <w:r>
        <w:rPr>
          <w:rFonts w:hint="eastAsia" w:ascii="仿宋" w:hAnsi="仿宋" w:eastAsia="仿宋" w:cs="仿宋"/>
          <w:b w:val="0"/>
          <w:bCs/>
          <w:sz w:val="32"/>
          <w:szCs w:val="32"/>
          <w:highlight w:val="none"/>
          <w:lang w:eastAsia="zh-CN"/>
        </w:rPr>
        <w:t>资质</w:t>
      </w:r>
      <w:r>
        <w:rPr>
          <w:rFonts w:hint="eastAsia" w:ascii="仿宋" w:hAnsi="仿宋" w:eastAsia="仿宋" w:cs="仿宋"/>
          <w:b w:val="0"/>
          <w:bCs/>
          <w:sz w:val="32"/>
          <w:szCs w:val="32"/>
          <w:highlight w:val="none"/>
        </w:rPr>
        <w:t>核验。有一项不符合评审标准的，评标专家组应否决其投标。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初步评审的结论是“通过”或“不通过”，只有结论为“通过”的投标方能进入下一阶段的评标，否则其投标将按无</w:t>
      </w:r>
      <w:r>
        <w:rPr>
          <w:rFonts w:hint="eastAsia" w:ascii="仿宋" w:hAnsi="仿宋" w:eastAsia="仿宋" w:cs="仿宋"/>
          <w:b w:val="0"/>
          <w:bCs/>
          <w:sz w:val="32"/>
          <w:szCs w:val="32"/>
          <w:highlight w:val="none"/>
          <w:lang w:eastAsia="zh-CN"/>
        </w:rPr>
        <w:t>投标无效</w:t>
      </w:r>
      <w:r>
        <w:rPr>
          <w:rFonts w:hint="eastAsia" w:ascii="仿宋" w:hAnsi="仿宋" w:eastAsia="仿宋" w:cs="仿宋"/>
          <w:b w:val="0"/>
          <w:bCs/>
          <w:sz w:val="32"/>
          <w:szCs w:val="32"/>
          <w:highlight w:val="none"/>
        </w:rPr>
        <w:t>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highlight w:val="none"/>
          <w:lang w:val="en-US" w:eastAsia="zh-CN"/>
        </w:rPr>
      </w:pPr>
      <w:bookmarkStart w:id="25" w:name="_bookmark89"/>
      <w:bookmarkEnd w:id="25"/>
      <w:bookmarkStart w:id="26" w:name="_Toc40445481"/>
      <w:bookmarkStart w:id="27" w:name="_Toc532127159"/>
      <w:r>
        <w:rPr>
          <w:rFonts w:hint="eastAsia" w:ascii="黑体" w:hAnsi="黑体" w:eastAsia="黑体" w:cs="黑体"/>
          <w:b w:val="0"/>
          <w:bCs/>
          <w:sz w:val="32"/>
          <w:szCs w:val="32"/>
          <w:highlight w:val="none"/>
          <w:lang w:val="en-US" w:eastAsia="zh-CN"/>
        </w:rPr>
        <w:t>二、详细评审</w:t>
      </w:r>
      <w:bookmarkEnd w:id="26"/>
      <w:bookmarkEnd w:id="2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一）</w:t>
      </w:r>
      <w:r>
        <w:rPr>
          <w:rFonts w:hint="eastAsia" w:ascii="仿宋" w:hAnsi="仿宋" w:eastAsia="仿宋" w:cs="仿宋"/>
          <w:b w:val="0"/>
          <w:bCs/>
          <w:sz w:val="32"/>
          <w:szCs w:val="32"/>
          <w:highlight w:val="none"/>
        </w:rPr>
        <w:t>评标专家组按本章规定的量化因素和分值进行打分并计算出综合评估得分。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1.</w:t>
      </w:r>
      <w:r>
        <w:rPr>
          <w:rFonts w:hint="eastAsia" w:ascii="仿宋" w:hAnsi="仿宋" w:eastAsia="仿宋" w:cs="仿宋"/>
          <w:b w:val="0"/>
          <w:bCs/>
          <w:sz w:val="32"/>
          <w:szCs w:val="32"/>
          <w:highlight w:val="none"/>
        </w:rPr>
        <w:t>按本章商务技术标评分标准规定的评审因素和权重对应分值对商务部分计算出得分A；</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2.</w:t>
      </w:r>
      <w:r>
        <w:rPr>
          <w:rFonts w:hint="eastAsia" w:ascii="仿宋" w:hAnsi="仿宋" w:eastAsia="仿宋" w:cs="仿宋"/>
          <w:b w:val="0"/>
          <w:bCs/>
          <w:sz w:val="32"/>
          <w:szCs w:val="32"/>
          <w:highlight w:val="none"/>
        </w:rPr>
        <w:t>按本章价格标评分方法规定的评审因素和权重对应分值对投标报价计算出得分B；</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3.</w:t>
      </w:r>
      <w:r>
        <w:rPr>
          <w:rFonts w:hint="eastAsia" w:ascii="仿宋" w:hAnsi="仿宋" w:eastAsia="仿宋" w:cs="仿宋"/>
          <w:b w:val="0"/>
          <w:bCs/>
          <w:sz w:val="32"/>
          <w:szCs w:val="32"/>
          <w:highlight w:val="none"/>
        </w:rPr>
        <w:t>评分分值计算保留小数点后两位，小数点后第三位“四舍五入”。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4.</w:t>
      </w:r>
      <w:r>
        <w:rPr>
          <w:rFonts w:hint="eastAsia" w:ascii="仿宋" w:hAnsi="仿宋" w:eastAsia="仿宋" w:cs="仿宋"/>
          <w:b w:val="0"/>
          <w:bCs/>
          <w:sz w:val="32"/>
          <w:szCs w:val="32"/>
          <w:highlight w:val="none"/>
        </w:rPr>
        <w:t>投标人得分=A+B。</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二）</w:t>
      </w:r>
      <w:r>
        <w:rPr>
          <w:rFonts w:hint="eastAsia" w:ascii="仿宋" w:hAnsi="仿宋" w:eastAsia="仿宋" w:cs="仿宋"/>
          <w:b w:val="0"/>
          <w:bCs/>
          <w:sz w:val="32"/>
          <w:szCs w:val="32"/>
          <w:highlight w:val="none"/>
        </w:rPr>
        <w:t>评标专家组发现投标人的报价明显低于其他投标报价，使得其投标报价可能低于其成本的，应当要求该投标人作出书面说明并提供相应的证明材料。投标人不能合理说明或者不能提供相应证明材料的，由评标专家组认定该投标人以低于成本报价竞标，并否决其投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highlight w:val="none"/>
          <w:lang w:val="en-US" w:eastAsia="zh-CN"/>
        </w:rPr>
      </w:pPr>
      <w:bookmarkStart w:id="28" w:name="_Toc40445482"/>
      <w:bookmarkStart w:id="29" w:name="_Toc532127160"/>
      <w:r>
        <w:rPr>
          <w:rFonts w:hint="eastAsia" w:ascii="黑体" w:hAnsi="黑体" w:eastAsia="黑体" w:cs="黑体"/>
          <w:b w:val="0"/>
          <w:bCs/>
          <w:sz w:val="32"/>
          <w:szCs w:val="32"/>
          <w:highlight w:val="none"/>
          <w:lang w:val="en-US" w:eastAsia="zh-CN"/>
        </w:rPr>
        <w:t>三、投标文件的澄清</w:t>
      </w:r>
      <w:bookmarkEnd w:id="28"/>
      <w:bookmarkEnd w:id="29"/>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在评标过程中，评标专家组可以书面形式要求投标人对投标文件中含义不明确、对同类问题表述不一致或者有明显文字和计算错误的内容作必要的澄清、说明或补正。澄清、说明或补正应以电子公文（或书面方式）进行。评标专家组不接受投标人主动提出的澄清、说明或补正。</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澄清、说明或补正不得超出投标文件的范围且不得改变投标文件的实质性内容，并构成投标文件的组成部分。</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评标专家组对投标人提交的澄清、说明或补正有疑问的，可以要求投标人进一步澄清、说明或补正，直至满足评标专家组的要求。</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投标文件存在投标报价问题的，评标专家组可以进行投标报价的算术修正，投标报价算术修正按有利于招标人的原则进行。修正后的投标报价经投标人同意后，对投标人起约束作用。如果投标人不接受修正后的报价，其投标将被拒绝。</w:t>
      </w:r>
      <w:bookmarkStart w:id="30" w:name="_Toc53212716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highlight w:val="none"/>
          <w:lang w:val="en-US" w:eastAsia="zh-CN"/>
        </w:rPr>
      </w:pPr>
      <w:bookmarkStart w:id="31" w:name="_Toc40445483"/>
      <w:r>
        <w:rPr>
          <w:rFonts w:hint="eastAsia" w:ascii="黑体" w:hAnsi="黑体" w:eastAsia="黑体" w:cs="黑体"/>
          <w:b w:val="0"/>
          <w:bCs/>
          <w:sz w:val="32"/>
          <w:szCs w:val="32"/>
          <w:highlight w:val="none"/>
          <w:lang w:val="en-US" w:eastAsia="zh-CN"/>
        </w:rPr>
        <w:t>四、评标结果</w:t>
      </w:r>
      <w:bookmarkEnd w:id="30"/>
      <w:bookmarkEnd w:id="31"/>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评标专家组按照评审分数由低到高的顺序推荐中标候选人，并标明排序。</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评标专家组完成评标后，应当向招标决策委员会提交书面评标报告和中标候选人名单。</w:t>
      </w:r>
      <w:bookmarkStart w:id="32" w:name="_Toc532127162"/>
      <w:r>
        <w:rPr>
          <w:rFonts w:hint="eastAsia" w:ascii="仿宋" w:hAnsi="仿宋" w:eastAsia="仿宋" w:cs="仿宋"/>
          <w:b w:val="0"/>
          <w:bCs/>
          <w:sz w:val="32"/>
          <w:szCs w:val="32"/>
          <w:highlight w:val="none"/>
        </w:rPr>
        <w:t>具体程序如下:</w:t>
      </w:r>
    </w:p>
    <w:bookmarkEnd w:id="32"/>
    <w:p>
      <w:pPr>
        <w:pageBreakBefore w:val="0"/>
        <w:numPr>
          <w:ilvl w:val="0"/>
          <w:numId w:val="7"/>
        </w:numPr>
        <w:kinsoku/>
        <w:overflowPunct/>
        <w:topLinePunct w:val="0"/>
        <w:autoSpaceDE/>
        <w:autoSpaceDN/>
        <w:bidi w:val="0"/>
        <w:spacing w:line="560" w:lineRule="exact"/>
        <w:ind w:left="0" w:leftChars="0" w:firstLine="640" w:firstLineChars="200"/>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按评审综合得分从高至低的顺序进行排序，向招标人决策委员会推荐评审总得分排名靠前的投标人为中标候选人，推荐数为2家。</w:t>
      </w:r>
    </w:p>
    <w:p>
      <w:pPr>
        <w:pageBreakBefore w:val="0"/>
        <w:numPr>
          <w:ilvl w:val="0"/>
          <w:numId w:val="7"/>
        </w:numPr>
        <w:kinsoku/>
        <w:overflowPunct/>
        <w:topLinePunct w:val="0"/>
        <w:autoSpaceDE/>
        <w:autoSpaceDN/>
        <w:bidi w:val="0"/>
        <w:spacing w:line="560" w:lineRule="exact"/>
        <w:ind w:left="0" w:leftChars="0" w:firstLine="640" w:firstLineChars="200"/>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若出现评审综合得分相同的情形，按投标报价由低到高顺序排列；得分且投标报价相同的，按商务技术标得分顺序排列；如商务技术标得分仍然相同，则采用抽签的方法确定中标候选人的排序。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val="en-US" w:eastAsia="zh-CN"/>
        </w:rPr>
        <w:t>五、转为竞争性谈判的程序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按照</w:t>
      </w:r>
      <w:r>
        <w:rPr>
          <w:rFonts w:hint="eastAsia" w:ascii="仿宋" w:hAnsi="仿宋" w:eastAsia="仿宋" w:cs="仿宋"/>
          <w:b w:val="0"/>
          <w:bCs/>
          <w:sz w:val="32"/>
          <w:szCs w:val="32"/>
          <w:highlight w:val="none"/>
        </w:rPr>
        <w:t>法律法规规定执行。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highlight w:val="none"/>
          <w:lang w:val="en-US" w:eastAsia="zh-CN"/>
        </w:rPr>
      </w:pPr>
      <w:bookmarkStart w:id="33" w:name="_Toc40445485"/>
      <w:bookmarkStart w:id="34" w:name="_Toc532127163"/>
      <w:r>
        <w:rPr>
          <w:rFonts w:hint="eastAsia" w:ascii="黑体" w:hAnsi="黑体" w:eastAsia="黑体" w:cs="黑体"/>
          <w:b w:val="0"/>
          <w:bCs/>
          <w:sz w:val="32"/>
          <w:szCs w:val="32"/>
          <w:highlight w:val="none"/>
          <w:lang w:val="en-US" w:eastAsia="zh-CN"/>
        </w:rPr>
        <w:t>六、附表</w:t>
      </w:r>
      <w:bookmarkEnd w:id="33"/>
      <w:bookmarkEnd w:id="3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附表1-1《商务技术标评审标准》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附表2-1《价格标评分方法》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附表3-1《商务技术标、价格标权重表》</w:t>
      </w:r>
    </w:p>
    <w:p>
      <w:pPr>
        <w:keepNext/>
        <w:keepLines/>
        <w:pageBreakBefore w:val="0"/>
        <w:widowControl/>
        <w:numPr>
          <w:ilvl w:val="3"/>
          <w:numId w:val="0"/>
        </w:numPr>
        <w:kinsoku/>
        <w:overflowPunct/>
        <w:topLinePunct w:val="0"/>
        <w:autoSpaceDE/>
        <w:autoSpaceDN/>
        <w:bidi w:val="0"/>
        <w:adjustRightInd w:val="0"/>
        <w:snapToGrid w:val="0"/>
        <w:spacing w:line="560" w:lineRule="exact"/>
        <w:outlineLvl w:val="3"/>
        <w:rPr>
          <w:rFonts w:hint="eastAsia" w:ascii="仿宋" w:hAnsi="仿宋" w:eastAsia="仿宋" w:cs="仿宋"/>
          <w:b w:val="0"/>
          <w:bCs/>
          <w:sz w:val="32"/>
          <w:szCs w:val="32"/>
          <w:highlight w:val="none"/>
        </w:rPr>
      </w:pPr>
      <w:bookmarkStart w:id="35" w:name="_bookmark91"/>
      <w:bookmarkEnd w:id="35"/>
      <w:bookmarkStart w:id="36" w:name="_bookmark90"/>
      <w:bookmarkEnd w:id="36"/>
      <w:r>
        <w:rPr>
          <w:rFonts w:hint="eastAsia" w:ascii="仿宋" w:hAnsi="仿宋" w:eastAsia="仿宋" w:cs="仿宋"/>
          <w:b w:val="0"/>
          <w:bCs/>
          <w:sz w:val="32"/>
          <w:szCs w:val="32"/>
          <w:highlight w:val="none"/>
        </w:rPr>
        <w:br w:type="page"/>
      </w:r>
      <w:r>
        <w:rPr>
          <w:rFonts w:hint="eastAsia" w:ascii="仿宋" w:hAnsi="仿宋" w:eastAsia="仿宋" w:cs="仿宋"/>
          <w:b w:val="0"/>
          <w:bCs/>
          <w:sz w:val="24"/>
          <w:szCs w:val="24"/>
          <w:highlight w:val="none"/>
        </w:rPr>
        <w:t>附表1-1 商务技术标评审标准</w:t>
      </w:r>
    </w:p>
    <w:p>
      <w:pPr>
        <w:pageBreakBefore w:val="0"/>
        <w:widowControl/>
        <w:kinsoku/>
        <w:overflowPunct/>
        <w:topLinePunct w:val="0"/>
        <w:autoSpaceDE/>
        <w:autoSpaceDN/>
        <w:bidi w:val="0"/>
        <w:adjustRightInd w:val="0"/>
        <w:snapToGrid w:val="0"/>
        <w:spacing w:line="560" w:lineRule="exact"/>
        <w:jc w:val="center"/>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商务技术标评审标准</w:t>
      </w:r>
    </w:p>
    <w:tbl>
      <w:tblPr>
        <w:tblStyle w:val="14"/>
        <w:tblW w:w="500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1350"/>
        <w:gridCol w:w="6335"/>
        <w:gridCol w:w="103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tblHeader/>
          <w:jc w:val="center"/>
        </w:trPr>
        <w:tc>
          <w:tcPr>
            <w:tcW w:w="378" w:type="pct"/>
            <w:tcBorders>
              <w:tl2br w:val="nil"/>
              <w:tr2bl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eastAsia" w:asciiTheme="minorEastAsia" w:hAnsiTheme="minorEastAsia" w:eastAsiaTheme="minorEastAsia" w:cstheme="minorEastAsia"/>
                <w:b w:val="0"/>
                <w:bCs/>
                <w:sz w:val="22"/>
                <w:szCs w:val="22"/>
                <w:highlight w:val="none"/>
              </w:rPr>
            </w:pPr>
            <w:r>
              <w:rPr>
                <w:rFonts w:hint="eastAsia" w:asciiTheme="minorEastAsia" w:hAnsiTheme="minorEastAsia" w:eastAsiaTheme="minorEastAsia" w:cstheme="minorEastAsia"/>
                <w:b w:val="0"/>
                <w:bCs/>
                <w:sz w:val="22"/>
                <w:szCs w:val="22"/>
                <w:highlight w:val="none"/>
              </w:rPr>
              <w:t>序号</w:t>
            </w:r>
          </w:p>
        </w:tc>
        <w:tc>
          <w:tcPr>
            <w:tcW w:w="715" w:type="pct"/>
            <w:tcBorders>
              <w:tl2br w:val="nil"/>
              <w:tr2bl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 w:val="0"/>
                <w:bCs/>
                <w:sz w:val="22"/>
                <w:szCs w:val="22"/>
                <w:highlight w:val="none"/>
              </w:rPr>
            </w:pPr>
            <w:r>
              <w:rPr>
                <w:rFonts w:hint="eastAsia" w:asciiTheme="minorEastAsia" w:hAnsiTheme="minorEastAsia" w:eastAsiaTheme="minorEastAsia" w:cstheme="minorEastAsia"/>
                <w:b w:val="0"/>
                <w:bCs/>
                <w:sz w:val="22"/>
                <w:szCs w:val="22"/>
                <w:highlight w:val="none"/>
              </w:rPr>
              <w:t>评分因素</w:t>
            </w:r>
          </w:p>
        </w:tc>
        <w:tc>
          <w:tcPr>
            <w:tcW w:w="3355" w:type="pct"/>
            <w:tcBorders>
              <w:tl2br w:val="nil"/>
              <w:tr2bl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 w:val="0"/>
                <w:bCs/>
                <w:sz w:val="22"/>
                <w:szCs w:val="22"/>
                <w:highlight w:val="none"/>
              </w:rPr>
            </w:pPr>
            <w:r>
              <w:rPr>
                <w:rFonts w:hint="eastAsia" w:asciiTheme="minorEastAsia" w:hAnsiTheme="minorEastAsia" w:eastAsiaTheme="minorEastAsia" w:cstheme="minorEastAsia"/>
                <w:b w:val="0"/>
                <w:bCs/>
                <w:sz w:val="22"/>
                <w:szCs w:val="22"/>
                <w:highlight w:val="none"/>
              </w:rPr>
              <w:t>评分准则</w:t>
            </w:r>
          </w:p>
        </w:tc>
        <w:tc>
          <w:tcPr>
            <w:tcW w:w="550" w:type="pct"/>
            <w:tcBorders>
              <w:tl2br w:val="nil"/>
              <w:tr2bl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 w:val="0"/>
                <w:bCs/>
                <w:sz w:val="22"/>
                <w:szCs w:val="22"/>
                <w:highlight w:val="none"/>
              </w:rPr>
            </w:pPr>
            <w:r>
              <w:rPr>
                <w:rFonts w:hint="eastAsia" w:asciiTheme="minorEastAsia" w:hAnsiTheme="minorEastAsia" w:eastAsiaTheme="minorEastAsia" w:cstheme="minorEastAsia"/>
                <w:b w:val="0"/>
                <w:bCs/>
                <w:sz w:val="22"/>
                <w:szCs w:val="22"/>
                <w:highlight w:val="none"/>
              </w:rPr>
              <w:t>分值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52" w:hRule="atLeast"/>
          <w:jc w:val="center"/>
        </w:trPr>
        <w:tc>
          <w:tcPr>
            <w:tcW w:w="378"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 w:val="0"/>
                <w:bCs/>
                <w:sz w:val="22"/>
                <w:szCs w:val="22"/>
                <w:highlight w:val="none"/>
                <w:lang w:val="en-US" w:eastAsia="zh-CN"/>
              </w:rPr>
            </w:pPr>
            <w:r>
              <w:rPr>
                <w:rFonts w:hint="eastAsia" w:asciiTheme="minorEastAsia" w:hAnsiTheme="minorEastAsia" w:eastAsiaTheme="minorEastAsia" w:cstheme="minorEastAsia"/>
                <w:b w:val="0"/>
                <w:bCs/>
                <w:sz w:val="22"/>
                <w:szCs w:val="22"/>
                <w:highlight w:val="none"/>
                <w:lang w:val="en-US" w:eastAsia="zh-CN"/>
              </w:rPr>
              <w:t>1</w:t>
            </w:r>
          </w:p>
        </w:tc>
        <w:tc>
          <w:tcPr>
            <w:tcW w:w="715" w:type="pct"/>
            <w:tcBorders>
              <w:tl2br w:val="nil"/>
              <w:tr2bl w:val="nil"/>
            </w:tcBorders>
            <w:vAlign w:val="center"/>
          </w:tcPr>
          <w:p>
            <w:pPr>
              <w:keepNext w:val="0"/>
              <w:keepLines w:val="0"/>
              <w:pageBreakBefore w:val="0"/>
              <w:kinsoku/>
              <w:wordWrap/>
              <w:overflowPunct/>
              <w:topLinePunct w:val="0"/>
              <w:autoSpaceDE/>
              <w:autoSpaceDN/>
              <w:bidi w:val="0"/>
              <w:snapToGrid w:val="0"/>
              <w:spacing w:line="280" w:lineRule="exact"/>
              <w:jc w:val="center"/>
              <w:textAlignment w:val="auto"/>
              <w:rPr>
                <w:rFonts w:hint="eastAsia" w:asciiTheme="minorEastAsia" w:hAnsiTheme="minorEastAsia" w:eastAsiaTheme="minorEastAsia" w:cstheme="minorEastAsia"/>
                <w:b w:val="0"/>
                <w:bCs/>
                <w:sz w:val="22"/>
                <w:szCs w:val="22"/>
                <w:highlight w:val="none"/>
                <w:lang w:eastAsia="zh-CN"/>
              </w:rPr>
            </w:pPr>
            <w:r>
              <w:rPr>
                <w:rFonts w:hint="eastAsia" w:asciiTheme="minorEastAsia" w:hAnsiTheme="minorEastAsia" w:eastAsiaTheme="minorEastAsia" w:cstheme="minorEastAsia"/>
                <w:b w:val="0"/>
                <w:bCs/>
                <w:sz w:val="22"/>
                <w:szCs w:val="22"/>
                <w:highlight w:val="none"/>
                <w:lang w:eastAsia="zh-CN"/>
              </w:rPr>
              <w:t>体检项目全面性评价</w:t>
            </w:r>
          </w:p>
        </w:tc>
        <w:tc>
          <w:tcPr>
            <w:tcW w:w="3355" w:type="pct"/>
            <w:tcBorders>
              <w:tl2br w:val="nil"/>
              <w:tr2bl w:val="nil"/>
            </w:tcBorders>
            <w:vAlign w:val="center"/>
          </w:tcPr>
          <w:p>
            <w:pPr>
              <w:keepNext w:val="0"/>
              <w:keepLines w:val="0"/>
              <w:pageBreakBefore w:val="0"/>
              <w:widowControl/>
              <w:shd w:val="clear" w:color="auto" w:fill="FFFFFF"/>
              <w:kinsoku/>
              <w:wordWrap/>
              <w:overflowPunct/>
              <w:topLinePunct w:val="0"/>
              <w:autoSpaceDE/>
              <w:autoSpaceDN/>
              <w:bidi w:val="0"/>
              <w:spacing w:line="280" w:lineRule="exact"/>
              <w:jc w:val="left"/>
              <w:textAlignment w:val="auto"/>
              <w:rPr>
                <w:rFonts w:hint="eastAsia" w:asciiTheme="minorEastAsia" w:hAnsiTheme="minorEastAsia" w:eastAsiaTheme="minorEastAsia" w:cstheme="minorEastAsia"/>
                <w:b w:val="0"/>
                <w:bCs/>
                <w:sz w:val="22"/>
                <w:szCs w:val="22"/>
                <w:highlight w:val="none"/>
                <w:lang w:val="en-US" w:eastAsia="zh-CN"/>
              </w:rPr>
            </w:pPr>
            <w:r>
              <w:rPr>
                <w:rFonts w:hint="eastAsia" w:asciiTheme="minorEastAsia" w:hAnsiTheme="minorEastAsia" w:eastAsiaTheme="minorEastAsia" w:cstheme="minorEastAsia"/>
                <w:b w:val="0"/>
                <w:bCs/>
                <w:sz w:val="22"/>
                <w:szCs w:val="22"/>
                <w:highlight w:val="none"/>
                <w:lang w:eastAsia="zh-CN"/>
              </w:rPr>
              <w:t>体检项目全面性评分：能够满足附表</w:t>
            </w:r>
            <w:r>
              <w:rPr>
                <w:rFonts w:hint="eastAsia" w:asciiTheme="minorEastAsia" w:hAnsiTheme="minorEastAsia" w:eastAsiaTheme="minorEastAsia" w:cstheme="minorEastAsia"/>
                <w:b w:val="0"/>
                <w:bCs/>
                <w:sz w:val="22"/>
                <w:szCs w:val="22"/>
                <w:highlight w:val="none"/>
                <w:lang w:val="en-US" w:eastAsia="zh-CN"/>
              </w:rPr>
              <w:t>2基准体检科目，本评分项得基础分20分，每增加1项加3分，最高不超过30分；</w:t>
            </w:r>
          </w:p>
        </w:tc>
        <w:tc>
          <w:tcPr>
            <w:tcW w:w="550"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 w:val="0"/>
                <w:bCs/>
                <w:sz w:val="22"/>
                <w:szCs w:val="22"/>
                <w:highlight w:val="none"/>
                <w:lang w:val="en-US" w:eastAsia="zh-CN"/>
              </w:rPr>
            </w:pPr>
            <w:r>
              <w:rPr>
                <w:rFonts w:hint="eastAsia" w:asciiTheme="minorEastAsia" w:hAnsiTheme="minorEastAsia" w:eastAsiaTheme="minorEastAsia" w:cstheme="minorEastAsia"/>
                <w:b w:val="0"/>
                <w:bCs/>
                <w:sz w:val="22"/>
                <w:szCs w:val="22"/>
                <w:highlight w:val="none"/>
                <w:lang w:val="en-US" w:eastAsia="zh-CN"/>
              </w:rPr>
              <w:t>30分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378"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 w:val="0"/>
                <w:bCs/>
                <w:sz w:val="22"/>
                <w:szCs w:val="22"/>
                <w:highlight w:val="none"/>
                <w:lang w:val="en-US" w:eastAsia="zh-CN"/>
              </w:rPr>
            </w:pPr>
            <w:r>
              <w:rPr>
                <w:rFonts w:hint="eastAsia" w:asciiTheme="minorEastAsia" w:hAnsiTheme="minorEastAsia" w:eastAsiaTheme="minorEastAsia" w:cstheme="minorEastAsia"/>
                <w:b w:val="0"/>
                <w:bCs/>
                <w:sz w:val="22"/>
                <w:szCs w:val="22"/>
                <w:highlight w:val="none"/>
                <w:lang w:val="en-US" w:eastAsia="zh-CN"/>
              </w:rPr>
              <w:t>2</w:t>
            </w:r>
          </w:p>
        </w:tc>
        <w:tc>
          <w:tcPr>
            <w:tcW w:w="715" w:type="pct"/>
            <w:tcBorders>
              <w:tl2br w:val="nil"/>
              <w:tr2bl w:val="nil"/>
            </w:tcBorders>
            <w:vAlign w:val="center"/>
          </w:tcPr>
          <w:p>
            <w:pPr>
              <w:keepNext w:val="0"/>
              <w:keepLines w:val="0"/>
              <w:pageBreakBefore w:val="0"/>
              <w:kinsoku/>
              <w:wordWrap/>
              <w:overflowPunct/>
              <w:topLinePunct w:val="0"/>
              <w:autoSpaceDE/>
              <w:autoSpaceDN/>
              <w:bidi w:val="0"/>
              <w:snapToGrid w:val="0"/>
              <w:spacing w:line="280" w:lineRule="exact"/>
              <w:jc w:val="center"/>
              <w:textAlignment w:val="auto"/>
              <w:rPr>
                <w:rFonts w:hint="eastAsia" w:asciiTheme="minorEastAsia" w:hAnsiTheme="minorEastAsia" w:eastAsiaTheme="minorEastAsia" w:cstheme="minorEastAsia"/>
                <w:b w:val="0"/>
                <w:bCs/>
                <w:sz w:val="22"/>
                <w:szCs w:val="22"/>
                <w:highlight w:val="none"/>
                <w:lang w:eastAsia="zh-CN"/>
              </w:rPr>
            </w:pPr>
            <w:r>
              <w:rPr>
                <w:rFonts w:hint="eastAsia" w:asciiTheme="minorEastAsia" w:hAnsiTheme="minorEastAsia" w:eastAsiaTheme="minorEastAsia" w:cstheme="minorEastAsia"/>
                <w:b w:val="0"/>
                <w:bCs/>
                <w:sz w:val="22"/>
                <w:szCs w:val="22"/>
                <w:highlight w:val="none"/>
                <w:lang w:eastAsia="zh-CN"/>
              </w:rPr>
              <w:t>检测技术先进性评价</w:t>
            </w:r>
          </w:p>
        </w:tc>
        <w:tc>
          <w:tcPr>
            <w:tcW w:w="3355" w:type="pct"/>
            <w:tcBorders>
              <w:tl2br w:val="nil"/>
              <w:tr2bl w:val="nil"/>
            </w:tcBorders>
            <w:vAlign w:val="center"/>
          </w:tcPr>
          <w:p>
            <w:pPr>
              <w:keepNext w:val="0"/>
              <w:keepLines w:val="0"/>
              <w:pageBreakBefore w:val="0"/>
              <w:widowControl/>
              <w:kinsoku/>
              <w:wordWrap/>
              <w:overflowPunct/>
              <w:topLinePunct w:val="0"/>
              <w:autoSpaceDE/>
              <w:autoSpaceDN/>
              <w:bidi w:val="0"/>
              <w:spacing w:line="280" w:lineRule="exact"/>
              <w:jc w:val="left"/>
              <w:textAlignment w:val="auto"/>
              <w:rPr>
                <w:rFonts w:hint="eastAsia" w:asciiTheme="minorEastAsia" w:hAnsiTheme="minorEastAsia" w:eastAsiaTheme="minorEastAsia" w:cstheme="minorEastAsia"/>
                <w:b w:val="0"/>
                <w:bCs/>
                <w:sz w:val="22"/>
                <w:szCs w:val="22"/>
                <w:highlight w:val="none"/>
                <w:lang w:val="en-US" w:eastAsia="zh-CN"/>
              </w:rPr>
            </w:pPr>
            <w:r>
              <w:rPr>
                <w:rFonts w:hint="eastAsia" w:asciiTheme="minorEastAsia" w:hAnsiTheme="minorEastAsia" w:eastAsiaTheme="minorEastAsia" w:cstheme="minorEastAsia"/>
                <w:b w:val="0"/>
                <w:bCs/>
                <w:sz w:val="22"/>
                <w:szCs w:val="22"/>
                <w:highlight w:val="none"/>
                <w:lang w:eastAsia="zh-CN"/>
              </w:rPr>
              <w:t>检测技术先进性评分：同样检查科目，以普通仪器或检测手段进行检测的，得基础分</w:t>
            </w:r>
            <w:r>
              <w:rPr>
                <w:rFonts w:hint="eastAsia" w:asciiTheme="minorEastAsia" w:hAnsiTheme="minorEastAsia" w:eastAsiaTheme="minorEastAsia" w:cstheme="minorEastAsia"/>
                <w:b w:val="0"/>
                <w:bCs/>
                <w:sz w:val="22"/>
                <w:szCs w:val="22"/>
                <w:highlight w:val="none"/>
                <w:lang w:val="en-US" w:eastAsia="zh-CN"/>
              </w:rPr>
              <w:t>20分，如以新技术、新材料、新方法进行检测的，每1项加3分，最高不超过30分；</w:t>
            </w:r>
          </w:p>
        </w:tc>
        <w:tc>
          <w:tcPr>
            <w:tcW w:w="550"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 w:val="0"/>
                <w:bCs/>
                <w:sz w:val="22"/>
                <w:szCs w:val="22"/>
                <w:highlight w:val="none"/>
                <w:lang w:val="en-US" w:eastAsia="zh-CN"/>
              </w:rPr>
            </w:pPr>
            <w:r>
              <w:rPr>
                <w:rFonts w:hint="eastAsia" w:asciiTheme="minorEastAsia" w:hAnsiTheme="minorEastAsia" w:eastAsiaTheme="minorEastAsia" w:cstheme="minorEastAsia"/>
                <w:b w:val="0"/>
                <w:bCs/>
                <w:sz w:val="22"/>
                <w:szCs w:val="22"/>
                <w:highlight w:val="none"/>
                <w:lang w:val="en-US" w:eastAsia="zh-CN"/>
              </w:rPr>
              <w:t>30分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798" w:hRule="atLeast"/>
          <w:jc w:val="center"/>
        </w:trPr>
        <w:tc>
          <w:tcPr>
            <w:tcW w:w="378"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 w:val="0"/>
                <w:bCs/>
                <w:sz w:val="22"/>
                <w:szCs w:val="22"/>
                <w:highlight w:val="none"/>
                <w:lang w:eastAsia="zh-CN"/>
              </w:rPr>
            </w:pPr>
            <w:r>
              <w:rPr>
                <w:rFonts w:hint="eastAsia" w:asciiTheme="minorEastAsia" w:hAnsiTheme="minorEastAsia" w:eastAsiaTheme="minorEastAsia" w:cstheme="minorEastAsia"/>
                <w:b w:val="0"/>
                <w:bCs/>
                <w:sz w:val="22"/>
                <w:szCs w:val="22"/>
                <w:highlight w:val="none"/>
                <w:lang w:val="en-US" w:eastAsia="zh-CN"/>
              </w:rPr>
              <w:t>3</w:t>
            </w:r>
          </w:p>
        </w:tc>
        <w:tc>
          <w:tcPr>
            <w:tcW w:w="715" w:type="pct"/>
            <w:tcBorders>
              <w:tl2br w:val="nil"/>
              <w:tr2bl w:val="nil"/>
            </w:tcBorders>
            <w:vAlign w:val="center"/>
          </w:tcPr>
          <w:p>
            <w:pPr>
              <w:keepNext w:val="0"/>
              <w:keepLines w:val="0"/>
              <w:pageBreakBefore w:val="0"/>
              <w:kinsoku/>
              <w:wordWrap/>
              <w:overflowPunct/>
              <w:topLinePunct w:val="0"/>
              <w:autoSpaceDE/>
              <w:autoSpaceDN/>
              <w:bidi w:val="0"/>
              <w:snapToGrid w:val="0"/>
              <w:spacing w:line="280" w:lineRule="exact"/>
              <w:jc w:val="center"/>
              <w:textAlignment w:val="auto"/>
              <w:rPr>
                <w:rFonts w:hint="eastAsia" w:asciiTheme="minorEastAsia" w:hAnsiTheme="minorEastAsia" w:eastAsiaTheme="minorEastAsia" w:cstheme="minorEastAsia"/>
                <w:b w:val="0"/>
                <w:bCs/>
                <w:sz w:val="22"/>
                <w:szCs w:val="22"/>
                <w:highlight w:val="none"/>
              </w:rPr>
            </w:pPr>
            <w:r>
              <w:rPr>
                <w:rFonts w:hint="eastAsia" w:asciiTheme="minorEastAsia" w:hAnsiTheme="minorEastAsia" w:eastAsiaTheme="minorEastAsia" w:cstheme="minorEastAsia"/>
                <w:b w:val="0"/>
                <w:bCs/>
                <w:sz w:val="22"/>
                <w:szCs w:val="22"/>
                <w:highlight w:val="none"/>
              </w:rPr>
              <w:t>信息系统建设、健康档案管理与检后服务</w:t>
            </w:r>
          </w:p>
        </w:tc>
        <w:tc>
          <w:tcPr>
            <w:tcW w:w="3355" w:type="pct"/>
            <w:tcBorders>
              <w:tl2br w:val="nil"/>
              <w:tr2bl w:val="nil"/>
            </w:tcBorders>
            <w:vAlign w:val="center"/>
          </w:tcPr>
          <w:p>
            <w:pPr>
              <w:keepNext w:val="0"/>
              <w:keepLines w:val="0"/>
              <w:pageBreakBefore w:val="0"/>
              <w:widowControl/>
              <w:shd w:val="clear" w:color="auto" w:fill="FFFFFF"/>
              <w:kinsoku/>
              <w:wordWrap/>
              <w:overflowPunct/>
              <w:topLinePunct w:val="0"/>
              <w:autoSpaceDE/>
              <w:autoSpaceDN/>
              <w:bidi w:val="0"/>
              <w:spacing w:line="280" w:lineRule="exact"/>
              <w:jc w:val="left"/>
              <w:textAlignment w:val="auto"/>
              <w:rPr>
                <w:rFonts w:hint="eastAsia" w:asciiTheme="minorEastAsia" w:hAnsiTheme="minorEastAsia" w:eastAsiaTheme="minorEastAsia" w:cstheme="minorEastAsia"/>
                <w:b w:val="0"/>
                <w:bCs/>
                <w:sz w:val="22"/>
                <w:szCs w:val="22"/>
                <w:highlight w:val="none"/>
              </w:rPr>
            </w:pPr>
            <w:r>
              <w:rPr>
                <w:rFonts w:hint="eastAsia" w:asciiTheme="minorEastAsia" w:hAnsiTheme="minorEastAsia" w:eastAsiaTheme="minorEastAsia" w:cstheme="minorEastAsia"/>
                <w:b w:val="0"/>
                <w:bCs/>
                <w:sz w:val="22"/>
                <w:szCs w:val="22"/>
                <w:highlight w:val="none"/>
              </w:rPr>
              <w:t>(1)具有手机端健康体检软件或微信小程序</w:t>
            </w:r>
            <w:r>
              <w:rPr>
                <w:rFonts w:hint="eastAsia" w:asciiTheme="minorEastAsia" w:hAnsiTheme="minorEastAsia" w:eastAsiaTheme="minorEastAsia" w:cstheme="minorEastAsia"/>
                <w:b w:val="0"/>
                <w:bCs/>
                <w:sz w:val="22"/>
                <w:szCs w:val="22"/>
                <w:highlight w:val="none"/>
                <w:lang w:eastAsia="zh-CN"/>
              </w:rPr>
              <w:t>、服务号</w:t>
            </w:r>
            <w:r>
              <w:rPr>
                <w:rFonts w:hint="eastAsia" w:asciiTheme="minorEastAsia" w:hAnsiTheme="minorEastAsia" w:eastAsiaTheme="minorEastAsia" w:cstheme="minorEastAsia"/>
                <w:b w:val="0"/>
                <w:bCs/>
                <w:sz w:val="22"/>
                <w:szCs w:val="22"/>
                <w:highlight w:val="none"/>
              </w:rPr>
              <w:t>可用于健康体 检线上预约，可随时提供预约服务的，本项得2分</w:t>
            </w:r>
          </w:p>
          <w:p>
            <w:pPr>
              <w:keepNext w:val="0"/>
              <w:keepLines w:val="0"/>
              <w:pageBreakBefore w:val="0"/>
              <w:widowControl/>
              <w:shd w:val="clear" w:color="auto" w:fill="FFFFFF"/>
              <w:kinsoku/>
              <w:wordWrap/>
              <w:overflowPunct/>
              <w:topLinePunct w:val="0"/>
              <w:autoSpaceDE/>
              <w:autoSpaceDN/>
              <w:bidi w:val="0"/>
              <w:spacing w:line="280" w:lineRule="exact"/>
              <w:jc w:val="left"/>
              <w:textAlignment w:val="auto"/>
              <w:rPr>
                <w:rFonts w:hint="eastAsia" w:asciiTheme="minorEastAsia" w:hAnsiTheme="minorEastAsia" w:eastAsiaTheme="minorEastAsia" w:cstheme="minorEastAsia"/>
                <w:b w:val="0"/>
                <w:bCs/>
                <w:sz w:val="22"/>
                <w:szCs w:val="22"/>
                <w:highlight w:val="none"/>
              </w:rPr>
            </w:pPr>
            <w:r>
              <w:rPr>
                <w:rFonts w:hint="eastAsia" w:asciiTheme="minorEastAsia" w:hAnsiTheme="minorEastAsia" w:eastAsiaTheme="minorEastAsia" w:cstheme="minorEastAsia"/>
                <w:b w:val="0"/>
                <w:bCs/>
                <w:sz w:val="22"/>
                <w:szCs w:val="22"/>
                <w:highlight w:val="none"/>
              </w:rPr>
              <w:t>(2)具有线上电子健康档案信息与体检报告数据查询功能的本项得2分；</w:t>
            </w:r>
          </w:p>
          <w:p>
            <w:pPr>
              <w:keepNext w:val="0"/>
              <w:keepLines w:val="0"/>
              <w:pageBreakBefore w:val="0"/>
              <w:widowControl/>
              <w:shd w:val="clear" w:color="auto" w:fill="FFFFFF"/>
              <w:kinsoku/>
              <w:wordWrap/>
              <w:overflowPunct/>
              <w:topLinePunct w:val="0"/>
              <w:autoSpaceDE/>
              <w:autoSpaceDN/>
              <w:bidi w:val="0"/>
              <w:spacing w:line="280" w:lineRule="exact"/>
              <w:jc w:val="left"/>
              <w:textAlignment w:val="auto"/>
              <w:rPr>
                <w:rFonts w:hint="eastAsia" w:asciiTheme="minorEastAsia" w:hAnsiTheme="minorEastAsia" w:eastAsiaTheme="minorEastAsia" w:cstheme="minorEastAsia"/>
                <w:b w:val="0"/>
                <w:bCs/>
                <w:sz w:val="22"/>
                <w:szCs w:val="22"/>
                <w:highlight w:val="none"/>
              </w:rPr>
            </w:pPr>
            <w:r>
              <w:rPr>
                <w:rFonts w:hint="eastAsia" w:asciiTheme="minorEastAsia" w:hAnsiTheme="minorEastAsia" w:eastAsiaTheme="minorEastAsia" w:cstheme="minorEastAsia"/>
                <w:b w:val="0"/>
                <w:bCs/>
                <w:sz w:val="22"/>
                <w:szCs w:val="22"/>
                <w:highlight w:val="none"/>
              </w:rPr>
              <w:t>(3)提供固定客服电话，有专业医务人员提供检后咨询解答服务的，本项得1分。</w:t>
            </w:r>
          </w:p>
        </w:tc>
        <w:tc>
          <w:tcPr>
            <w:tcW w:w="550"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 w:val="0"/>
                <w:bCs/>
                <w:sz w:val="22"/>
                <w:szCs w:val="22"/>
                <w:highlight w:val="none"/>
              </w:rPr>
            </w:pPr>
            <w:r>
              <w:rPr>
                <w:rFonts w:hint="eastAsia" w:asciiTheme="minorEastAsia" w:hAnsiTheme="minorEastAsia" w:eastAsiaTheme="minorEastAsia" w:cstheme="minorEastAsia"/>
                <w:b w:val="0"/>
                <w:bCs/>
                <w:sz w:val="22"/>
                <w:szCs w:val="22"/>
                <w:highlight w:val="none"/>
                <w:lang w:val="en-US" w:eastAsia="zh-CN"/>
              </w:rPr>
              <w:t>2</w:t>
            </w:r>
            <w:r>
              <w:rPr>
                <w:rFonts w:hint="eastAsia" w:asciiTheme="minorEastAsia" w:hAnsiTheme="minorEastAsia" w:eastAsiaTheme="minorEastAsia" w:cstheme="minorEastAsia"/>
                <w:b w:val="0"/>
                <w:bCs/>
                <w:sz w:val="22"/>
                <w:szCs w:val="22"/>
                <w:highlight w:val="none"/>
              </w:rPr>
              <w:t>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63" w:hRule="atLeast"/>
          <w:jc w:val="center"/>
        </w:trPr>
        <w:tc>
          <w:tcPr>
            <w:tcW w:w="378"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 w:val="0"/>
                <w:bCs/>
                <w:sz w:val="22"/>
                <w:szCs w:val="22"/>
                <w:highlight w:val="none"/>
                <w:lang w:eastAsia="zh-CN"/>
              </w:rPr>
            </w:pPr>
            <w:r>
              <w:rPr>
                <w:rFonts w:hint="eastAsia" w:asciiTheme="minorEastAsia" w:hAnsiTheme="minorEastAsia" w:eastAsiaTheme="minorEastAsia" w:cstheme="minorEastAsia"/>
                <w:b w:val="0"/>
                <w:bCs/>
                <w:sz w:val="22"/>
                <w:szCs w:val="22"/>
                <w:highlight w:val="none"/>
                <w:lang w:val="en-US" w:eastAsia="zh-CN"/>
              </w:rPr>
              <w:t>4</w:t>
            </w:r>
          </w:p>
        </w:tc>
        <w:tc>
          <w:tcPr>
            <w:tcW w:w="715" w:type="pct"/>
            <w:tcBorders>
              <w:tl2br w:val="nil"/>
              <w:tr2bl w:val="nil"/>
            </w:tcBorders>
            <w:vAlign w:val="center"/>
          </w:tcPr>
          <w:p>
            <w:pPr>
              <w:keepNext w:val="0"/>
              <w:keepLines w:val="0"/>
              <w:pageBreakBefore w:val="0"/>
              <w:kinsoku/>
              <w:wordWrap/>
              <w:overflowPunct/>
              <w:topLinePunct w:val="0"/>
              <w:autoSpaceDE/>
              <w:autoSpaceDN/>
              <w:bidi w:val="0"/>
              <w:snapToGrid w:val="0"/>
              <w:spacing w:line="280" w:lineRule="exact"/>
              <w:jc w:val="center"/>
              <w:textAlignment w:val="auto"/>
              <w:rPr>
                <w:rStyle w:val="19"/>
                <w:rFonts w:hint="eastAsia" w:asciiTheme="minorEastAsia" w:hAnsiTheme="minorEastAsia" w:eastAsiaTheme="minorEastAsia" w:cstheme="minorEastAsia"/>
                <w:b w:val="0"/>
                <w:bCs/>
                <w:sz w:val="22"/>
                <w:szCs w:val="22"/>
                <w:highlight w:val="none"/>
              </w:rPr>
            </w:pPr>
            <w:r>
              <w:rPr>
                <w:rStyle w:val="19"/>
                <w:rFonts w:hint="eastAsia" w:asciiTheme="minorEastAsia" w:hAnsiTheme="minorEastAsia" w:eastAsiaTheme="minorEastAsia" w:cstheme="minorEastAsia"/>
                <w:b w:val="0"/>
                <w:bCs/>
                <w:sz w:val="22"/>
                <w:szCs w:val="22"/>
                <w:highlight w:val="none"/>
              </w:rPr>
              <w:t>员工</w:t>
            </w:r>
            <w:r>
              <w:rPr>
                <w:rStyle w:val="19"/>
                <w:rFonts w:hint="eastAsia" w:asciiTheme="minorEastAsia" w:hAnsiTheme="minorEastAsia" w:eastAsiaTheme="minorEastAsia" w:cstheme="minorEastAsia"/>
                <w:b w:val="0"/>
                <w:bCs/>
                <w:sz w:val="22"/>
                <w:szCs w:val="22"/>
                <w:highlight w:val="none"/>
                <w:lang w:eastAsia="zh-CN"/>
              </w:rPr>
              <w:t>自费检查</w:t>
            </w:r>
            <w:r>
              <w:rPr>
                <w:rStyle w:val="19"/>
                <w:rFonts w:hint="eastAsia" w:asciiTheme="minorEastAsia" w:hAnsiTheme="minorEastAsia" w:eastAsiaTheme="minorEastAsia" w:cstheme="minorEastAsia"/>
                <w:b w:val="0"/>
                <w:bCs/>
                <w:sz w:val="22"/>
                <w:szCs w:val="22"/>
                <w:highlight w:val="none"/>
              </w:rPr>
              <w:t>优惠服务</w:t>
            </w:r>
          </w:p>
        </w:tc>
        <w:tc>
          <w:tcPr>
            <w:tcW w:w="3355" w:type="pct"/>
            <w:tcBorders>
              <w:tl2br w:val="nil"/>
              <w:tr2bl w:val="nil"/>
            </w:tcBorders>
            <w:vAlign w:val="center"/>
          </w:tcPr>
          <w:p>
            <w:pPr>
              <w:keepNext w:val="0"/>
              <w:keepLines w:val="0"/>
              <w:pageBreakBefore w:val="0"/>
              <w:widowControl/>
              <w:kinsoku/>
              <w:wordWrap/>
              <w:overflowPunct/>
              <w:topLinePunct w:val="0"/>
              <w:autoSpaceDE/>
              <w:autoSpaceDN/>
              <w:bidi w:val="0"/>
              <w:spacing w:line="280" w:lineRule="exact"/>
              <w:jc w:val="left"/>
              <w:textAlignment w:val="auto"/>
              <w:rPr>
                <w:rFonts w:hint="eastAsia" w:asciiTheme="minorEastAsia" w:hAnsiTheme="minorEastAsia" w:eastAsiaTheme="minorEastAsia" w:cstheme="minorEastAsia"/>
                <w:b w:val="0"/>
                <w:bCs/>
                <w:sz w:val="22"/>
                <w:szCs w:val="22"/>
                <w:highlight w:val="none"/>
              </w:rPr>
            </w:pPr>
            <w:r>
              <w:rPr>
                <w:rFonts w:hint="eastAsia" w:asciiTheme="minorEastAsia" w:hAnsiTheme="minorEastAsia" w:eastAsiaTheme="minorEastAsia" w:cstheme="minorEastAsia"/>
                <w:b w:val="0"/>
                <w:bCs/>
                <w:sz w:val="22"/>
                <w:szCs w:val="22"/>
                <w:highlight w:val="none"/>
                <w:lang w:eastAsia="zh-CN"/>
              </w:rPr>
              <w:t>招标人员工自费加检非医保项目，按照投标人个人体检门市价给予</w:t>
            </w:r>
            <w:r>
              <w:rPr>
                <w:rFonts w:hint="eastAsia" w:asciiTheme="minorEastAsia" w:hAnsiTheme="minorEastAsia" w:eastAsiaTheme="minorEastAsia" w:cstheme="minorEastAsia"/>
                <w:b w:val="0"/>
                <w:bCs/>
                <w:sz w:val="22"/>
                <w:szCs w:val="22"/>
                <w:highlight w:val="none"/>
              </w:rPr>
              <w:t>折扣，</w:t>
            </w:r>
            <w:r>
              <w:rPr>
                <w:rFonts w:hint="eastAsia" w:asciiTheme="minorEastAsia" w:hAnsiTheme="minorEastAsia" w:eastAsiaTheme="minorEastAsia" w:cstheme="minorEastAsia"/>
                <w:b w:val="0"/>
                <w:bCs/>
                <w:sz w:val="22"/>
                <w:szCs w:val="22"/>
                <w:highlight w:val="none"/>
                <w:lang w:eastAsia="zh-CN"/>
              </w:rPr>
              <w:t>折扣比例最高的得满分</w:t>
            </w:r>
            <w:r>
              <w:rPr>
                <w:rFonts w:hint="eastAsia" w:asciiTheme="minorEastAsia" w:hAnsiTheme="minorEastAsia" w:eastAsiaTheme="minorEastAsia" w:cstheme="minorEastAsia"/>
                <w:b w:val="0"/>
                <w:bCs/>
                <w:sz w:val="22"/>
                <w:szCs w:val="22"/>
                <w:highlight w:val="none"/>
              </w:rPr>
              <w:t>，排名每后退1名扣</w:t>
            </w:r>
            <w:r>
              <w:rPr>
                <w:rFonts w:hint="eastAsia" w:asciiTheme="minorEastAsia" w:hAnsiTheme="minorEastAsia" w:eastAsiaTheme="minorEastAsia" w:cstheme="minorEastAsia"/>
                <w:b w:val="0"/>
                <w:bCs/>
                <w:sz w:val="22"/>
                <w:szCs w:val="22"/>
                <w:highlight w:val="none"/>
                <w:lang w:val="en-US" w:eastAsia="zh-CN"/>
              </w:rPr>
              <w:t>5</w:t>
            </w:r>
            <w:r>
              <w:rPr>
                <w:rFonts w:hint="eastAsia" w:asciiTheme="minorEastAsia" w:hAnsiTheme="minorEastAsia" w:eastAsiaTheme="minorEastAsia" w:cstheme="minorEastAsia"/>
                <w:b w:val="0"/>
                <w:bCs/>
                <w:sz w:val="22"/>
                <w:szCs w:val="22"/>
                <w:highlight w:val="none"/>
              </w:rPr>
              <w:t>分。</w:t>
            </w:r>
          </w:p>
        </w:tc>
        <w:tc>
          <w:tcPr>
            <w:tcW w:w="550"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 w:val="0"/>
                <w:bCs/>
                <w:sz w:val="22"/>
                <w:szCs w:val="22"/>
                <w:highlight w:val="none"/>
              </w:rPr>
            </w:pPr>
            <w:r>
              <w:rPr>
                <w:rFonts w:hint="eastAsia" w:asciiTheme="minorEastAsia" w:hAnsiTheme="minorEastAsia" w:eastAsiaTheme="minorEastAsia" w:cstheme="minorEastAsia"/>
                <w:b w:val="0"/>
                <w:bCs/>
                <w:sz w:val="22"/>
                <w:szCs w:val="22"/>
                <w:highlight w:val="none"/>
                <w:lang w:val="en-US" w:eastAsia="zh-CN"/>
              </w:rPr>
              <w:t>2</w:t>
            </w:r>
            <w:r>
              <w:rPr>
                <w:rFonts w:hint="eastAsia" w:asciiTheme="minorEastAsia" w:hAnsiTheme="minorEastAsia" w:eastAsiaTheme="minorEastAsia" w:cstheme="minorEastAsia"/>
                <w:b w:val="0"/>
                <w:bCs/>
                <w:sz w:val="22"/>
                <w:szCs w:val="22"/>
                <w:highlight w:val="none"/>
              </w:rPr>
              <w:t>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4449" w:type="pct"/>
            <w:gridSpan w:val="3"/>
            <w:tcBorders>
              <w:tl2br w:val="nil"/>
              <w:tr2bl w:val="nil"/>
            </w:tcBorders>
            <w:vAlign w:val="center"/>
          </w:tcPr>
          <w:p>
            <w:pPr>
              <w:keepNext w:val="0"/>
              <w:keepLines w:val="0"/>
              <w:pageBreakBefore w:val="0"/>
              <w:kinsoku/>
              <w:wordWrap/>
              <w:overflowPunct/>
              <w:topLinePunct w:val="0"/>
              <w:autoSpaceDE/>
              <w:autoSpaceDN/>
              <w:bidi w:val="0"/>
              <w:spacing w:line="280" w:lineRule="exact"/>
              <w:jc w:val="center"/>
              <w:textAlignment w:val="auto"/>
              <w:rPr>
                <w:rFonts w:hint="eastAsia" w:asciiTheme="minorEastAsia" w:hAnsiTheme="minorEastAsia" w:eastAsiaTheme="minorEastAsia" w:cstheme="minorEastAsia"/>
                <w:b w:val="0"/>
                <w:bCs/>
                <w:sz w:val="22"/>
                <w:szCs w:val="22"/>
                <w:highlight w:val="none"/>
              </w:rPr>
            </w:pPr>
            <w:r>
              <w:rPr>
                <w:rFonts w:hint="eastAsia" w:asciiTheme="minorEastAsia" w:hAnsiTheme="minorEastAsia" w:eastAsiaTheme="minorEastAsia" w:cstheme="minorEastAsia"/>
                <w:b w:val="0"/>
                <w:bCs/>
                <w:sz w:val="22"/>
                <w:szCs w:val="22"/>
                <w:highlight w:val="none"/>
              </w:rPr>
              <w:t>合计</w:t>
            </w:r>
          </w:p>
        </w:tc>
        <w:tc>
          <w:tcPr>
            <w:tcW w:w="550"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 w:val="0"/>
                <w:bCs/>
                <w:sz w:val="22"/>
                <w:szCs w:val="22"/>
                <w:highlight w:val="none"/>
              </w:rPr>
            </w:pPr>
            <w:r>
              <w:rPr>
                <w:rFonts w:hint="eastAsia" w:asciiTheme="minorEastAsia" w:hAnsiTheme="minorEastAsia" w:eastAsiaTheme="minorEastAsia" w:cstheme="minorEastAsia"/>
                <w:b w:val="0"/>
                <w:bCs/>
                <w:sz w:val="22"/>
                <w:szCs w:val="22"/>
                <w:highlight w:val="none"/>
              </w:rPr>
              <w:t>100分</w:t>
            </w:r>
          </w:p>
        </w:tc>
      </w:tr>
    </w:tbl>
    <w:p>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说明：</w:t>
      </w:r>
    </w:p>
    <w:p>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1.本表评审依据要求的各项证明文件须编入投标文件，复印件加盖投标人公章。</w:t>
      </w:r>
    </w:p>
    <w:p>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2.表中要求提供相关证明文件的内容，投标文件中须明确加以说明并提供，未按要求提供相关文件或说明不清楚或评标专家组无法凭所提供的材料判断是否得分的情况，一律作不得分处理。</w:t>
      </w:r>
    </w:p>
    <w:p>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3.本表要求提交的所有复印件需清晰完整，否则招标人有权视为无效，并根据具体文件性质予以扣减或废标处理。</w:t>
      </w:r>
    </w:p>
    <w:p>
      <w:pPr>
        <w:pageBreakBefore w:val="0"/>
        <w:widowControl/>
        <w:kinsoku/>
        <w:overflowPunct/>
        <w:topLinePunct w:val="0"/>
        <w:autoSpaceDE/>
        <w:autoSpaceDN/>
        <w:bidi w:val="0"/>
        <w:adjustRightInd w:val="0"/>
        <w:snapToGrid w:val="0"/>
        <w:spacing w:line="560" w:lineRule="exact"/>
        <w:rPr>
          <w:rFonts w:hint="eastAsia" w:ascii="仿宋" w:hAnsi="仿宋" w:eastAsia="仿宋" w:cs="仿宋"/>
          <w:b w:val="0"/>
          <w:bCs/>
          <w:sz w:val="32"/>
          <w:szCs w:val="32"/>
          <w:highlight w:val="none"/>
        </w:rPr>
      </w:pPr>
    </w:p>
    <w:p>
      <w:pPr>
        <w:keepNext/>
        <w:keepLines/>
        <w:pageBreakBefore w:val="0"/>
        <w:widowControl/>
        <w:numPr>
          <w:ilvl w:val="3"/>
          <w:numId w:val="0"/>
        </w:numPr>
        <w:kinsoku/>
        <w:overflowPunct/>
        <w:topLinePunct w:val="0"/>
        <w:autoSpaceDE/>
        <w:autoSpaceDN/>
        <w:bidi w:val="0"/>
        <w:adjustRightInd w:val="0"/>
        <w:snapToGrid w:val="0"/>
        <w:spacing w:line="560" w:lineRule="exact"/>
        <w:ind w:firstLine="640" w:firstLineChars="200"/>
        <w:jc w:val="left"/>
        <w:outlineLvl w:val="3"/>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br w:type="page"/>
      </w:r>
    </w:p>
    <w:p>
      <w:pPr>
        <w:keepNext/>
        <w:keepLines/>
        <w:pageBreakBefore w:val="0"/>
        <w:widowControl/>
        <w:numPr>
          <w:ilvl w:val="3"/>
          <w:numId w:val="0"/>
        </w:numPr>
        <w:kinsoku/>
        <w:overflowPunct/>
        <w:topLinePunct w:val="0"/>
        <w:autoSpaceDE/>
        <w:autoSpaceDN/>
        <w:bidi w:val="0"/>
        <w:adjustRightInd w:val="0"/>
        <w:snapToGrid w:val="0"/>
        <w:spacing w:line="560" w:lineRule="exact"/>
        <w:jc w:val="left"/>
        <w:outlineLvl w:val="3"/>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附表2-1 《价格标评分方法》</w:t>
      </w:r>
    </w:p>
    <w:tbl>
      <w:tblPr>
        <w:tblStyle w:val="14"/>
        <w:tblpPr w:leftFromText="180" w:rightFromText="180" w:vertAnchor="text" w:horzAnchor="page" w:tblpXSpec="center" w:tblpY="1287"/>
        <w:tblOverlap w:val="never"/>
        <w:tblW w:w="50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1576"/>
        <w:gridCol w:w="2549"/>
        <w:gridCol w:w="908"/>
        <w:gridCol w:w="38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395" w:type="pct"/>
            <w:tcBorders>
              <w:tl2br w:val="nil"/>
              <w:tr2bl w:val="nil"/>
            </w:tcBorders>
            <w:vAlign w:val="center"/>
          </w:tcPr>
          <w:p>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序号</w:t>
            </w:r>
          </w:p>
        </w:tc>
        <w:tc>
          <w:tcPr>
            <w:tcW w:w="819"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220" w:firstLineChars="100"/>
              <w:textAlignment w:val="auto"/>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评分因素</w:t>
            </w:r>
          </w:p>
        </w:tc>
        <w:tc>
          <w:tcPr>
            <w:tcW w:w="1324"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评分准则</w:t>
            </w:r>
          </w:p>
        </w:tc>
        <w:tc>
          <w:tcPr>
            <w:tcW w:w="472"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分值</w:t>
            </w:r>
          </w:p>
        </w:tc>
        <w:tc>
          <w:tcPr>
            <w:tcW w:w="1988"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11" w:hRule="atLeast"/>
          <w:jc w:val="center"/>
        </w:trPr>
        <w:tc>
          <w:tcPr>
            <w:tcW w:w="395" w:type="pct"/>
            <w:tcBorders>
              <w:tl2br w:val="nil"/>
              <w:tr2bl w:val="nil"/>
            </w:tcBorders>
            <w:vAlign w:val="center"/>
          </w:tcPr>
          <w:p>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1</w:t>
            </w:r>
          </w:p>
        </w:tc>
        <w:tc>
          <w:tcPr>
            <w:tcW w:w="819" w:type="pct"/>
            <w:tcBorders>
              <w:tl2br w:val="nil"/>
              <w:tr2bl w:val="nil"/>
            </w:tcBorders>
            <w:vAlign w:val="center"/>
          </w:tcPr>
          <w:p>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项目总报价</w:t>
            </w:r>
          </w:p>
        </w:tc>
        <w:tc>
          <w:tcPr>
            <w:tcW w:w="1324" w:type="pct"/>
            <w:tcBorders>
              <w:tl2br w:val="nil"/>
              <w:tr2bl w:val="nil"/>
            </w:tcBorders>
            <w:vAlign w:val="center"/>
          </w:tcPr>
          <w:p>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在商务技术满足基准要求的前提下，项目总报价最低的投标人得满分，第二名得分</w:t>
            </w:r>
            <w:r>
              <w:rPr>
                <w:rFonts w:hint="eastAsia" w:ascii="宋体" w:hAnsi="宋体" w:eastAsia="宋体" w:cs="宋体"/>
                <w:b w:val="0"/>
                <w:bCs/>
                <w:sz w:val="22"/>
                <w:szCs w:val="22"/>
                <w:highlight w:val="none"/>
                <w:lang w:val="en-US" w:eastAsia="zh-CN"/>
              </w:rPr>
              <w:t>80</w:t>
            </w:r>
            <w:r>
              <w:rPr>
                <w:rFonts w:hint="eastAsia" w:ascii="宋体" w:hAnsi="宋体" w:eastAsia="宋体" w:cs="宋体"/>
                <w:b w:val="0"/>
                <w:bCs/>
                <w:sz w:val="22"/>
                <w:szCs w:val="22"/>
                <w:highlight w:val="none"/>
              </w:rPr>
              <w:t>分，第三名得分60分，以此类推。</w:t>
            </w:r>
          </w:p>
        </w:tc>
        <w:tc>
          <w:tcPr>
            <w:tcW w:w="472" w:type="pct"/>
            <w:tcBorders>
              <w:tl2br w:val="nil"/>
              <w:tr2bl w:val="nil"/>
            </w:tcBorders>
            <w:vAlign w:val="center"/>
          </w:tcPr>
          <w:p>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100分</w:t>
            </w:r>
          </w:p>
        </w:tc>
        <w:tc>
          <w:tcPr>
            <w:tcW w:w="1988" w:type="pct"/>
            <w:tcBorders>
              <w:tl2br w:val="nil"/>
              <w:tr2bl w:val="nil"/>
            </w:tcBorders>
            <w:vAlign w:val="center"/>
          </w:tcPr>
          <w:p>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 w:val="0"/>
                <w:bCs/>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539" w:type="pct"/>
            <w:gridSpan w:val="3"/>
            <w:tcBorders>
              <w:tl2br w:val="nil"/>
              <w:tr2bl w:val="nil"/>
            </w:tcBorders>
            <w:vAlign w:val="center"/>
          </w:tcPr>
          <w:p>
            <w:pPr>
              <w:keepNext w:val="0"/>
              <w:keepLines w:val="0"/>
              <w:pageBreakBefore w:val="0"/>
              <w:widowControl/>
              <w:kinsoku/>
              <w:wordWrap/>
              <w:overflowPunct/>
              <w:topLinePunct w:val="0"/>
              <w:autoSpaceDE/>
              <w:autoSpaceDN/>
              <w:bidi w:val="0"/>
              <w:spacing w:line="280" w:lineRule="exact"/>
              <w:jc w:val="center"/>
              <w:textAlignment w:val="auto"/>
              <w:rPr>
                <w:rFonts w:hint="eastAsia" w:ascii="宋体" w:hAnsi="宋体" w:eastAsia="宋体" w:cs="宋体"/>
                <w:b w:val="0"/>
                <w:bCs/>
                <w:kern w:val="0"/>
                <w:sz w:val="22"/>
                <w:szCs w:val="22"/>
                <w:highlight w:val="none"/>
              </w:rPr>
            </w:pPr>
            <w:r>
              <w:rPr>
                <w:rFonts w:hint="eastAsia" w:ascii="宋体" w:hAnsi="宋体" w:eastAsia="宋体" w:cs="宋体"/>
                <w:b w:val="0"/>
                <w:bCs/>
                <w:kern w:val="0"/>
                <w:sz w:val="22"/>
                <w:szCs w:val="22"/>
                <w:highlight w:val="none"/>
              </w:rPr>
              <w:t>合计</w:t>
            </w:r>
          </w:p>
        </w:tc>
        <w:tc>
          <w:tcPr>
            <w:tcW w:w="472" w:type="pct"/>
            <w:tcBorders>
              <w:tl2br w:val="nil"/>
              <w:tr2bl w:val="nil"/>
            </w:tcBorders>
            <w:vAlign w:val="center"/>
          </w:tcPr>
          <w:p>
            <w:pPr>
              <w:keepNext w:val="0"/>
              <w:keepLines w:val="0"/>
              <w:pageBreakBefore w:val="0"/>
              <w:widowControl/>
              <w:kinsoku/>
              <w:wordWrap/>
              <w:overflowPunct/>
              <w:topLinePunct w:val="0"/>
              <w:autoSpaceDE/>
              <w:autoSpaceDN/>
              <w:bidi w:val="0"/>
              <w:spacing w:line="280" w:lineRule="exact"/>
              <w:jc w:val="center"/>
              <w:textAlignment w:val="auto"/>
              <w:rPr>
                <w:rFonts w:hint="eastAsia" w:ascii="宋体" w:hAnsi="宋体" w:eastAsia="宋体" w:cs="宋体"/>
                <w:b w:val="0"/>
                <w:bCs/>
                <w:kern w:val="0"/>
                <w:sz w:val="22"/>
                <w:szCs w:val="22"/>
                <w:highlight w:val="none"/>
              </w:rPr>
            </w:pPr>
            <w:r>
              <w:rPr>
                <w:rFonts w:hint="eastAsia" w:ascii="宋体" w:hAnsi="宋体" w:eastAsia="宋体" w:cs="宋体"/>
                <w:b w:val="0"/>
                <w:bCs/>
                <w:kern w:val="0"/>
                <w:sz w:val="22"/>
                <w:szCs w:val="22"/>
                <w:highlight w:val="none"/>
              </w:rPr>
              <w:t>100分</w:t>
            </w:r>
          </w:p>
        </w:tc>
        <w:tc>
          <w:tcPr>
            <w:tcW w:w="1988" w:type="pct"/>
            <w:tcBorders>
              <w:tl2br w:val="nil"/>
              <w:tr2bl w:val="nil"/>
            </w:tcBorders>
            <w:vAlign w:val="center"/>
          </w:tcPr>
          <w:p>
            <w:pPr>
              <w:keepNext w:val="0"/>
              <w:keepLines w:val="0"/>
              <w:pageBreakBefore w:val="0"/>
              <w:widowControl/>
              <w:kinsoku/>
              <w:wordWrap/>
              <w:overflowPunct/>
              <w:topLinePunct w:val="0"/>
              <w:autoSpaceDE/>
              <w:autoSpaceDN/>
              <w:bidi w:val="0"/>
              <w:spacing w:line="280" w:lineRule="exact"/>
              <w:jc w:val="center"/>
              <w:textAlignment w:val="auto"/>
              <w:rPr>
                <w:rFonts w:hint="eastAsia" w:ascii="宋体" w:hAnsi="宋体" w:eastAsia="宋体" w:cs="宋体"/>
                <w:b w:val="0"/>
                <w:bCs/>
                <w:kern w:val="0"/>
                <w:sz w:val="22"/>
                <w:szCs w:val="22"/>
                <w:highlight w:val="none"/>
              </w:rPr>
            </w:pPr>
          </w:p>
        </w:tc>
      </w:tr>
    </w:tbl>
    <w:p>
      <w:pPr>
        <w:pageBreakBefore w:val="0"/>
        <w:widowControl/>
        <w:kinsoku/>
        <w:overflowPunct/>
        <w:topLinePunct w:val="0"/>
        <w:autoSpaceDE/>
        <w:autoSpaceDN/>
        <w:bidi w:val="0"/>
        <w:adjustRightInd w:val="0"/>
        <w:snapToGrid w:val="0"/>
        <w:spacing w:line="560" w:lineRule="exact"/>
        <w:jc w:val="center"/>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价格标评分方法</w:t>
      </w:r>
    </w:p>
    <w:p>
      <w:pPr>
        <w:pageBreakBefore w:val="0"/>
        <w:widowControl/>
        <w:kinsoku/>
        <w:overflowPunct/>
        <w:topLinePunct w:val="0"/>
        <w:autoSpaceDE/>
        <w:autoSpaceDN/>
        <w:bidi w:val="0"/>
        <w:adjustRightInd w:val="0"/>
        <w:snapToGrid w:val="0"/>
        <w:spacing w:line="560" w:lineRule="exact"/>
        <w:jc w:val="center"/>
        <w:rPr>
          <w:rFonts w:hint="eastAsia" w:ascii="仿宋" w:hAnsi="仿宋" w:eastAsia="仿宋" w:cs="仿宋"/>
          <w:b w:val="0"/>
          <w:bCs/>
          <w:sz w:val="32"/>
          <w:szCs w:val="32"/>
          <w:highlight w:val="none"/>
        </w:rPr>
      </w:pPr>
    </w:p>
    <w:p>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说明：</w:t>
      </w:r>
    </w:p>
    <w:p>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1.</w:t>
      </w:r>
      <w:r>
        <w:rPr>
          <w:rFonts w:hint="eastAsia" w:ascii="仿宋" w:hAnsi="仿宋" w:eastAsia="仿宋" w:cs="仿宋"/>
          <w:b w:val="0"/>
          <w:bCs/>
          <w:sz w:val="24"/>
          <w:szCs w:val="24"/>
          <w:highlight w:val="none"/>
        </w:rPr>
        <w:t>评标价格的计算：</w:t>
      </w:r>
    </w:p>
    <w:p>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val="en-US" w:eastAsia="zh-CN"/>
        </w:rPr>
        <w:t>1</w:t>
      </w:r>
      <w:r>
        <w:rPr>
          <w:rFonts w:hint="eastAsia" w:ascii="仿宋" w:hAnsi="仿宋" w:eastAsia="仿宋" w:cs="仿宋"/>
          <w:b w:val="0"/>
          <w:bCs/>
          <w:sz w:val="24"/>
          <w:szCs w:val="24"/>
          <w:highlight w:val="none"/>
        </w:rPr>
        <w:t>)投标文件存在投标报价问题的，进行投标报价的算术修正，投标报价算术修正具体原则为：</w:t>
      </w:r>
    </w:p>
    <w:p>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1）若投标报价一览表中投标价与投标文件中投标价格不一致，以投标报价一览表为准；</w:t>
      </w:r>
    </w:p>
    <w:p>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2）当小写金额与大写金额有差异时，以大写金额为准（有明显错误的除外）；</w:t>
      </w:r>
    </w:p>
    <w:p>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3）单价金额小数点有明显错位的，应以总价为准，并修改单价；</w:t>
      </w:r>
    </w:p>
    <w:p>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4）投标报价为各分项报价金额之和，总价金额与依据单价计算出的结果不一致的，以单价合同金额以经修正后的投标报价为准，缺漏项部分由投标人自行承担。</w:t>
      </w:r>
    </w:p>
    <w:p>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2.</w:t>
      </w:r>
      <w:r>
        <w:rPr>
          <w:rFonts w:hint="eastAsia" w:ascii="仿宋" w:hAnsi="仿宋" w:eastAsia="仿宋" w:cs="仿宋"/>
          <w:b w:val="0"/>
          <w:bCs/>
          <w:sz w:val="24"/>
          <w:szCs w:val="24"/>
          <w:highlight w:val="none"/>
        </w:rPr>
        <w:t>价格标评分的计算：</w:t>
      </w:r>
    </w:p>
    <w:p>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(1)</w:t>
      </w:r>
      <w:r>
        <w:rPr>
          <w:rFonts w:hint="eastAsia" w:ascii="仿宋" w:hAnsi="仿宋" w:eastAsia="仿宋" w:cs="仿宋"/>
          <w:b w:val="0"/>
          <w:bCs/>
          <w:sz w:val="24"/>
          <w:szCs w:val="24"/>
          <w:highlight w:val="none"/>
        </w:rPr>
        <w:t>评标专家组按附表2-1《价格标评分方法》进行评分。</w:t>
      </w:r>
    </w:p>
    <w:p>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(2)</w:t>
      </w:r>
      <w:r>
        <w:rPr>
          <w:rFonts w:hint="eastAsia" w:ascii="仿宋" w:hAnsi="仿宋" w:eastAsia="仿宋" w:cs="仿宋"/>
          <w:b w:val="0"/>
          <w:bCs/>
          <w:sz w:val="24"/>
          <w:szCs w:val="24"/>
          <w:highlight w:val="none"/>
        </w:rPr>
        <w:t>经以上算法得出的数值即为投标人的价格得分（计算过程及计算结果四舍五入保留小数点后两位）。</w:t>
      </w:r>
    </w:p>
    <w:p>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 w:hAnsi="仿宋" w:eastAsia="仿宋" w:cs="仿宋"/>
          <w:b w:val="0"/>
          <w:bCs/>
          <w:sz w:val="24"/>
          <w:szCs w:val="24"/>
          <w:highlight w:val="none"/>
          <w:shd w:val="clear" w:color="auto" w:fill="FFFF00"/>
        </w:rPr>
      </w:pPr>
      <w:r>
        <w:rPr>
          <w:rFonts w:hint="eastAsia" w:ascii="仿宋" w:hAnsi="仿宋" w:eastAsia="仿宋" w:cs="仿宋"/>
          <w:b w:val="0"/>
          <w:bCs/>
          <w:sz w:val="24"/>
          <w:szCs w:val="24"/>
          <w:highlight w:val="none"/>
          <w:lang w:val="en-US" w:eastAsia="zh-CN"/>
        </w:rPr>
        <w:t>(3)</w:t>
      </w:r>
      <w:r>
        <w:rPr>
          <w:rFonts w:hint="eastAsia" w:ascii="仿宋" w:hAnsi="仿宋" w:eastAsia="仿宋" w:cs="仿宋"/>
          <w:b w:val="0"/>
          <w:bCs/>
          <w:sz w:val="24"/>
          <w:szCs w:val="24"/>
          <w:highlight w:val="none"/>
        </w:rPr>
        <w:t>价格得分为负数时，计为0分。</w:t>
      </w:r>
    </w:p>
    <w:p>
      <w:pPr>
        <w:pageBreakBefore w:val="0"/>
        <w:widowControl/>
        <w:kinsoku/>
        <w:overflowPunct/>
        <w:topLinePunct w:val="0"/>
        <w:autoSpaceDE/>
        <w:autoSpaceDN/>
        <w:bidi w:val="0"/>
        <w:adjustRightInd w:val="0"/>
        <w:snapToGrid w:val="0"/>
        <w:spacing w:line="560" w:lineRule="exact"/>
        <w:rPr>
          <w:rFonts w:hint="eastAsia" w:ascii="仿宋" w:hAnsi="仿宋" w:eastAsia="仿宋" w:cs="仿宋"/>
          <w:b w:val="0"/>
          <w:bCs/>
          <w:color w:val="FF0000"/>
          <w:sz w:val="32"/>
          <w:szCs w:val="32"/>
          <w:highlight w:val="none"/>
        </w:rPr>
      </w:pPr>
    </w:p>
    <w:p>
      <w:pPr>
        <w:pageBreakBefore w:val="0"/>
        <w:widowControl/>
        <w:kinsoku/>
        <w:overflowPunct/>
        <w:topLinePunct w:val="0"/>
        <w:autoSpaceDE/>
        <w:autoSpaceDN/>
        <w:bidi w:val="0"/>
        <w:adjustRightInd w:val="0"/>
        <w:snapToGrid w:val="0"/>
        <w:spacing w:line="560" w:lineRule="exac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adjustRightInd w:val="0"/>
        <w:snapToGrid w:val="0"/>
        <w:spacing w:line="560" w:lineRule="exac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adjustRightInd w:val="0"/>
        <w:snapToGrid w:val="0"/>
        <w:spacing w:line="560" w:lineRule="exac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adjustRightInd w:val="0"/>
        <w:snapToGrid w:val="0"/>
        <w:spacing w:line="560" w:lineRule="exac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adjustRightInd w:val="0"/>
        <w:snapToGrid w:val="0"/>
        <w:spacing w:line="560" w:lineRule="exact"/>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br w:type="page"/>
      </w:r>
    </w:p>
    <w:p>
      <w:pPr>
        <w:keepNext/>
        <w:keepLines/>
        <w:pageBreakBefore w:val="0"/>
        <w:widowControl/>
        <w:numPr>
          <w:ilvl w:val="3"/>
          <w:numId w:val="0"/>
        </w:numPr>
        <w:kinsoku/>
        <w:overflowPunct/>
        <w:topLinePunct w:val="0"/>
        <w:autoSpaceDE/>
        <w:autoSpaceDN/>
        <w:bidi w:val="0"/>
        <w:adjustRightInd w:val="0"/>
        <w:snapToGrid w:val="0"/>
        <w:spacing w:line="560" w:lineRule="exact"/>
        <w:outlineLvl w:val="3"/>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附表3-1 《商务技术标、价格标权重表》</w:t>
      </w:r>
    </w:p>
    <w:p>
      <w:pPr>
        <w:keepNext/>
        <w:keepLines/>
        <w:pageBreakBefore w:val="0"/>
        <w:widowControl/>
        <w:numPr>
          <w:ilvl w:val="3"/>
          <w:numId w:val="0"/>
        </w:numPr>
        <w:kinsoku/>
        <w:overflowPunct/>
        <w:topLinePunct w:val="0"/>
        <w:autoSpaceDE/>
        <w:autoSpaceDN/>
        <w:bidi w:val="0"/>
        <w:adjustRightInd w:val="0"/>
        <w:snapToGrid w:val="0"/>
        <w:spacing w:line="560" w:lineRule="exact"/>
        <w:ind w:firstLine="640" w:firstLineChars="200"/>
        <w:outlineLvl w:val="3"/>
        <w:rPr>
          <w:rFonts w:hint="eastAsia" w:ascii="仿宋" w:hAnsi="仿宋" w:eastAsia="仿宋" w:cs="仿宋"/>
          <w:b w:val="0"/>
          <w:bCs/>
          <w:sz w:val="32"/>
          <w:szCs w:val="32"/>
          <w:highlight w:val="none"/>
        </w:rPr>
      </w:pPr>
    </w:p>
    <w:p>
      <w:pPr>
        <w:pageBreakBefore w:val="0"/>
        <w:widowControl/>
        <w:kinsoku/>
        <w:overflowPunct/>
        <w:topLinePunct w:val="0"/>
        <w:autoSpaceDE/>
        <w:autoSpaceDN/>
        <w:bidi w:val="0"/>
        <w:adjustRightInd w:val="0"/>
        <w:snapToGrid w:val="0"/>
        <w:spacing w:line="560" w:lineRule="exact"/>
        <w:jc w:val="center"/>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商务技术标、价格标权重表</w:t>
      </w:r>
    </w:p>
    <w:tbl>
      <w:tblPr>
        <w:tblStyle w:val="14"/>
        <w:tblW w:w="900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3456"/>
        <w:gridCol w:w="2158"/>
        <w:gridCol w:w="33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82" w:hRule="atLeast"/>
          <w:jc w:val="center"/>
        </w:trPr>
        <w:tc>
          <w:tcPr>
            <w:tcW w:w="3456" w:type="dxa"/>
            <w:tcBorders>
              <w:tl2br w:val="nil"/>
              <w:tr2bl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t>权重名称</w:t>
            </w:r>
          </w:p>
        </w:tc>
        <w:tc>
          <w:tcPr>
            <w:tcW w:w="2158" w:type="dxa"/>
            <w:tcBorders>
              <w:tl2br w:val="nil"/>
              <w:tr2bl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t>商务技术权重</w:t>
            </w:r>
          </w:p>
        </w:tc>
        <w:tc>
          <w:tcPr>
            <w:tcW w:w="3395" w:type="dxa"/>
            <w:tcBorders>
              <w:tl2br w:val="nil"/>
              <w:tr2bl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t>价格权重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812" w:hRule="atLeast"/>
          <w:jc w:val="center"/>
        </w:trPr>
        <w:tc>
          <w:tcPr>
            <w:tcW w:w="3456" w:type="dxa"/>
            <w:tcBorders>
              <w:tl2br w:val="nil"/>
              <w:tr2bl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t>权重</w:t>
            </w:r>
          </w:p>
        </w:tc>
        <w:tc>
          <w:tcPr>
            <w:tcW w:w="2158" w:type="dxa"/>
            <w:tcBorders>
              <w:tl2br w:val="nil"/>
              <w:tr2bl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t>50%</w:t>
            </w:r>
          </w:p>
        </w:tc>
        <w:tc>
          <w:tcPr>
            <w:tcW w:w="3395" w:type="dxa"/>
            <w:tcBorders>
              <w:tl2br w:val="nil"/>
              <w:tr2bl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lang w:val="en-US" w:eastAsia="zh-CN"/>
              </w:rPr>
              <w:t>5</w:t>
            </w:r>
            <w:r>
              <w:rPr>
                <w:rFonts w:hint="eastAsia" w:ascii="仿宋" w:hAnsi="仿宋" w:eastAsia="仿宋" w:cs="仿宋"/>
                <w:b w:val="0"/>
                <w:bCs/>
                <w:sz w:val="28"/>
                <w:szCs w:val="28"/>
                <w:highlight w:val="none"/>
              </w:rPr>
              <w:t>0%</w:t>
            </w:r>
          </w:p>
        </w:tc>
      </w:tr>
    </w:tbl>
    <w:p>
      <w:pPr>
        <w:pageBreakBefore w:val="0"/>
        <w:widowControl/>
        <w:kinsoku/>
        <w:overflowPunct/>
        <w:topLinePunct w:val="0"/>
        <w:autoSpaceDE/>
        <w:autoSpaceDN/>
        <w:bidi w:val="0"/>
        <w:adjustRightInd w:val="0"/>
        <w:snapToGrid w:val="0"/>
        <w:spacing w:line="560" w:lineRule="exac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pPr>
        <w:pStyle w:val="3"/>
        <w:pageBreakBefore w:val="0"/>
        <w:kinsoku/>
        <w:overflowPunct/>
        <w:topLinePunct w:val="0"/>
        <w:autoSpaceDE/>
        <w:autoSpaceDN/>
        <w:bidi w:val="0"/>
        <w:spacing w:line="560" w:lineRule="exact"/>
        <w:jc w:val="center"/>
        <w:rPr>
          <w:rFonts w:hint="eastAsia" w:ascii="黑体" w:hAnsi="黑体" w:eastAsia="黑体" w:cs="黑体"/>
          <w:b w:val="0"/>
          <w:bCs/>
          <w:sz w:val="32"/>
          <w:szCs w:val="32"/>
          <w:highlight w:val="none"/>
        </w:rPr>
      </w:pPr>
      <w:bookmarkStart w:id="37" w:name="_Toc20829"/>
      <w:bookmarkStart w:id="38" w:name="_Toc22811"/>
      <w:r>
        <w:rPr>
          <w:rFonts w:hint="eastAsia" w:ascii="黑体" w:hAnsi="黑体" w:eastAsia="黑体" w:cs="黑体"/>
          <w:b w:val="0"/>
          <w:bCs/>
          <w:sz w:val="32"/>
          <w:szCs w:val="32"/>
          <w:highlight w:val="none"/>
        </w:rPr>
        <w:t>第三章 合同条款</w:t>
      </w:r>
      <w:bookmarkEnd w:id="37"/>
      <w:bookmarkEnd w:id="38"/>
    </w:p>
    <w:p>
      <w:pPr>
        <w:pageBreakBefore w:val="0"/>
        <w:kinsoku/>
        <w:overflowPunct/>
        <w:topLinePunct w:val="0"/>
        <w:autoSpaceDE/>
        <w:autoSpaceDN/>
        <w:bidi w:val="0"/>
        <w:spacing w:line="560" w:lineRule="exact"/>
        <w:jc w:val="center"/>
        <w:rPr>
          <w:rFonts w:hint="eastAsia" w:ascii="仿宋" w:hAnsi="仿宋" w:eastAsia="仿宋" w:cs="仿宋"/>
          <w:b w:val="0"/>
          <w:bCs/>
          <w:sz w:val="48"/>
          <w:szCs w:val="48"/>
          <w:highlight w:val="none"/>
        </w:rPr>
      </w:pPr>
    </w:p>
    <w:p>
      <w:pPr>
        <w:pageBreakBefore w:val="0"/>
        <w:kinsoku/>
        <w:overflowPunct/>
        <w:topLinePunct w:val="0"/>
        <w:autoSpaceDE/>
        <w:autoSpaceDN/>
        <w:bidi w:val="0"/>
        <w:spacing w:line="560" w:lineRule="exact"/>
        <w:jc w:val="center"/>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rPr>
        <w:t>深圳市鹏劳人力资源管理有限公司</w:t>
      </w:r>
    </w:p>
    <w:p>
      <w:pPr>
        <w:pageBreakBefore w:val="0"/>
        <w:kinsoku/>
        <w:overflowPunct/>
        <w:topLinePunct w:val="0"/>
        <w:autoSpaceDE/>
        <w:autoSpaceDN/>
        <w:bidi w:val="0"/>
        <w:spacing w:line="560" w:lineRule="exact"/>
        <w:jc w:val="center"/>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lang w:val="en-US" w:eastAsia="zh-CN"/>
        </w:rPr>
        <w:t>2022</w:t>
      </w:r>
      <w:r>
        <w:rPr>
          <w:rFonts w:hint="eastAsia" w:ascii="方正小标宋简体" w:hAnsi="方正小标宋简体" w:eastAsia="方正小标宋简体" w:cs="方正小标宋简体"/>
          <w:b w:val="0"/>
          <w:bCs/>
          <w:sz w:val="44"/>
          <w:szCs w:val="44"/>
          <w:highlight w:val="none"/>
          <w:lang w:eastAsia="zh-CN"/>
        </w:rPr>
        <w:t>年度员工健康</w:t>
      </w:r>
      <w:r>
        <w:rPr>
          <w:rFonts w:hint="eastAsia" w:ascii="方正小标宋简体" w:hAnsi="方正小标宋简体" w:eastAsia="方正小标宋简体" w:cs="方正小标宋简体"/>
          <w:b w:val="0"/>
          <w:bCs/>
          <w:sz w:val="44"/>
          <w:szCs w:val="44"/>
          <w:highlight w:val="none"/>
        </w:rPr>
        <w:t>体检服务合同</w:t>
      </w:r>
    </w:p>
    <w:p>
      <w:pPr>
        <w:pageBreakBefore w:val="0"/>
        <w:kinsoku/>
        <w:overflowPunct/>
        <w:topLinePunct w:val="0"/>
        <w:autoSpaceDE/>
        <w:autoSpaceDN/>
        <w:bidi w:val="0"/>
        <w:spacing w:line="560" w:lineRule="exact"/>
        <w:rPr>
          <w:rFonts w:hint="eastAsia" w:ascii="仿宋" w:hAnsi="仿宋" w:eastAsia="仿宋" w:cs="仿宋"/>
          <w:b w:val="0"/>
          <w:bCs/>
          <w:sz w:val="32"/>
          <w:szCs w:val="32"/>
          <w:highlight w:val="none"/>
        </w:rPr>
      </w:pPr>
    </w:p>
    <w:p>
      <w:pPr>
        <w:pageBreakBefore w:val="0"/>
        <w:kinsoku/>
        <w:overflowPunct/>
        <w:topLinePunct w:val="0"/>
        <w:autoSpaceDE/>
        <w:autoSpaceDN/>
        <w:bidi w:val="0"/>
        <w:spacing w:line="560" w:lineRule="exact"/>
        <w:rPr>
          <w:rFonts w:hint="eastAsia" w:ascii="仿宋" w:hAnsi="仿宋" w:eastAsia="仿宋" w:cs="仿宋"/>
          <w:b w:val="0"/>
          <w:bCs/>
          <w:sz w:val="32"/>
          <w:szCs w:val="32"/>
          <w:highlight w:val="none"/>
        </w:rPr>
      </w:pPr>
    </w:p>
    <w:p>
      <w:pPr>
        <w:pageBreakBefore w:val="0"/>
        <w:kinsoku/>
        <w:overflowPunct/>
        <w:topLinePunct w:val="0"/>
        <w:autoSpaceDE/>
        <w:autoSpaceDN/>
        <w:bidi w:val="0"/>
        <w:spacing w:line="560" w:lineRule="exact"/>
        <w:rPr>
          <w:rFonts w:hint="eastAsia" w:ascii="仿宋" w:hAnsi="仿宋" w:eastAsia="仿宋" w:cs="仿宋"/>
          <w:b w:val="0"/>
          <w:bCs/>
          <w:sz w:val="32"/>
          <w:szCs w:val="32"/>
          <w:highlight w:val="none"/>
        </w:rPr>
      </w:pPr>
      <w:bookmarkStart w:id="39" w:name="_Toc27794"/>
      <w:r>
        <w:rPr>
          <w:rFonts w:hint="eastAsia" w:ascii="仿宋" w:hAnsi="仿宋" w:eastAsia="仿宋" w:cs="仿宋"/>
          <w:b w:val="0"/>
          <w:bCs/>
          <w:sz w:val="32"/>
          <w:szCs w:val="32"/>
          <w:highlight w:val="none"/>
        </w:rPr>
        <w:t xml:space="preserve">甲方：深圳市鹏劳人力资源管理有限公司 </w:t>
      </w:r>
    </w:p>
    <w:p>
      <w:pPr>
        <w:pageBreakBefore w:val="0"/>
        <w:kinsoku/>
        <w:overflowPunct/>
        <w:topLinePunct w:val="0"/>
        <w:autoSpaceDE/>
        <w:autoSpaceDN/>
        <w:bidi w:val="0"/>
        <w:spacing w:line="560" w:lineRule="exact"/>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地址：深圳市罗湖区桂园路红围街19号</w:t>
      </w:r>
      <w:r>
        <w:rPr>
          <w:rFonts w:hint="eastAsia" w:ascii="仿宋" w:hAnsi="仿宋" w:eastAsia="仿宋" w:cs="仿宋"/>
          <w:b w:val="0"/>
          <w:bCs/>
          <w:sz w:val="32"/>
          <w:szCs w:val="32"/>
          <w:highlight w:val="none"/>
        </w:rPr>
        <w:tab/>
      </w:r>
    </w:p>
    <w:p>
      <w:pPr>
        <w:pageBreakBefore w:val="0"/>
        <w:kinsoku/>
        <w:overflowPunct/>
        <w:topLinePunct w:val="0"/>
        <w:autoSpaceDE/>
        <w:autoSpaceDN/>
        <w:bidi w:val="0"/>
        <w:spacing w:line="560" w:lineRule="exact"/>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 xml:space="preserve">联系人及电话： </w:t>
      </w:r>
    </w:p>
    <w:p>
      <w:pPr>
        <w:pageBreakBefore w:val="0"/>
        <w:kinsoku/>
        <w:overflowPunct/>
        <w:topLinePunct w:val="0"/>
        <w:autoSpaceDE/>
        <w:autoSpaceDN/>
        <w:bidi w:val="0"/>
        <w:spacing w:line="560" w:lineRule="exact"/>
        <w:rPr>
          <w:rFonts w:hint="eastAsia" w:ascii="仿宋" w:hAnsi="仿宋" w:eastAsia="仿宋" w:cs="仿宋"/>
          <w:b w:val="0"/>
          <w:bCs/>
          <w:sz w:val="32"/>
          <w:szCs w:val="32"/>
          <w:highlight w:val="none"/>
        </w:rPr>
      </w:pPr>
    </w:p>
    <w:p>
      <w:pPr>
        <w:pageBreakBefore w:val="0"/>
        <w:kinsoku/>
        <w:overflowPunct/>
        <w:topLinePunct w:val="0"/>
        <w:autoSpaceDE/>
        <w:autoSpaceDN/>
        <w:bidi w:val="0"/>
        <w:spacing w:line="560" w:lineRule="exact"/>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 xml:space="preserve">乙方： </w:t>
      </w:r>
    </w:p>
    <w:p>
      <w:pPr>
        <w:pageBreakBefore w:val="0"/>
        <w:kinsoku/>
        <w:overflowPunct/>
        <w:topLinePunct w:val="0"/>
        <w:autoSpaceDE/>
        <w:autoSpaceDN/>
        <w:bidi w:val="0"/>
        <w:spacing w:line="560" w:lineRule="exact"/>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 xml:space="preserve">地址： </w:t>
      </w:r>
    </w:p>
    <w:p>
      <w:pPr>
        <w:pageBreakBefore w:val="0"/>
        <w:kinsoku/>
        <w:overflowPunct/>
        <w:topLinePunct w:val="0"/>
        <w:autoSpaceDE/>
        <w:autoSpaceDN/>
        <w:bidi w:val="0"/>
        <w:spacing w:line="560" w:lineRule="exact"/>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 xml:space="preserve">联系人及电话： </w:t>
      </w:r>
    </w:p>
    <w:p>
      <w:pPr>
        <w:pageBreakBefore w:val="0"/>
        <w:kinsoku/>
        <w:overflowPunct/>
        <w:topLinePunct w:val="0"/>
        <w:autoSpaceDE/>
        <w:autoSpaceDN/>
        <w:bidi w:val="0"/>
        <w:spacing w:line="560" w:lineRule="exact"/>
        <w:ind w:firstLine="729" w:firstLineChars="228"/>
        <w:rPr>
          <w:rFonts w:hint="eastAsia" w:ascii="仿宋" w:hAnsi="仿宋" w:eastAsia="仿宋" w:cs="仿宋"/>
          <w:b w:val="0"/>
          <w:bCs/>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甲方经招标采购程序，确定乙方为甲方202</w:t>
      </w:r>
      <w:r>
        <w:rPr>
          <w:rFonts w:hint="eastAsia" w:ascii="仿宋" w:hAnsi="仿宋" w:eastAsia="仿宋" w:cs="仿宋"/>
          <w:b w:val="0"/>
          <w:bCs/>
          <w:sz w:val="32"/>
          <w:szCs w:val="32"/>
          <w:highlight w:val="none"/>
          <w:lang w:val="en-US" w:eastAsia="zh-CN"/>
        </w:rPr>
        <w:t>2</w:t>
      </w:r>
      <w:r>
        <w:rPr>
          <w:rFonts w:hint="eastAsia" w:ascii="仿宋" w:hAnsi="仿宋" w:eastAsia="仿宋" w:cs="仿宋"/>
          <w:b w:val="0"/>
          <w:bCs/>
          <w:sz w:val="32"/>
          <w:szCs w:val="32"/>
          <w:highlight w:val="none"/>
        </w:rPr>
        <w:t>年度</w:t>
      </w:r>
      <w:r>
        <w:rPr>
          <w:rFonts w:hint="eastAsia" w:ascii="仿宋" w:hAnsi="仿宋" w:eastAsia="仿宋" w:cs="仿宋"/>
          <w:b w:val="0"/>
          <w:bCs/>
          <w:sz w:val="32"/>
          <w:szCs w:val="32"/>
          <w:highlight w:val="none"/>
          <w:lang w:eastAsia="zh-CN"/>
        </w:rPr>
        <w:t>员工健康</w:t>
      </w:r>
      <w:r>
        <w:rPr>
          <w:rFonts w:hint="eastAsia" w:ascii="仿宋" w:hAnsi="仿宋" w:eastAsia="仿宋" w:cs="仿宋"/>
          <w:b w:val="0"/>
          <w:bCs/>
          <w:sz w:val="32"/>
          <w:szCs w:val="32"/>
          <w:highlight w:val="none"/>
        </w:rPr>
        <w:t>体检</w:t>
      </w:r>
      <w:r>
        <w:rPr>
          <w:rFonts w:hint="eastAsia" w:ascii="仿宋" w:hAnsi="仿宋" w:eastAsia="仿宋" w:cs="仿宋"/>
          <w:b w:val="0"/>
          <w:bCs/>
          <w:sz w:val="32"/>
          <w:szCs w:val="32"/>
          <w:highlight w:val="none"/>
          <w:lang w:val="en-US" w:eastAsia="zh-CN"/>
        </w:rPr>
        <w:t>服务</w:t>
      </w:r>
      <w:r>
        <w:rPr>
          <w:rFonts w:hint="eastAsia" w:ascii="仿宋" w:hAnsi="仿宋" w:eastAsia="仿宋" w:cs="仿宋"/>
          <w:b w:val="0"/>
          <w:bCs/>
          <w:sz w:val="32"/>
          <w:szCs w:val="32"/>
          <w:highlight w:val="none"/>
        </w:rPr>
        <w:t>采购项目（项目编号：PLHR-ZB-FW-202</w:t>
      </w:r>
      <w:r>
        <w:rPr>
          <w:rFonts w:hint="eastAsia" w:ascii="仿宋" w:hAnsi="仿宋" w:eastAsia="仿宋" w:cs="仿宋"/>
          <w:b w:val="0"/>
          <w:bCs/>
          <w:sz w:val="32"/>
          <w:szCs w:val="32"/>
          <w:highlight w:val="none"/>
          <w:lang w:val="en-US" w:eastAsia="zh-CN"/>
        </w:rPr>
        <w:t>20401</w:t>
      </w:r>
      <w:r>
        <w:rPr>
          <w:rFonts w:hint="eastAsia" w:ascii="仿宋" w:hAnsi="仿宋" w:eastAsia="仿宋" w:cs="仿宋"/>
          <w:b w:val="0"/>
          <w:bCs/>
          <w:sz w:val="32"/>
          <w:szCs w:val="32"/>
          <w:highlight w:val="none"/>
        </w:rPr>
        <w:t>）中标方，双方本着平等合作、互惠互利的原则订立本服务合同，就乙方为甲方</w:t>
      </w:r>
      <w:r>
        <w:rPr>
          <w:rFonts w:hint="eastAsia" w:ascii="仿宋" w:hAnsi="仿宋" w:eastAsia="仿宋" w:cs="仿宋"/>
          <w:b w:val="0"/>
          <w:bCs/>
          <w:sz w:val="32"/>
          <w:szCs w:val="32"/>
          <w:highlight w:val="none"/>
          <w:lang w:eastAsia="zh-CN"/>
        </w:rPr>
        <w:t>员工</w:t>
      </w:r>
      <w:r>
        <w:rPr>
          <w:rFonts w:hint="eastAsia" w:ascii="仿宋" w:hAnsi="仿宋" w:eastAsia="仿宋" w:cs="仿宋"/>
          <w:b w:val="0"/>
          <w:bCs/>
          <w:sz w:val="32"/>
          <w:szCs w:val="32"/>
          <w:highlight w:val="none"/>
        </w:rPr>
        <w:t>提供体检服务事宜约定如下：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一、乙方义务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一</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乙方按甲方项目编号为PLHR-ZB-FW-202</w:t>
      </w:r>
      <w:r>
        <w:rPr>
          <w:rFonts w:hint="eastAsia" w:ascii="仿宋" w:hAnsi="仿宋" w:eastAsia="仿宋" w:cs="仿宋"/>
          <w:b w:val="0"/>
          <w:bCs/>
          <w:sz w:val="32"/>
          <w:szCs w:val="32"/>
          <w:highlight w:val="none"/>
          <w:lang w:val="en-US" w:eastAsia="zh-CN"/>
        </w:rPr>
        <w:t>20401</w:t>
      </w:r>
      <w:r>
        <w:rPr>
          <w:rFonts w:hint="eastAsia" w:ascii="仿宋" w:hAnsi="仿宋" w:eastAsia="仿宋" w:cs="仿宋"/>
          <w:b w:val="0"/>
          <w:bCs/>
          <w:sz w:val="32"/>
          <w:szCs w:val="32"/>
          <w:highlight w:val="none"/>
        </w:rPr>
        <w:t>的招标文件及该项目邀请投标公告的要求为甲方员工提供健康体检服务，确认甲方体检人员与其本人身份证是否一致，避免代检、替检。甲方员工体检结果出具后，乙方必须以邮件形式告知甲方指定联系人。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二</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乙方提供以下有效收款账户作为体检费用结算账户（中标人填写）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收款单位：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收款银行：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银行账号：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三</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乙方应向甲方开具符合国家法律法规规定的</w:t>
      </w:r>
      <w:r>
        <w:rPr>
          <w:rFonts w:hint="eastAsia" w:ascii="仿宋" w:hAnsi="仿宋" w:eastAsia="仿宋" w:cs="仿宋"/>
          <w:b w:val="0"/>
          <w:bCs/>
          <w:sz w:val="32"/>
          <w:szCs w:val="32"/>
          <w:highlight w:val="none"/>
          <w:lang w:eastAsia="zh-CN"/>
        </w:rPr>
        <w:t>票据</w:t>
      </w:r>
      <w:r>
        <w:rPr>
          <w:rFonts w:hint="eastAsia" w:ascii="仿宋" w:hAnsi="仿宋" w:eastAsia="仿宋" w:cs="仿宋"/>
          <w:b w:val="0"/>
          <w:bCs/>
          <w:sz w:val="32"/>
          <w:szCs w:val="32"/>
          <w:highlight w:val="none"/>
        </w:rPr>
        <w:t>，并提供实际到检人员名单及标准明细以便甲方实施体检费用结算。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四</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乙方为甲方员工预留的企业员工体检服务期限为</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（待招标确定）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二、甲方义务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一</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向乙方指定接口人提供应体检人员的必要个人信息；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二</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体检报告由甲方体检人员自取，乙方于体检完成的15个工作日内提供已出具的体检人电子报告至甲方。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三</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乙方履行本合同第</w:t>
      </w:r>
      <w:r>
        <w:rPr>
          <w:rFonts w:hint="eastAsia" w:ascii="仿宋" w:hAnsi="仿宋" w:eastAsia="仿宋" w:cs="仿宋"/>
          <w:b w:val="0"/>
          <w:bCs/>
          <w:sz w:val="32"/>
          <w:szCs w:val="32"/>
          <w:highlight w:val="none"/>
          <w:lang w:eastAsia="zh-CN"/>
        </w:rPr>
        <w:t>一</w:t>
      </w:r>
      <w:r>
        <w:rPr>
          <w:rFonts w:hint="eastAsia" w:ascii="仿宋" w:hAnsi="仿宋" w:eastAsia="仿宋" w:cs="仿宋"/>
          <w:b w:val="0"/>
          <w:bCs/>
          <w:sz w:val="32"/>
          <w:szCs w:val="32"/>
          <w:highlight w:val="none"/>
        </w:rPr>
        <w:t>条第2、3款义务后，由甲方在收到</w:t>
      </w:r>
      <w:r>
        <w:rPr>
          <w:rFonts w:hint="eastAsia" w:ascii="仿宋" w:hAnsi="仿宋" w:eastAsia="仿宋" w:cs="仿宋"/>
          <w:b w:val="0"/>
          <w:bCs/>
          <w:sz w:val="32"/>
          <w:szCs w:val="32"/>
          <w:highlight w:val="none"/>
          <w:lang w:eastAsia="zh-CN"/>
        </w:rPr>
        <w:t>票据</w:t>
      </w:r>
      <w:r>
        <w:rPr>
          <w:rFonts w:hint="eastAsia" w:ascii="仿宋" w:hAnsi="仿宋" w:eastAsia="仿宋" w:cs="仿宋"/>
          <w:b w:val="0"/>
          <w:bCs/>
          <w:sz w:val="32"/>
          <w:szCs w:val="32"/>
          <w:highlight w:val="none"/>
          <w:lang w:val="en-US" w:eastAsia="zh-CN"/>
        </w:rPr>
        <w:t>5</w:t>
      </w:r>
      <w:r>
        <w:rPr>
          <w:rFonts w:hint="eastAsia" w:ascii="仿宋" w:hAnsi="仿宋" w:eastAsia="仿宋" w:cs="仿宋"/>
          <w:b w:val="0"/>
          <w:bCs/>
          <w:sz w:val="32"/>
          <w:szCs w:val="32"/>
          <w:highlight w:val="none"/>
        </w:rPr>
        <w:t>个工作日内将体检费用转账至</w:t>
      </w:r>
      <w:r>
        <w:rPr>
          <w:rFonts w:hint="eastAsia" w:ascii="仿宋" w:hAnsi="仿宋" w:eastAsia="仿宋" w:cs="仿宋"/>
          <w:b w:val="0"/>
          <w:bCs/>
          <w:sz w:val="32"/>
          <w:szCs w:val="32"/>
          <w:highlight w:val="none"/>
          <w:lang w:eastAsia="zh-CN"/>
        </w:rPr>
        <w:t>本合同</w:t>
      </w:r>
      <w:r>
        <w:rPr>
          <w:rFonts w:hint="eastAsia" w:ascii="仿宋" w:hAnsi="仿宋" w:eastAsia="仿宋" w:cs="仿宋"/>
          <w:b w:val="0"/>
          <w:bCs/>
          <w:sz w:val="32"/>
          <w:szCs w:val="32"/>
          <w:highlight w:val="none"/>
        </w:rPr>
        <w:t>第</w:t>
      </w:r>
      <w:r>
        <w:rPr>
          <w:rFonts w:hint="eastAsia" w:ascii="仿宋" w:hAnsi="仿宋" w:eastAsia="仿宋" w:cs="仿宋"/>
          <w:b w:val="0"/>
          <w:bCs/>
          <w:sz w:val="32"/>
          <w:szCs w:val="32"/>
          <w:highlight w:val="none"/>
          <w:lang w:eastAsia="zh-CN"/>
        </w:rPr>
        <w:t>一</w:t>
      </w:r>
      <w:r>
        <w:rPr>
          <w:rFonts w:hint="eastAsia" w:ascii="仿宋" w:hAnsi="仿宋" w:eastAsia="仿宋" w:cs="仿宋"/>
          <w:b w:val="0"/>
          <w:bCs/>
          <w:sz w:val="32"/>
          <w:szCs w:val="32"/>
          <w:highlight w:val="none"/>
        </w:rPr>
        <w:t>条第2款</w:t>
      </w:r>
      <w:r>
        <w:rPr>
          <w:rFonts w:hint="eastAsia" w:ascii="仿宋" w:hAnsi="仿宋" w:eastAsia="仿宋" w:cs="仿宋"/>
          <w:b w:val="0"/>
          <w:bCs/>
          <w:sz w:val="32"/>
          <w:szCs w:val="32"/>
          <w:highlight w:val="none"/>
          <w:lang w:eastAsia="zh-CN"/>
        </w:rPr>
        <w:t>所列示的</w:t>
      </w:r>
      <w:r>
        <w:rPr>
          <w:rFonts w:hint="eastAsia" w:ascii="仿宋" w:hAnsi="仿宋" w:eastAsia="仿宋" w:cs="仿宋"/>
          <w:b w:val="0"/>
          <w:bCs/>
          <w:sz w:val="32"/>
          <w:szCs w:val="32"/>
          <w:highlight w:val="none"/>
        </w:rPr>
        <w:t>银行账户。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三、体检内容及收费标准</w:t>
      </w:r>
    </w:p>
    <w:p>
      <w:pPr>
        <w:pageBreakBefore w:val="0"/>
        <w:kinsoku/>
        <w:overflowPunct/>
        <w:topLinePunct w:val="0"/>
        <w:autoSpaceDE/>
        <w:autoSpaceDN/>
        <w:bidi w:val="0"/>
        <w:spacing w:line="560" w:lineRule="exact"/>
        <w:ind w:firstLine="729" w:firstLineChars="228"/>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lang w:eastAsia="zh-CN"/>
        </w:rPr>
        <w:t>（</w:t>
      </w:r>
      <w:r>
        <w:rPr>
          <w:rFonts w:hint="eastAsia" w:ascii="楷体" w:hAnsi="楷体" w:eastAsia="楷体" w:cs="楷体"/>
          <w:b w:val="0"/>
          <w:bCs/>
          <w:sz w:val="32"/>
          <w:szCs w:val="32"/>
          <w:highlight w:val="none"/>
          <w:lang w:val="en-US" w:eastAsia="zh-CN"/>
        </w:rPr>
        <w:t>一</w:t>
      </w:r>
      <w:r>
        <w:rPr>
          <w:rFonts w:hint="eastAsia" w:ascii="楷体" w:hAnsi="楷体" w:eastAsia="楷体" w:cs="楷体"/>
          <w:b w:val="0"/>
          <w:bCs/>
          <w:sz w:val="32"/>
          <w:szCs w:val="32"/>
          <w:highlight w:val="none"/>
          <w:lang w:eastAsia="zh-CN"/>
        </w:rPr>
        <w:t>）</w:t>
      </w:r>
      <w:r>
        <w:rPr>
          <w:rFonts w:hint="eastAsia" w:ascii="楷体" w:hAnsi="楷体" w:eastAsia="楷体" w:cs="楷体"/>
          <w:b w:val="0"/>
          <w:bCs/>
          <w:sz w:val="32"/>
          <w:szCs w:val="32"/>
          <w:highlight w:val="none"/>
        </w:rPr>
        <w:t>体检内容</w:t>
      </w:r>
    </w:p>
    <w:p>
      <w:pPr>
        <w:pageBreakBefore w:val="0"/>
        <w:kinsoku/>
        <w:overflowPunct/>
        <w:topLinePunct w:val="0"/>
        <w:autoSpaceDE/>
        <w:autoSpaceDN/>
        <w:bidi w:val="0"/>
        <w:spacing w:line="560" w:lineRule="exact"/>
        <w:ind w:firstLine="729" w:firstLineChars="228"/>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原则上按中标人提交的投标文件执行，如合同实质性谈判阶段出现有利于招标人的更优条件，按谈判记录列示内容执行。</w:t>
      </w:r>
    </w:p>
    <w:p>
      <w:pPr>
        <w:pageBreakBefore w:val="0"/>
        <w:kinsoku/>
        <w:overflowPunct/>
        <w:topLinePunct w:val="0"/>
        <w:autoSpaceDE/>
        <w:autoSpaceDN/>
        <w:bidi w:val="0"/>
        <w:spacing w:line="560" w:lineRule="exact"/>
        <w:ind w:firstLine="729" w:firstLineChars="228"/>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lang w:eastAsia="zh-CN"/>
        </w:rPr>
        <w:t>（</w:t>
      </w:r>
      <w:r>
        <w:rPr>
          <w:rFonts w:hint="eastAsia" w:ascii="楷体" w:hAnsi="楷体" w:eastAsia="楷体" w:cs="楷体"/>
          <w:b w:val="0"/>
          <w:bCs/>
          <w:sz w:val="32"/>
          <w:szCs w:val="32"/>
          <w:highlight w:val="none"/>
          <w:lang w:val="en-US" w:eastAsia="zh-CN"/>
        </w:rPr>
        <w:t>二</w:t>
      </w:r>
      <w:r>
        <w:rPr>
          <w:rFonts w:hint="eastAsia" w:ascii="楷体" w:hAnsi="楷体" w:eastAsia="楷体" w:cs="楷体"/>
          <w:b w:val="0"/>
          <w:bCs/>
          <w:sz w:val="32"/>
          <w:szCs w:val="32"/>
          <w:highlight w:val="none"/>
          <w:lang w:eastAsia="zh-CN"/>
        </w:rPr>
        <w:t>）</w:t>
      </w:r>
      <w:r>
        <w:rPr>
          <w:rFonts w:hint="eastAsia" w:ascii="楷体" w:hAnsi="楷体" w:eastAsia="楷体" w:cs="楷体"/>
          <w:b w:val="0"/>
          <w:bCs/>
          <w:sz w:val="32"/>
          <w:szCs w:val="32"/>
          <w:highlight w:val="none"/>
        </w:rPr>
        <w:t>收费标准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原则上按中标人提交的投标文件执行，如合同实质性谈判阶段出现有利于招标人的更优条件，按谈判记录列示内容执行。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四、甲乙双方认可以下文件作为与本合同具有同等效力的约束性文件，对乙方服务承诺及甲方配合义务做出的约定均等同于本合同，双方对本合同的订立视同于对本合同及下列文件所列示权利义务的知悉和认可：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一</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甲方在其官方网站（www.plhr.cn）发布的</w:t>
      </w:r>
      <w:r>
        <w:rPr>
          <w:rFonts w:hint="eastAsia" w:ascii="仿宋" w:hAnsi="仿宋" w:eastAsia="仿宋" w:cs="仿宋"/>
          <w:b w:val="0"/>
          <w:bCs/>
          <w:sz w:val="32"/>
          <w:szCs w:val="32"/>
          <w:highlight w:val="none"/>
          <w:lang w:eastAsia="zh-CN"/>
        </w:rPr>
        <w:t>项目编号为</w:t>
      </w:r>
      <w:r>
        <w:rPr>
          <w:rFonts w:hint="eastAsia" w:ascii="仿宋" w:hAnsi="仿宋" w:eastAsia="仿宋" w:cs="仿宋"/>
          <w:b w:val="0"/>
          <w:bCs/>
          <w:sz w:val="32"/>
          <w:szCs w:val="32"/>
          <w:highlight w:val="none"/>
        </w:rPr>
        <w:t>PLHR-ZB-FW-202</w:t>
      </w:r>
      <w:r>
        <w:rPr>
          <w:rFonts w:hint="eastAsia" w:ascii="仿宋" w:hAnsi="仿宋" w:eastAsia="仿宋" w:cs="仿宋"/>
          <w:b w:val="0"/>
          <w:bCs/>
          <w:sz w:val="32"/>
          <w:szCs w:val="32"/>
          <w:highlight w:val="none"/>
          <w:lang w:val="en-US" w:eastAsia="zh-CN"/>
        </w:rPr>
        <w:t>20401</w:t>
      </w:r>
      <w:r>
        <w:rPr>
          <w:rFonts w:hint="eastAsia" w:ascii="仿宋" w:hAnsi="仿宋" w:eastAsia="仿宋" w:cs="仿宋"/>
          <w:b w:val="0"/>
          <w:bCs/>
          <w:sz w:val="32"/>
          <w:szCs w:val="32"/>
          <w:highlight w:val="none"/>
        </w:rPr>
        <w:t>的员工年度健康体检服务采购项目</w:t>
      </w:r>
      <w:r>
        <w:rPr>
          <w:rFonts w:hint="eastAsia" w:ascii="仿宋" w:hAnsi="仿宋" w:eastAsia="仿宋" w:cs="仿宋"/>
          <w:b w:val="0"/>
          <w:bCs/>
          <w:sz w:val="32"/>
          <w:szCs w:val="32"/>
          <w:highlight w:val="none"/>
          <w:lang w:eastAsia="zh-CN"/>
        </w:rPr>
        <w:t>邀请投标公告</w:t>
      </w:r>
      <w:r>
        <w:rPr>
          <w:rFonts w:hint="eastAsia" w:ascii="仿宋" w:hAnsi="仿宋" w:eastAsia="仿宋" w:cs="仿宋"/>
          <w:b w:val="0"/>
          <w:bCs/>
          <w:sz w:val="32"/>
          <w:szCs w:val="32"/>
          <w:highlight w:val="none"/>
        </w:rPr>
        <w:t>、招标文件及招标采购过程中出具的答疑、补正、澄清文件；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二</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乙方投标文件；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三</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甲乙双方签字盖章确认的，就本项目实施的实质性谈判记录、备忘录或补充协议</w:t>
      </w:r>
      <w:r>
        <w:rPr>
          <w:rFonts w:hint="eastAsia" w:ascii="仿宋" w:hAnsi="仿宋" w:eastAsia="仿宋" w:cs="仿宋"/>
          <w:b w:val="0"/>
          <w:bCs/>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甲乙双方均同意如以上文件</w:t>
      </w:r>
      <w:r>
        <w:rPr>
          <w:rFonts w:hint="eastAsia" w:ascii="仿宋" w:hAnsi="仿宋" w:eastAsia="仿宋" w:cs="仿宋"/>
          <w:b w:val="0"/>
          <w:bCs/>
          <w:sz w:val="32"/>
          <w:szCs w:val="32"/>
          <w:highlight w:val="none"/>
        </w:rPr>
        <w:t>内容存在不一致时，按照有利于甲方及甲方</w:t>
      </w:r>
      <w:r>
        <w:rPr>
          <w:rFonts w:hint="eastAsia" w:ascii="仿宋" w:hAnsi="仿宋" w:eastAsia="仿宋" w:cs="仿宋"/>
          <w:b w:val="0"/>
          <w:bCs/>
          <w:sz w:val="32"/>
          <w:szCs w:val="32"/>
          <w:highlight w:val="none"/>
          <w:lang w:eastAsia="zh-CN"/>
        </w:rPr>
        <w:t>员工</w:t>
      </w:r>
      <w:r>
        <w:rPr>
          <w:rFonts w:hint="eastAsia" w:ascii="仿宋" w:hAnsi="仿宋" w:eastAsia="仿宋" w:cs="仿宋"/>
          <w:b w:val="0"/>
          <w:bCs/>
          <w:sz w:val="32"/>
          <w:szCs w:val="32"/>
          <w:highlight w:val="none"/>
        </w:rPr>
        <w:t>的条款执行。</w:t>
      </w:r>
    </w:p>
    <w:p>
      <w:pPr>
        <w:pageBreakBefore w:val="0"/>
        <w:kinsoku/>
        <w:overflowPunct/>
        <w:topLinePunct w:val="0"/>
        <w:autoSpaceDE/>
        <w:autoSpaceDN/>
        <w:bidi w:val="0"/>
        <w:spacing w:line="560" w:lineRule="exact"/>
        <w:ind w:firstLine="729" w:firstLineChars="228"/>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五、</w:t>
      </w:r>
      <w:r>
        <w:rPr>
          <w:rFonts w:hint="eastAsia" w:ascii="黑体" w:hAnsi="黑体" w:eastAsia="黑体" w:cs="黑体"/>
          <w:b w:val="0"/>
          <w:bCs/>
          <w:sz w:val="32"/>
          <w:szCs w:val="32"/>
          <w:highlight w:val="none"/>
          <w:lang w:eastAsia="zh-CN"/>
        </w:rPr>
        <w:t>约定变更及</w:t>
      </w:r>
      <w:r>
        <w:rPr>
          <w:rFonts w:hint="eastAsia" w:ascii="黑体" w:hAnsi="黑体" w:eastAsia="黑体" w:cs="黑体"/>
          <w:b w:val="0"/>
          <w:bCs/>
          <w:sz w:val="32"/>
          <w:szCs w:val="32"/>
          <w:highlight w:val="none"/>
        </w:rPr>
        <w:t>有效期限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甲乙双方同意</w:t>
      </w:r>
      <w:r>
        <w:rPr>
          <w:rFonts w:hint="eastAsia" w:ascii="仿宋" w:hAnsi="仿宋" w:eastAsia="仿宋" w:cs="仿宋"/>
          <w:b w:val="0"/>
          <w:bCs/>
          <w:sz w:val="32"/>
          <w:szCs w:val="32"/>
          <w:highlight w:val="none"/>
          <w:lang w:eastAsia="zh-CN"/>
        </w:rPr>
        <w:t>任何对</w:t>
      </w:r>
      <w:r>
        <w:rPr>
          <w:rFonts w:hint="eastAsia" w:ascii="仿宋" w:hAnsi="仿宋" w:eastAsia="仿宋" w:cs="仿宋"/>
          <w:b w:val="0"/>
          <w:bCs/>
          <w:sz w:val="32"/>
          <w:szCs w:val="32"/>
          <w:highlight w:val="none"/>
        </w:rPr>
        <w:t>本合同及随附文件</w:t>
      </w:r>
      <w:r>
        <w:rPr>
          <w:rFonts w:hint="eastAsia" w:ascii="仿宋" w:hAnsi="仿宋" w:eastAsia="仿宋" w:cs="仿宋"/>
          <w:b w:val="0"/>
          <w:bCs/>
          <w:sz w:val="32"/>
          <w:szCs w:val="32"/>
          <w:highlight w:val="none"/>
          <w:lang w:eastAsia="zh-CN"/>
        </w:rPr>
        <w:t>进行修改，其修改内容</w:t>
      </w:r>
      <w:r>
        <w:rPr>
          <w:rFonts w:hint="eastAsia" w:ascii="仿宋" w:hAnsi="仿宋" w:eastAsia="仿宋" w:cs="仿宋"/>
          <w:b w:val="0"/>
          <w:bCs/>
          <w:sz w:val="32"/>
          <w:szCs w:val="32"/>
          <w:highlight w:val="none"/>
        </w:rPr>
        <w:t>未经双方有权签字人订立书面文件</w:t>
      </w:r>
      <w:r>
        <w:rPr>
          <w:rFonts w:hint="eastAsia" w:ascii="仿宋" w:hAnsi="仿宋" w:eastAsia="仿宋" w:cs="仿宋"/>
          <w:b w:val="0"/>
          <w:bCs/>
          <w:sz w:val="32"/>
          <w:szCs w:val="32"/>
          <w:highlight w:val="none"/>
          <w:lang w:eastAsia="zh-CN"/>
        </w:rPr>
        <w:t>的，该修改</w:t>
      </w:r>
      <w:r>
        <w:rPr>
          <w:rFonts w:hint="eastAsia" w:ascii="仿宋" w:hAnsi="仿宋" w:eastAsia="仿宋" w:cs="仿宋"/>
          <w:b w:val="0"/>
          <w:bCs/>
          <w:sz w:val="32"/>
          <w:szCs w:val="32"/>
          <w:highlight w:val="none"/>
        </w:rPr>
        <w:t>均属无效；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本合同及随附文件自双方</w:t>
      </w:r>
      <w:r>
        <w:rPr>
          <w:rFonts w:hint="eastAsia" w:ascii="仿宋" w:hAnsi="仿宋" w:eastAsia="仿宋" w:cs="仿宋"/>
          <w:b w:val="0"/>
          <w:bCs/>
          <w:sz w:val="32"/>
          <w:szCs w:val="32"/>
          <w:highlight w:val="none"/>
          <w:lang w:eastAsia="zh-CN"/>
        </w:rPr>
        <w:t>签字盖章</w:t>
      </w:r>
      <w:r>
        <w:rPr>
          <w:rFonts w:hint="eastAsia" w:ascii="仿宋" w:hAnsi="仿宋" w:eastAsia="仿宋" w:cs="仿宋"/>
          <w:b w:val="0"/>
          <w:bCs/>
          <w:sz w:val="32"/>
          <w:szCs w:val="32"/>
          <w:highlight w:val="none"/>
        </w:rPr>
        <w:t>之日起生效，一式四份，甲乙双方各执贰份，具有同等法律效力。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highlight w:val="none"/>
          <w:lang w:eastAsia="zh-CN"/>
        </w:rPr>
      </w:pPr>
      <w:r>
        <w:rPr>
          <w:rFonts w:hint="eastAsia" w:ascii="黑体" w:hAnsi="黑体" w:eastAsia="黑体" w:cs="黑体"/>
          <w:b w:val="0"/>
          <w:bCs/>
          <w:sz w:val="32"/>
          <w:szCs w:val="32"/>
          <w:highlight w:val="none"/>
          <w:lang w:val="en-US" w:eastAsia="zh-CN"/>
        </w:rPr>
        <w:t>六、</w:t>
      </w:r>
      <w:r>
        <w:rPr>
          <w:rFonts w:hint="eastAsia" w:ascii="黑体" w:hAnsi="黑体" w:eastAsia="黑体" w:cs="黑体"/>
          <w:b w:val="0"/>
          <w:bCs/>
          <w:sz w:val="32"/>
          <w:szCs w:val="32"/>
          <w:highlight w:val="none"/>
          <w:lang w:eastAsia="zh-CN"/>
        </w:rPr>
        <w:t>争议解决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甲乙双方同意对于因本合同的执行、理解产生的争议，甲乙双方一致同意首先通过友好协商解决。如争议未能于协商开始之日起的30日内解决，则任何一方均可将争议事项提交深圳市罗湖区人民法院提出诉讼。</w:t>
      </w:r>
    </w:p>
    <w:p>
      <w:pPr>
        <w:pageBreakBefore w:val="0"/>
        <w:kinsoku/>
        <w:overflowPunct/>
        <w:topLinePunct w:val="0"/>
        <w:autoSpaceDE/>
        <w:autoSpaceDN/>
        <w:bidi w:val="0"/>
        <w:spacing w:line="560" w:lineRule="exact"/>
        <w:ind w:firstLine="729" w:firstLineChars="228"/>
        <w:rPr>
          <w:rFonts w:hint="eastAsia" w:ascii="仿宋" w:hAnsi="仿宋" w:eastAsia="仿宋" w:cs="仿宋"/>
          <w:b w:val="0"/>
          <w:bCs/>
          <w:sz w:val="32"/>
          <w:szCs w:val="32"/>
          <w:highlight w:val="none"/>
        </w:rPr>
      </w:pPr>
    </w:p>
    <w:p>
      <w:pPr>
        <w:pageBreakBefore w:val="0"/>
        <w:kinsoku/>
        <w:overflowPunct/>
        <w:topLinePunct w:val="0"/>
        <w:autoSpaceDE/>
        <w:autoSpaceDN/>
        <w:bidi w:val="0"/>
        <w:spacing w:line="560" w:lineRule="exact"/>
        <w:jc w:val="left"/>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甲方：                          乙方：</w:t>
      </w:r>
    </w:p>
    <w:p>
      <w:pPr>
        <w:pageBreakBefore w:val="0"/>
        <w:kinsoku/>
        <w:overflowPunct/>
        <w:topLinePunct w:val="0"/>
        <w:autoSpaceDE/>
        <w:autoSpaceDN/>
        <w:bidi w:val="0"/>
        <w:spacing w:line="560" w:lineRule="exact"/>
        <w:jc w:val="left"/>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盖章：                          盖章：</w:t>
      </w:r>
    </w:p>
    <w:p>
      <w:pPr>
        <w:pageBreakBefore w:val="0"/>
        <w:kinsoku/>
        <w:overflowPunct/>
        <w:topLinePunct w:val="0"/>
        <w:autoSpaceDE/>
        <w:autoSpaceDN/>
        <w:bidi w:val="0"/>
        <w:spacing w:line="560" w:lineRule="exact"/>
        <w:jc w:val="left"/>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rPr>
        <w:t>负责人签字：                    负责人签字</w:t>
      </w:r>
      <w:r>
        <w:rPr>
          <w:rFonts w:hint="eastAsia" w:ascii="仿宋" w:hAnsi="仿宋" w:eastAsia="仿宋" w:cs="仿宋"/>
          <w:b w:val="0"/>
          <w:bCs/>
          <w:sz w:val="32"/>
          <w:szCs w:val="32"/>
          <w:highlight w:val="none"/>
          <w:lang w:val="en-US" w:eastAsia="zh-CN"/>
        </w:rPr>
        <w:t>:</w:t>
      </w:r>
    </w:p>
    <w:p>
      <w:pPr>
        <w:pageBreakBefore w:val="0"/>
        <w:kinsoku/>
        <w:overflowPunct/>
        <w:topLinePunct w:val="0"/>
        <w:autoSpaceDE/>
        <w:autoSpaceDN/>
        <w:bidi w:val="0"/>
        <w:spacing w:line="560" w:lineRule="exact"/>
        <w:jc w:val="left"/>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日期:                           日期：</w:t>
      </w:r>
      <w:r>
        <w:rPr>
          <w:rFonts w:hint="eastAsia" w:ascii="仿宋" w:hAnsi="仿宋" w:eastAsia="仿宋" w:cs="仿宋"/>
          <w:b w:val="0"/>
          <w:bCs/>
          <w:sz w:val="32"/>
          <w:szCs w:val="32"/>
          <w:highlight w:val="none"/>
        </w:rPr>
        <w:br w:type="page"/>
      </w:r>
    </w:p>
    <w:p>
      <w:pPr>
        <w:pStyle w:val="3"/>
        <w:pageBreakBefore w:val="0"/>
        <w:kinsoku/>
        <w:overflowPunct/>
        <w:topLinePunct w:val="0"/>
        <w:autoSpaceDE/>
        <w:autoSpaceDN/>
        <w:bidi w:val="0"/>
        <w:spacing w:line="560" w:lineRule="exact"/>
        <w:jc w:val="center"/>
        <w:rPr>
          <w:rFonts w:hint="eastAsia" w:ascii="黑体" w:hAnsi="黑体" w:eastAsia="黑体" w:cs="黑体"/>
          <w:b w:val="0"/>
          <w:bCs/>
          <w:sz w:val="32"/>
          <w:szCs w:val="32"/>
          <w:highlight w:val="none"/>
        </w:rPr>
      </w:pPr>
      <w:bookmarkStart w:id="40" w:name="_Toc30248"/>
      <w:r>
        <w:rPr>
          <w:rFonts w:hint="eastAsia" w:ascii="黑体" w:hAnsi="黑体" w:eastAsia="黑体" w:cs="黑体"/>
          <w:b w:val="0"/>
          <w:bCs/>
          <w:sz w:val="32"/>
          <w:szCs w:val="32"/>
          <w:highlight w:val="none"/>
        </w:rPr>
        <w:t>第四章 投标文件格式</w:t>
      </w:r>
      <w:bookmarkEnd w:id="39"/>
      <w:bookmarkEnd w:id="40"/>
    </w:p>
    <w:p>
      <w:pPr>
        <w:pageBreakBefore w:val="0"/>
        <w:kinsoku/>
        <w:overflowPunct/>
        <w:topLinePunct w:val="0"/>
        <w:autoSpaceDE/>
        <w:autoSpaceDN/>
        <w:bidi w:val="0"/>
        <w:spacing w:line="560" w:lineRule="exact"/>
        <w:rPr>
          <w:rFonts w:hint="eastAsia" w:ascii="黑体" w:hAnsi="黑体" w:eastAsia="黑体" w:cs="黑体"/>
          <w:b w:val="0"/>
          <w:bCs/>
          <w:sz w:val="24"/>
          <w:szCs w:val="24"/>
          <w:highlight w:val="none"/>
        </w:rPr>
      </w:pPr>
    </w:p>
    <w:p>
      <w:pPr>
        <w:pStyle w:val="4"/>
        <w:pageBreakBefore w:val="0"/>
        <w:kinsoku/>
        <w:overflowPunct/>
        <w:topLinePunct w:val="0"/>
        <w:autoSpaceDE/>
        <w:autoSpaceDN/>
        <w:bidi w:val="0"/>
        <w:spacing w:line="560" w:lineRule="exact"/>
        <w:ind w:firstLine="0" w:firstLineChars="0"/>
        <w:jc w:val="left"/>
        <w:rPr>
          <w:rFonts w:hint="eastAsia" w:ascii="仿宋" w:hAnsi="仿宋" w:eastAsia="仿宋" w:cs="仿宋"/>
          <w:b w:val="0"/>
          <w:bCs/>
          <w:sz w:val="24"/>
          <w:szCs w:val="24"/>
          <w:highlight w:val="none"/>
        </w:rPr>
      </w:pPr>
      <w:bookmarkStart w:id="41" w:name="_Toc28753"/>
      <w:bookmarkStart w:id="42" w:name="_Toc27533"/>
      <w:r>
        <w:rPr>
          <w:rFonts w:hint="eastAsia" w:ascii="仿宋" w:hAnsi="仿宋" w:eastAsia="仿宋" w:cs="仿宋"/>
          <w:b w:val="0"/>
          <w:bCs/>
          <w:sz w:val="24"/>
          <w:szCs w:val="24"/>
          <w:highlight w:val="none"/>
        </w:rPr>
        <w:t>格式1：《唱标信封》</w:t>
      </w:r>
      <w:bookmarkEnd w:id="41"/>
      <w:bookmarkEnd w:id="42"/>
    </w:p>
    <w:p>
      <w:pPr>
        <w:pageBreakBefore w:val="0"/>
        <w:kinsoku/>
        <w:overflowPunct/>
        <w:topLinePunct w:val="0"/>
        <w:autoSpaceDE/>
        <w:autoSpaceDN/>
        <w:bidi w:val="0"/>
        <w:spacing w:line="560" w:lineRule="exact"/>
        <w:jc w:val="center"/>
        <w:rPr>
          <w:rFonts w:hint="eastAsia" w:ascii="仿宋" w:hAnsi="仿宋" w:eastAsia="仿宋" w:cs="仿宋"/>
          <w:b w:val="0"/>
          <w:bCs/>
          <w:sz w:val="32"/>
          <w:szCs w:val="32"/>
          <w:highlight w:val="none"/>
        </w:rPr>
      </w:pPr>
    </w:p>
    <w:p>
      <w:pPr>
        <w:pageBreakBefore w:val="0"/>
        <w:kinsoku/>
        <w:overflowPunct/>
        <w:topLinePunct w:val="0"/>
        <w:autoSpaceDE/>
        <w:autoSpaceDN/>
        <w:bidi w:val="0"/>
        <w:spacing w:line="560" w:lineRule="exact"/>
        <w:jc w:val="center"/>
        <w:rPr>
          <w:rFonts w:hint="eastAsia" w:ascii="仿宋" w:hAnsi="仿宋" w:eastAsia="仿宋" w:cs="仿宋"/>
          <w:b w:val="0"/>
          <w:bCs/>
          <w:sz w:val="32"/>
          <w:szCs w:val="32"/>
          <w:highlight w:val="none"/>
        </w:rPr>
      </w:pPr>
    </w:p>
    <w:p>
      <w:pPr>
        <w:pageBreakBefore w:val="0"/>
        <w:kinsoku/>
        <w:overflowPunct/>
        <w:topLinePunct w:val="0"/>
        <w:autoSpaceDE/>
        <w:autoSpaceDN/>
        <w:bidi w:val="0"/>
        <w:spacing w:line="560" w:lineRule="exact"/>
        <w:jc w:val="center"/>
        <w:rPr>
          <w:rFonts w:hint="eastAsia" w:ascii="仿宋" w:hAnsi="仿宋" w:eastAsia="仿宋" w:cs="仿宋"/>
          <w:b w:val="0"/>
          <w:bCs/>
          <w:sz w:val="32"/>
          <w:szCs w:val="32"/>
          <w:highlight w:val="none"/>
        </w:rPr>
      </w:pPr>
    </w:p>
    <w:p>
      <w:pPr>
        <w:pageBreakBefore w:val="0"/>
        <w:kinsoku/>
        <w:overflowPunct/>
        <w:topLinePunct w:val="0"/>
        <w:autoSpaceDE/>
        <w:autoSpaceDN/>
        <w:bidi w:val="0"/>
        <w:spacing w:line="560" w:lineRule="exact"/>
        <w:jc w:val="center"/>
        <w:rPr>
          <w:rFonts w:hint="eastAsia" w:ascii="黑体" w:hAnsi="黑体" w:eastAsia="黑体" w:cs="黑体"/>
          <w:b w:val="0"/>
          <w:bCs/>
          <w:sz w:val="52"/>
          <w:szCs w:val="52"/>
          <w:highlight w:val="none"/>
        </w:rPr>
      </w:pPr>
      <w:r>
        <w:rPr>
          <w:rFonts w:hint="eastAsia" w:ascii="黑体" w:hAnsi="黑体" w:eastAsia="黑体" w:cs="黑体"/>
          <w:b w:val="0"/>
          <w:bCs/>
          <w:sz w:val="52"/>
          <w:szCs w:val="52"/>
          <w:highlight w:val="none"/>
        </w:rPr>
        <w:t>唱 标 信 封</w:t>
      </w:r>
    </w:p>
    <w:p>
      <w:pPr>
        <w:pageBreakBefore w:val="0"/>
        <w:kinsoku/>
        <w:overflowPunct/>
        <w:topLinePunct w:val="0"/>
        <w:autoSpaceDE/>
        <w:autoSpaceDN/>
        <w:bidi w:val="0"/>
        <w:spacing w:beforeLines="30" w:line="560" w:lineRule="exact"/>
        <w:rPr>
          <w:rFonts w:hint="eastAsia" w:ascii="仿宋" w:hAnsi="仿宋" w:eastAsia="仿宋" w:cs="仿宋"/>
          <w:b w:val="0"/>
          <w:bCs/>
          <w:sz w:val="32"/>
          <w:szCs w:val="32"/>
          <w:highlight w:val="none"/>
        </w:rPr>
      </w:pPr>
    </w:p>
    <w:p>
      <w:pPr>
        <w:pageBreakBefore w:val="0"/>
        <w:kinsoku/>
        <w:overflowPunct/>
        <w:topLinePunct w:val="0"/>
        <w:autoSpaceDE/>
        <w:autoSpaceDN/>
        <w:bidi w:val="0"/>
        <w:spacing w:beforeLines="30" w:line="560" w:lineRule="exact"/>
        <w:jc w:val="both"/>
        <w:rPr>
          <w:rFonts w:hint="default" w:ascii="黑体" w:hAnsi="黑体" w:eastAsia="黑体" w:cs="黑体"/>
          <w:b w:val="0"/>
          <w:bCs/>
          <w:sz w:val="28"/>
          <w:szCs w:val="28"/>
          <w:highlight w:val="none"/>
          <w:lang w:val="en-US" w:eastAsia="zh-CN"/>
        </w:rPr>
      </w:pPr>
      <w:r>
        <w:rPr>
          <w:rFonts w:hint="eastAsia" w:ascii="黑体" w:hAnsi="黑体" w:eastAsia="黑体" w:cs="黑体"/>
          <w:b w:val="0"/>
          <w:bCs/>
          <w:sz w:val="28"/>
          <w:szCs w:val="28"/>
          <w:highlight w:val="none"/>
        </w:rPr>
        <w:t>项目名称：深圳市鹏劳人力资源管理有限公司202</w:t>
      </w:r>
      <w:r>
        <w:rPr>
          <w:rFonts w:hint="eastAsia" w:ascii="黑体" w:hAnsi="黑体" w:eastAsia="黑体" w:cs="黑体"/>
          <w:b w:val="0"/>
          <w:bCs/>
          <w:sz w:val="28"/>
          <w:szCs w:val="28"/>
          <w:highlight w:val="none"/>
          <w:lang w:val="en-US" w:eastAsia="zh-CN"/>
        </w:rPr>
        <w:t>2</w:t>
      </w:r>
      <w:r>
        <w:rPr>
          <w:rFonts w:hint="eastAsia" w:ascii="黑体" w:hAnsi="黑体" w:eastAsia="黑体" w:cs="黑体"/>
          <w:b w:val="0"/>
          <w:bCs/>
          <w:sz w:val="28"/>
          <w:szCs w:val="28"/>
          <w:highlight w:val="none"/>
        </w:rPr>
        <w:t>年度员工健康体检服务采购</w:t>
      </w:r>
      <w:r>
        <w:rPr>
          <w:rFonts w:hint="eastAsia" w:ascii="黑体" w:hAnsi="黑体" w:eastAsia="黑体" w:cs="黑体"/>
          <w:b w:val="0"/>
          <w:bCs/>
          <w:sz w:val="28"/>
          <w:szCs w:val="28"/>
          <w:highlight w:val="none"/>
          <w:lang w:eastAsia="zh-CN"/>
        </w:rPr>
        <w:t>（</w:t>
      </w:r>
      <w:r>
        <w:rPr>
          <w:rFonts w:hint="eastAsia" w:ascii="黑体" w:hAnsi="黑体" w:eastAsia="黑体" w:cs="黑体"/>
          <w:b w:val="0"/>
          <w:bCs/>
          <w:sz w:val="28"/>
          <w:szCs w:val="28"/>
          <w:highlight w:val="none"/>
          <w:lang w:val="en-US" w:eastAsia="zh-CN"/>
        </w:rPr>
        <w:t>二次）</w:t>
      </w:r>
    </w:p>
    <w:p>
      <w:pPr>
        <w:pageBreakBefore w:val="0"/>
        <w:kinsoku/>
        <w:overflowPunct/>
        <w:topLinePunct w:val="0"/>
        <w:autoSpaceDE/>
        <w:autoSpaceDN/>
        <w:bidi w:val="0"/>
        <w:spacing w:beforeLines="30" w:line="560" w:lineRule="exact"/>
        <w:rPr>
          <w:rFonts w:hint="default" w:ascii="黑体" w:hAnsi="黑体" w:eastAsia="黑体" w:cs="黑体"/>
          <w:b w:val="0"/>
          <w:bCs/>
          <w:sz w:val="28"/>
          <w:szCs w:val="28"/>
          <w:highlight w:val="none"/>
          <w:lang w:val="en-US" w:eastAsia="zh-CN"/>
        </w:rPr>
      </w:pPr>
      <w:r>
        <w:rPr>
          <w:rFonts w:hint="eastAsia" w:ascii="黑体" w:hAnsi="黑体" w:eastAsia="黑体" w:cs="黑体"/>
          <w:b w:val="0"/>
          <w:bCs/>
          <w:sz w:val="28"/>
          <w:szCs w:val="28"/>
          <w:highlight w:val="none"/>
        </w:rPr>
        <w:t>招标编号：PLHR-ZB-FW-202</w:t>
      </w:r>
      <w:r>
        <w:rPr>
          <w:rFonts w:hint="eastAsia" w:ascii="黑体" w:hAnsi="黑体" w:eastAsia="黑体" w:cs="黑体"/>
          <w:b w:val="0"/>
          <w:bCs/>
          <w:sz w:val="28"/>
          <w:szCs w:val="28"/>
          <w:highlight w:val="none"/>
          <w:lang w:val="en-US" w:eastAsia="zh-CN"/>
        </w:rPr>
        <w:t>20401</w:t>
      </w:r>
    </w:p>
    <w:p>
      <w:pPr>
        <w:pageBreakBefore w:val="0"/>
        <w:kinsoku/>
        <w:overflowPunct/>
        <w:topLinePunct w:val="0"/>
        <w:autoSpaceDE/>
        <w:autoSpaceDN/>
        <w:bidi w:val="0"/>
        <w:spacing w:beforeLines="30" w:line="560" w:lineRule="exact"/>
        <w:rPr>
          <w:rFonts w:hint="eastAsia" w:ascii="黑体" w:hAnsi="黑体" w:eastAsia="黑体" w:cs="黑体"/>
          <w:b w:val="0"/>
          <w:bCs/>
          <w:sz w:val="28"/>
          <w:szCs w:val="28"/>
          <w:highlight w:val="none"/>
          <w:u w:val="single"/>
        </w:rPr>
      </w:pPr>
      <w:r>
        <w:rPr>
          <w:rFonts w:hint="eastAsia" w:ascii="黑体" w:hAnsi="黑体" w:eastAsia="黑体" w:cs="黑体"/>
          <w:b w:val="0"/>
          <w:bCs/>
          <w:sz w:val="28"/>
          <w:szCs w:val="28"/>
          <w:highlight w:val="none"/>
        </w:rPr>
        <w:t>投标人（盖章）：___________________________</w:t>
      </w:r>
    </w:p>
    <w:p>
      <w:pPr>
        <w:pageBreakBefore w:val="0"/>
        <w:kinsoku/>
        <w:overflowPunct/>
        <w:topLinePunct w:val="0"/>
        <w:autoSpaceDE/>
        <w:autoSpaceDN/>
        <w:bidi w:val="0"/>
        <w:spacing w:beforeLines="30" w:line="560" w:lineRule="exact"/>
        <w:rPr>
          <w:rFonts w:hint="eastAsia" w:ascii="黑体" w:hAnsi="黑体" w:eastAsia="黑体" w:cs="黑体"/>
          <w:b w:val="0"/>
          <w:bCs/>
          <w:sz w:val="28"/>
          <w:szCs w:val="28"/>
          <w:highlight w:val="none"/>
        </w:rPr>
      </w:pPr>
      <w:r>
        <w:rPr>
          <w:rFonts w:hint="eastAsia" w:ascii="黑体" w:hAnsi="黑体" w:eastAsia="黑体" w:cs="黑体"/>
          <w:b w:val="0"/>
          <w:bCs/>
          <w:sz w:val="28"/>
          <w:szCs w:val="28"/>
          <w:highlight w:val="none"/>
        </w:rPr>
        <w:t>法定代表人或授权委托人签字：__________________</w:t>
      </w:r>
    </w:p>
    <w:p>
      <w:pPr>
        <w:pageBreakBefore w:val="0"/>
        <w:kinsoku/>
        <w:overflowPunct/>
        <w:topLinePunct w:val="0"/>
        <w:autoSpaceDE/>
        <w:autoSpaceDN/>
        <w:bidi w:val="0"/>
        <w:spacing w:beforeLines="30" w:line="560" w:lineRule="exact"/>
        <w:rPr>
          <w:rFonts w:hint="eastAsia" w:ascii="黑体" w:hAnsi="黑体" w:eastAsia="黑体" w:cs="黑体"/>
          <w:b w:val="0"/>
          <w:bCs/>
          <w:sz w:val="28"/>
          <w:szCs w:val="28"/>
          <w:highlight w:val="none"/>
        </w:rPr>
      </w:pPr>
      <w:r>
        <w:rPr>
          <w:rFonts w:hint="eastAsia" w:ascii="黑体" w:hAnsi="黑体" w:eastAsia="黑体" w:cs="黑体"/>
          <w:b w:val="0"/>
          <w:bCs/>
          <w:sz w:val="28"/>
          <w:szCs w:val="28"/>
          <w:highlight w:val="none"/>
        </w:rPr>
        <w:t>投标日期：____________年_____月______日</w:t>
      </w:r>
    </w:p>
    <w:p>
      <w:pPr>
        <w:pageBreakBefore w:val="0"/>
        <w:kinsoku/>
        <w:overflowPunct/>
        <w:topLinePunct w:val="0"/>
        <w:autoSpaceDE/>
        <w:autoSpaceDN/>
        <w:bidi w:val="0"/>
        <w:spacing w:beforeLines="30" w:line="560" w:lineRule="exact"/>
        <w:rPr>
          <w:rFonts w:hint="eastAsia" w:ascii="仿宋" w:hAnsi="仿宋" w:eastAsia="仿宋" w:cs="仿宋"/>
          <w:b w:val="0"/>
          <w:bCs/>
          <w:sz w:val="32"/>
          <w:szCs w:val="32"/>
          <w:highlight w:val="none"/>
        </w:rPr>
      </w:pPr>
    </w:p>
    <w:p>
      <w:pPr>
        <w:pageBreakBefore w:val="0"/>
        <w:kinsoku/>
        <w:overflowPunct/>
        <w:topLinePunct w:val="0"/>
        <w:autoSpaceDE/>
        <w:autoSpaceDN/>
        <w:bidi w:val="0"/>
        <w:spacing w:beforeLines="30" w:line="560" w:lineRule="exact"/>
        <w:rPr>
          <w:rFonts w:hint="eastAsia" w:ascii="仿宋" w:hAnsi="仿宋" w:eastAsia="仿宋" w:cs="仿宋"/>
          <w:b w:val="0"/>
          <w:bCs/>
          <w:sz w:val="32"/>
          <w:szCs w:val="32"/>
          <w:highlight w:val="none"/>
        </w:rPr>
      </w:pPr>
    </w:p>
    <w:p>
      <w:pPr>
        <w:pageBreakBefore w:val="0"/>
        <w:kinsoku/>
        <w:overflowPunct/>
        <w:topLinePunct w:val="0"/>
        <w:autoSpaceDE/>
        <w:autoSpaceDN/>
        <w:bidi w:val="0"/>
        <w:spacing w:line="560" w:lineRule="exact"/>
        <w:jc w:val="center"/>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（202</w:t>
      </w:r>
      <w:r>
        <w:rPr>
          <w:rFonts w:hint="eastAsia" w:ascii="仿宋" w:hAnsi="仿宋" w:eastAsia="仿宋" w:cs="仿宋"/>
          <w:b w:val="0"/>
          <w:bCs/>
          <w:sz w:val="32"/>
          <w:szCs w:val="32"/>
          <w:highlight w:val="none"/>
          <w:lang w:val="en-US" w:eastAsia="zh-CN"/>
        </w:rPr>
        <w:t>2</w:t>
      </w:r>
      <w:r>
        <w:rPr>
          <w:rFonts w:hint="eastAsia" w:ascii="仿宋" w:hAnsi="仿宋" w:eastAsia="仿宋" w:cs="仿宋"/>
          <w:b w:val="0"/>
          <w:bCs/>
          <w:sz w:val="32"/>
          <w:szCs w:val="32"/>
          <w:highlight w:val="yellow"/>
        </w:rPr>
        <w:t>年</w:t>
      </w:r>
      <w:r>
        <w:rPr>
          <w:rFonts w:hint="eastAsia" w:ascii="仿宋" w:hAnsi="仿宋" w:eastAsia="仿宋" w:cs="仿宋"/>
          <w:b w:val="0"/>
          <w:bCs/>
          <w:sz w:val="32"/>
          <w:szCs w:val="32"/>
          <w:highlight w:val="yellow"/>
          <w:lang w:val="en-US" w:eastAsia="zh-CN"/>
        </w:rPr>
        <w:t>8</w:t>
      </w:r>
      <w:r>
        <w:rPr>
          <w:rFonts w:hint="eastAsia" w:ascii="仿宋" w:hAnsi="仿宋" w:eastAsia="仿宋" w:cs="仿宋"/>
          <w:b w:val="0"/>
          <w:bCs/>
          <w:sz w:val="32"/>
          <w:szCs w:val="32"/>
          <w:highlight w:val="yellow"/>
        </w:rPr>
        <w:t>月</w:t>
      </w:r>
      <w:r>
        <w:rPr>
          <w:rFonts w:hint="eastAsia" w:ascii="仿宋" w:hAnsi="仿宋" w:eastAsia="仿宋" w:cs="仿宋"/>
          <w:b w:val="0"/>
          <w:bCs/>
          <w:sz w:val="32"/>
          <w:szCs w:val="32"/>
          <w:highlight w:val="yellow"/>
          <w:lang w:val="en-US" w:eastAsia="zh-CN"/>
        </w:rPr>
        <w:t>30</w:t>
      </w:r>
      <w:r>
        <w:rPr>
          <w:rFonts w:hint="eastAsia" w:ascii="仿宋" w:hAnsi="仿宋" w:eastAsia="仿宋" w:cs="仿宋"/>
          <w:b w:val="0"/>
          <w:bCs/>
          <w:sz w:val="32"/>
          <w:szCs w:val="32"/>
          <w:highlight w:val="yellow"/>
        </w:rPr>
        <w:t>日</w:t>
      </w:r>
      <w:r>
        <w:rPr>
          <w:rFonts w:hint="eastAsia" w:ascii="仿宋" w:hAnsi="仿宋" w:eastAsia="仿宋" w:cs="仿宋"/>
          <w:b w:val="0"/>
          <w:bCs/>
          <w:sz w:val="32"/>
          <w:szCs w:val="32"/>
          <w:highlight w:val="yellow"/>
          <w:lang w:val="en-US" w:eastAsia="zh-CN"/>
        </w:rPr>
        <w:t>9</w:t>
      </w:r>
      <w:r>
        <w:rPr>
          <w:rFonts w:hint="eastAsia" w:ascii="仿宋" w:hAnsi="仿宋" w:eastAsia="仿宋" w:cs="仿宋"/>
          <w:b w:val="0"/>
          <w:bCs/>
          <w:sz w:val="32"/>
          <w:szCs w:val="32"/>
          <w:highlight w:val="yellow"/>
        </w:rPr>
        <w:t>时</w:t>
      </w:r>
      <w:r>
        <w:rPr>
          <w:rFonts w:hint="eastAsia" w:ascii="仿宋" w:hAnsi="仿宋" w:eastAsia="仿宋" w:cs="仿宋"/>
          <w:b w:val="0"/>
          <w:bCs/>
          <w:sz w:val="32"/>
          <w:szCs w:val="32"/>
          <w:highlight w:val="yellow"/>
          <w:lang w:val="en-US" w:eastAsia="zh-CN"/>
        </w:rPr>
        <w:t>30</w:t>
      </w:r>
      <w:r>
        <w:rPr>
          <w:rFonts w:hint="eastAsia" w:ascii="仿宋" w:hAnsi="仿宋" w:eastAsia="仿宋" w:cs="仿宋"/>
          <w:b w:val="0"/>
          <w:bCs/>
          <w:sz w:val="32"/>
          <w:szCs w:val="32"/>
          <w:highlight w:val="yellow"/>
        </w:rPr>
        <w:t>分前不得开</w:t>
      </w:r>
      <w:r>
        <w:rPr>
          <w:rFonts w:hint="eastAsia" w:ascii="仿宋" w:hAnsi="仿宋" w:eastAsia="仿宋" w:cs="仿宋"/>
          <w:b w:val="0"/>
          <w:bCs/>
          <w:sz w:val="32"/>
          <w:szCs w:val="32"/>
          <w:highlight w:val="none"/>
        </w:rPr>
        <w:t>启）</w:t>
      </w:r>
    </w:p>
    <w:p>
      <w:pPr>
        <w:pageBreakBefore w:val="0"/>
        <w:kinsoku/>
        <w:overflowPunct/>
        <w:topLinePunct w:val="0"/>
        <w:autoSpaceDE/>
        <w:autoSpaceDN/>
        <w:bidi w:val="0"/>
        <w:spacing w:line="560" w:lineRule="exact"/>
        <w:rPr>
          <w:rFonts w:hint="eastAsia" w:ascii="仿宋" w:hAnsi="仿宋" w:eastAsia="仿宋" w:cs="仿宋"/>
          <w:b w:val="0"/>
          <w:bCs/>
          <w:sz w:val="32"/>
          <w:szCs w:val="32"/>
          <w:highlight w:val="none"/>
        </w:rPr>
      </w:pPr>
    </w:p>
    <w:p>
      <w:pPr>
        <w:pageBreakBefore w:val="0"/>
        <w:kinsoku/>
        <w:overflowPunct/>
        <w:topLinePunct w:val="0"/>
        <w:autoSpaceDE/>
        <w:autoSpaceDN/>
        <w:bidi w:val="0"/>
        <w:spacing w:line="560" w:lineRule="exact"/>
        <w:rPr>
          <w:rFonts w:hint="eastAsia" w:ascii="仿宋" w:hAnsi="仿宋" w:eastAsia="仿宋" w:cs="仿宋"/>
          <w:b w:val="0"/>
          <w:bCs/>
          <w:sz w:val="32"/>
          <w:szCs w:val="32"/>
          <w:highlight w:val="none"/>
        </w:rPr>
      </w:pPr>
    </w:p>
    <w:p>
      <w:pPr>
        <w:pageBreakBefore w:val="0"/>
        <w:kinsoku/>
        <w:overflowPunct/>
        <w:topLinePunct w:val="0"/>
        <w:autoSpaceDE/>
        <w:autoSpaceDN/>
        <w:bidi w:val="0"/>
        <w:spacing w:line="560" w:lineRule="exact"/>
        <w:rPr>
          <w:rFonts w:hint="eastAsia" w:ascii="仿宋" w:hAnsi="仿宋" w:eastAsia="仿宋" w:cs="仿宋"/>
          <w:b w:val="0"/>
          <w:bCs/>
          <w:sz w:val="32"/>
          <w:szCs w:val="32"/>
          <w:highlight w:val="none"/>
        </w:rPr>
      </w:pPr>
    </w:p>
    <w:p>
      <w:pPr>
        <w:pageBreakBefore w:val="0"/>
        <w:kinsoku/>
        <w:overflowPunct/>
        <w:topLinePunct w:val="0"/>
        <w:autoSpaceDE/>
        <w:autoSpaceDN/>
        <w:bidi w:val="0"/>
        <w:spacing w:line="560" w:lineRule="exact"/>
        <w:rPr>
          <w:rFonts w:hint="eastAsia" w:ascii="仿宋" w:hAnsi="仿宋" w:eastAsia="仿宋" w:cs="仿宋"/>
          <w:b w:val="0"/>
          <w:bCs/>
          <w:sz w:val="32"/>
          <w:szCs w:val="32"/>
          <w:highlight w:val="none"/>
        </w:rPr>
      </w:pPr>
    </w:p>
    <w:p>
      <w:pPr>
        <w:pageBreakBefore w:val="0"/>
        <w:kinsoku/>
        <w:overflowPunct/>
        <w:topLinePunct w:val="0"/>
        <w:autoSpaceDE/>
        <w:autoSpaceDN/>
        <w:bidi w:val="0"/>
        <w:spacing w:line="560" w:lineRule="exact"/>
        <w:rPr>
          <w:rFonts w:hint="eastAsia" w:ascii="仿宋" w:hAnsi="仿宋" w:eastAsia="仿宋" w:cs="仿宋"/>
          <w:b w:val="0"/>
          <w:bCs/>
          <w:sz w:val="32"/>
          <w:szCs w:val="32"/>
          <w:highlight w:val="none"/>
        </w:rPr>
      </w:pPr>
    </w:p>
    <w:p>
      <w:pPr>
        <w:pStyle w:val="4"/>
        <w:pageBreakBefore w:val="0"/>
        <w:kinsoku/>
        <w:overflowPunct/>
        <w:topLinePunct w:val="0"/>
        <w:autoSpaceDE/>
        <w:autoSpaceDN/>
        <w:bidi w:val="0"/>
        <w:spacing w:line="560" w:lineRule="exact"/>
        <w:ind w:left="0" w:leftChars="0" w:firstLine="0" w:firstLineChars="0"/>
        <w:jc w:val="left"/>
        <w:rPr>
          <w:rFonts w:hint="eastAsia" w:ascii="仿宋" w:hAnsi="仿宋" w:eastAsia="仿宋" w:cs="仿宋"/>
          <w:b w:val="0"/>
          <w:bCs/>
          <w:sz w:val="24"/>
          <w:szCs w:val="24"/>
          <w:highlight w:val="none"/>
        </w:rPr>
      </w:pPr>
      <w:bookmarkStart w:id="43" w:name="_Toc23060"/>
      <w:bookmarkStart w:id="44" w:name="_Toc26728"/>
      <w:r>
        <w:rPr>
          <w:rFonts w:hint="eastAsia" w:ascii="仿宋" w:hAnsi="仿宋" w:eastAsia="仿宋" w:cs="仿宋"/>
          <w:b w:val="0"/>
          <w:bCs/>
          <w:sz w:val="24"/>
          <w:szCs w:val="24"/>
          <w:highlight w:val="none"/>
        </w:rPr>
        <w:t>格式2：开标一览表</w:t>
      </w:r>
      <w:bookmarkEnd w:id="43"/>
      <w:bookmarkEnd w:id="44"/>
    </w:p>
    <w:p>
      <w:pPr>
        <w:pageBreakBefore w:val="0"/>
        <w:kinsoku/>
        <w:overflowPunct/>
        <w:topLinePunct w:val="0"/>
        <w:autoSpaceDE/>
        <w:autoSpaceDN/>
        <w:bidi w:val="0"/>
        <w:spacing w:line="560" w:lineRule="exact"/>
        <w:jc w:val="center"/>
        <w:rPr>
          <w:rFonts w:hint="eastAsia" w:ascii="仿宋" w:hAnsi="仿宋" w:eastAsia="仿宋" w:cs="仿宋"/>
          <w:b w:val="0"/>
          <w:bCs/>
          <w:sz w:val="32"/>
          <w:szCs w:val="32"/>
          <w:highlight w:val="none"/>
        </w:rPr>
      </w:pPr>
      <w:r>
        <w:rPr>
          <w:rFonts w:hint="eastAsia" w:ascii="黑体" w:hAnsi="黑体" w:eastAsia="黑体" w:cs="黑体"/>
          <w:b w:val="0"/>
          <w:bCs/>
          <w:sz w:val="32"/>
          <w:szCs w:val="32"/>
          <w:highlight w:val="none"/>
        </w:rPr>
        <w:t>开标一览表</w:t>
      </w:r>
    </w:p>
    <w:p>
      <w:pPr>
        <w:pageBreakBefore w:val="0"/>
        <w:kinsoku/>
        <w:overflowPunct/>
        <w:topLinePunct w:val="0"/>
        <w:autoSpaceDE/>
        <w:autoSpaceDN/>
        <w:bidi w:val="0"/>
        <w:spacing w:line="560" w:lineRule="exact"/>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致：深圳市鹏劳人力资源管理有限公司</w:t>
      </w:r>
    </w:p>
    <w:p>
      <w:pPr>
        <w:pageBreakBefore w:val="0"/>
        <w:kinsoku/>
        <w:overflowPunct/>
        <w:topLinePunct w:val="0"/>
        <w:autoSpaceDE/>
        <w:autoSpaceDN/>
        <w:bidi w:val="0"/>
        <w:spacing w:line="560" w:lineRule="exact"/>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eastAsia="zh-CN"/>
        </w:rPr>
        <w:t>员工</w:t>
      </w:r>
      <w:r>
        <w:rPr>
          <w:rFonts w:hint="eastAsia" w:ascii="仿宋" w:hAnsi="仿宋" w:eastAsia="仿宋" w:cs="仿宋"/>
          <w:b w:val="0"/>
          <w:bCs/>
          <w:sz w:val="24"/>
          <w:szCs w:val="24"/>
          <w:highlight w:val="none"/>
          <w:lang w:val="en-US" w:eastAsia="zh-CN"/>
        </w:rPr>
        <w:t>健康</w:t>
      </w:r>
      <w:r>
        <w:rPr>
          <w:rFonts w:hint="eastAsia" w:ascii="仿宋" w:hAnsi="仿宋" w:eastAsia="仿宋" w:cs="仿宋"/>
          <w:b w:val="0"/>
          <w:bCs/>
          <w:sz w:val="24"/>
          <w:szCs w:val="24"/>
          <w:highlight w:val="none"/>
        </w:rPr>
        <w:t>体检服务采购项目（招标编号：PLHR-ZB-FW-202</w:t>
      </w:r>
      <w:r>
        <w:rPr>
          <w:rFonts w:hint="eastAsia" w:ascii="仿宋" w:hAnsi="仿宋" w:eastAsia="仿宋" w:cs="仿宋"/>
          <w:b w:val="0"/>
          <w:bCs/>
          <w:sz w:val="24"/>
          <w:szCs w:val="24"/>
          <w:highlight w:val="none"/>
          <w:lang w:val="en-US" w:eastAsia="zh-CN"/>
        </w:rPr>
        <w:t>20401</w:t>
      </w:r>
      <w:r>
        <w:rPr>
          <w:rFonts w:hint="eastAsia" w:ascii="仿宋" w:hAnsi="仿宋" w:eastAsia="仿宋" w:cs="仿宋"/>
          <w:b w:val="0"/>
          <w:bCs/>
          <w:sz w:val="24"/>
          <w:szCs w:val="24"/>
          <w:highlight w:val="none"/>
        </w:rPr>
        <w:t>）项目投标报价如下：</w:t>
      </w:r>
    </w:p>
    <w:tbl>
      <w:tblPr>
        <w:tblStyle w:val="14"/>
        <w:tblpPr w:leftFromText="180" w:rightFromText="180" w:vertAnchor="text" w:horzAnchor="page" w:tblpXSpec="center" w:tblpY="18"/>
        <w:tblOverlap w:val="never"/>
        <w:tblW w:w="9676"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681"/>
        <w:gridCol w:w="2695"/>
        <w:gridCol w:w="1380"/>
        <w:gridCol w:w="1716"/>
        <w:gridCol w:w="1668"/>
        <w:gridCol w:w="153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22" w:hRule="atLeast"/>
          <w:jc w:val="center"/>
        </w:trPr>
        <w:tc>
          <w:tcPr>
            <w:tcW w:w="68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序号</w:t>
            </w:r>
          </w:p>
        </w:tc>
        <w:tc>
          <w:tcPr>
            <w:tcW w:w="269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人员类别</w:t>
            </w:r>
          </w:p>
        </w:tc>
        <w:tc>
          <w:tcPr>
            <w:tcW w:w="1380"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分项含税单价</w:t>
            </w:r>
          </w:p>
        </w:tc>
        <w:tc>
          <w:tcPr>
            <w:tcW w:w="1716"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计划体检人数           （招标人提供）</w:t>
            </w:r>
          </w:p>
        </w:tc>
        <w:tc>
          <w:tcPr>
            <w:tcW w:w="1668"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kern w:val="0"/>
                <w:sz w:val="21"/>
                <w:szCs w:val="21"/>
                <w:highlight w:val="none"/>
                <w:u w:val="none"/>
                <w:lang w:val="en-US" w:eastAsia="zh-CN" w:bidi="ar"/>
              </w:rPr>
            </w:pPr>
            <w:r>
              <w:rPr>
                <w:rFonts w:hint="eastAsia" w:ascii="宋体" w:hAnsi="宋体" w:eastAsia="宋体" w:cs="宋体"/>
                <w:b w:val="0"/>
                <w:bCs/>
                <w:i w:val="0"/>
                <w:color w:val="000000"/>
                <w:kern w:val="0"/>
                <w:sz w:val="21"/>
                <w:szCs w:val="21"/>
                <w:highlight w:val="none"/>
                <w:u w:val="none"/>
                <w:lang w:val="en-US" w:eastAsia="zh-CN" w:bidi="ar"/>
              </w:rPr>
              <w:t>分项含税计价</w:t>
            </w:r>
          </w:p>
        </w:tc>
        <w:tc>
          <w:tcPr>
            <w:tcW w:w="153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06" w:hRule="atLeast"/>
          <w:jc w:val="center"/>
        </w:trPr>
        <w:tc>
          <w:tcPr>
            <w:tcW w:w="68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1</w:t>
            </w:r>
          </w:p>
        </w:tc>
        <w:tc>
          <w:tcPr>
            <w:tcW w:w="269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30岁以下男性</w:t>
            </w:r>
          </w:p>
        </w:tc>
        <w:tc>
          <w:tcPr>
            <w:tcW w:w="1380"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71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kern w:val="0"/>
                <w:sz w:val="21"/>
                <w:szCs w:val="21"/>
                <w:highlight w:val="none"/>
                <w:u w:val="none"/>
                <w:lang w:val="en-US" w:eastAsia="zh-CN" w:bidi="ar"/>
              </w:rPr>
            </w:pPr>
            <w:r>
              <w:rPr>
                <w:rFonts w:hint="eastAsia" w:ascii="宋体" w:hAnsi="宋体" w:eastAsia="宋体" w:cs="宋体"/>
                <w:b w:val="0"/>
                <w:bCs/>
                <w:i w:val="0"/>
                <w:color w:val="000000"/>
                <w:kern w:val="0"/>
                <w:sz w:val="21"/>
                <w:szCs w:val="21"/>
                <w:highlight w:val="none"/>
                <w:u w:val="none"/>
                <w:lang w:val="en-US" w:eastAsia="zh-CN" w:bidi="ar"/>
              </w:rPr>
              <w:t>13</w:t>
            </w:r>
          </w:p>
        </w:tc>
        <w:tc>
          <w:tcPr>
            <w:tcW w:w="1668"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53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6" w:hRule="atLeast"/>
          <w:jc w:val="center"/>
        </w:trPr>
        <w:tc>
          <w:tcPr>
            <w:tcW w:w="68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2</w:t>
            </w:r>
          </w:p>
        </w:tc>
        <w:tc>
          <w:tcPr>
            <w:tcW w:w="269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满30岁未满40岁男性</w:t>
            </w:r>
          </w:p>
        </w:tc>
        <w:tc>
          <w:tcPr>
            <w:tcW w:w="1380"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71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kern w:val="0"/>
                <w:sz w:val="21"/>
                <w:szCs w:val="21"/>
                <w:highlight w:val="none"/>
                <w:u w:val="none"/>
                <w:lang w:val="en-US" w:eastAsia="zh-CN" w:bidi="ar"/>
              </w:rPr>
            </w:pPr>
            <w:r>
              <w:rPr>
                <w:rFonts w:hint="eastAsia" w:ascii="宋体" w:hAnsi="宋体" w:eastAsia="宋体" w:cs="宋体"/>
                <w:b w:val="0"/>
                <w:bCs/>
                <w:i w:val="0"/>
                <w:color w:val="000000"/>
                <w:kern w:val="0"/>
                <w:sz w:val="21"/>
                <w:szCs w:val="21"/>
                <w:highlight w:val="none"/>
                <w:u w:val="none"/>
                <w:lang w:val="en-US" w:eastAsia="zh-CN" w:bidi="ar"/>
              </w:rPr>
              <w:t>22</w:t>
            </w:r>
          </w:p>
        </w:tc>
        <w:tc>
          <w:tcPr>
            <w:tcW w:w="1668"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53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6" w:hRule="atLeast"/>
          <w:jc w:val="center"/>
        </w:trPr>
        <w:tc>
          <w:tcPr>
            <w:tcW w:w="68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3</w:t>
            </w:r>
          </w:p>
        </w:tc>
        <w:tc>
          <w:tcPr>
            <w:tcW w:w="269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满40岁未满50岁男性</w:t>
            </w:r>
          </w:p>
        </w:tc>
        <w:tc>
          <w:tcPr>
            <w:tcW w:w="1380"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71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kern w:val="0"/>
                <w:sz w:val="21"/>
                <w:szCs w:val="21"/>
                <w:highlight w:val="none"/>
                <w:u w:val="none"/>
                <w:lang w:val="en-US" w:eastAsia="zh-CN" w:bidi="ar"/>
              </w:rPr>
            </w:pPr>
            <w:r>
              <w:rPr>
                <w:rFonts w:hint="eastAsia" w:ascii="宋体" w:hAnsi="宋体" w:eastAsia="宋体" w:cs="宋体"/>
                <w:b w:val="0"/>
                <w:bCs/>
                <w:i w:val="0"/>
                <w:color w:val="000000"/>
                <w:kern w:val="0"/>
                <w:sz w:val="21"/>
                <w:szCs w:val="21"/>
                <w:highlight w:val="none"/>
                <w:u w:val="none"/>
                <w:lang w:val="en-US" w:eastAsia="zh-CN" w:bidi="ar"/>
              </w:rPr>
              <w:t>16</w:t>
            </w:r>
          </w:p>
        </w:tc>
        <w:tc>
          <w:tcPr>
            <w:tcW w:w="1668"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53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6" w:hRule="atLeast"/>
          <w:jc w:val="center"/>
        </w:trPr>
        <w:tc>
          <w:tcPr>
            <w:tcW w:w="68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4</w:t>
            </w:r>
          </w:p>
        </w:tc>
        <w:tc>
          <w:tcPr>
            <w:tcW w:w="269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50岁及以上男性</w:t>
            </w:r>
          </w:p>
        </w:tc>
        <w:tc>
          <w:tcPr>
            <w:tcW w:w="1380"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71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kern w:val="0"/>
                <w:sz w:val="21"/>
                <w:szCs w:val="21"/>
                <w:highlight w:val="none"/>
                <w:u w:val="none"/>
                <w:lang w:val="en-US" w:eastAsia="zh-CN" w:bidi="ar"/>
              </w:rPr>
            </w:pPr>
            <w:r>
              <w:rPr>
                <w:rFonts w:hint="eastAsia" w:ascii="宋体" w:hAnsi="宋体" w:eastAsia="宋体" w:cs="宋体"/>
                <w:b w:val="0"/>
                <w:bCs/>
                <w:i w:val="0"/>
                <w:color w:val="000000"/>
                <w:kern w:val="0"/>
                <w:sz w:val="21"/>
                <w:szCs w:val="21"/>
                <w:highlight w:val="none"/>
                <w:u w:val="none"/>
                <w:lang w:val="en-US" w:eastAsia="zh-CN" w:bidi="ar"/>
              </w:rPr>
              <w:t>9</w:t>
            </w:r>
          </w:p>
        </w:tc>
        <w:tc>
          <w:tcPr>
            <w:tcW w:w="1668"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53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6" w:hRule="atLeast"/>
          <w:jc w:val="center"/>
        </w:trPr>
        <w:tc>
          <w:tcPr>
            <w:tcW w:w="68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5</w:t>
            </w:r>
          </w:p>
        </w:tc>
        <w:tc>
          <w:tcPr>
            <w:tcW w:w="269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30岁以下未婚女性</w:t>
            </w:r>
          </w:p>
        </w:tc>
        <w:tc>
          <w:tcPr>
            <w:tcW w:w="1380"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71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kern w:val="0"/>
                <w:sz w:val="21"/>
                <w:szCs w:val="21"/>
                <w:highlight w:val="none"/>
                <w:u w:val="none"/>
                <w:lang w:val="en-US" w:eastAsia="zh-CN" w:bidi="ar"/>
              </w:rPr>
            </w:pPr>
            <w:r>
              <w:rPr>
                <w:rFonts w:hint="eastAsia" w:ascii="宋体" w:hAnsi="宋体" w:eastAsia="宋体" w:cs="宋体"/>
                <w:b w:val="0"/>
                <w:bCs/>
                <w:i w:val="0"/>
                <w:color w:val="000000"/>
                <w:kern w:val="0"/>
                <w:sz w:val="21"/>
                <w:szCs w:val="21"/>
                <w:highlight w:val="none"/>
                <w:u w:val="none"/>
                <w:lang w:val="en-US" w:eastAsia="zh-CN" w:bidi="ar"/>
              </w:rPr>
              <w:t>16</w:t>
            </w:r>
          </w:p>
        </w:tc>
        <w:tc>
          <w:tcPr>
            <w:tcW w:w="1668"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53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6" w:hRule="atLeast"/>
          <w:jc w:val="center"/>
        </w:trPr>
        <w:tc>
          <w:tcPr>
            <w:tcW w:w="68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6</w:t>
            </w:r>
          </w:p>
        </w:tc>
        <w:tc>
          <w:tcPr>
            <w:tcW w:w="269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满30岁未满40岁未婚女性</w:t>
            </w:r>
          </w:p>
        </w:tc>
        <w:tc>
          <w:tcPr>
            <w:tcW w:w="1380"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71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kern w:val="0"/>
                <w:sz w:val="21"/>
                <w:szCs w:val="21"/>
                <w:highlight w:val="none"/>
                <w:u w:val="none"/>
                <w:lang w:val="en-US" w:eastAsia="zh-CN" w:bidi="ar"/>
              </w:rPr>
            </w:pPr>
            <w:r>
              <w:rPr>
                <w:rFonts w:hint="eastAsia" w:ascii="宋体" w:hAnsi="宋体" w:eastAsia="宋体" w:cs="宋体"/>
                <w:b w:val="0"/>
                <w:bCs/>
                <w:i w:val="0"/>
                <w:color w:val="000000"/>
                <w:kern w:val="0"/>
                <w:sz w:val="21"/>
                <w:szCs w:val="21"/>
                <w:highlight w:val="none"/>
                <w:u w:val="none"/>
                <w:lang w:val="en-US" w:eastAsia="zh-CN" w:bidi="ar"/>
              </w:rPr>
              <w:t>9</w:t>
            </w:r>
          </w:p>
        </w:tc>
        <w:tc>
          <w:tcPr>
            <w:tcW w:w="1668"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53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06" w:hRule="atLeast"/>
          <w:jc w:val="center"/>
        </w:trPr>
        <w:tc>
          <w:tcPr>
            <w:tcW w:w="68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7</w:t>
            </w:r>
          </w:p>
        </w:tc>
        <w:tc>
          <w:tcPr>
            <w:tcW w:w="269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满40岁未满50岁未婚女性</w:t>
            </w:r>
          </w:p>
        </w:tc>
        <w:tc>
          <w:tcPr>
            <w:tcW w:w="1380"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71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kern w:val="0"/>
                <w:sz w:val="21"/>
                <w:szCs w:val="21"/>
                <w:highlight w:val="none"/>
                <w:u w:val="none"/>
                <w:lang w:val="en-US" w:eastAsia="zh-CN" w:bidi="ar"/>
              </w:rPr>
            </w:pPr>
            <w:r>
              <w:rPr>
                <w:rFonts w:hint="eastAsia" w:ascii="宋体" w:hAnsi="宋体" w:eastAsia="宋体" w:cs="宋体"/>
                <w:b w:val="0"/>
                <w:bCs/>
                <w:i w:val="0"/>
                <w:color w:val="000000"/>
                <w:kern w:val="0"/>
                <w:sz w:val="21"/>
                <w:szCs w:val="21"/>
                <w:highlight w:val="none"/>
                <w:u w:val="none"/>
                <w:lang w:val="en-US" w:eastAsia="zh-CN" w:bidi="ar"/>
              </w:rPr>
              <w:t>2</w:t>
            </w:r>
          </w:p>
        </w:tc>
        <w:tc>
          <w:tcPr>
            <w:tcW w:w="1668"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53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6" w:hRule="atLeast"/>
          <w:jc w:val="center"/>
        </w:trPr>
        <w:tc>
          <w:tcPr>
            <w:tcW w:w="68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8</w:t>
            </w:r>
          </w:p>
        </w:tc>
        <w:tc>
          <w:tcPr>
            <w:tcW w:w="269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50岁及以上未婚女性</w:t>
            </w:r>
          </w:p>
        </w:tc>
        <w:tc>
          <w:tcPr>
            <w:tcW w:w="1380"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71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kern w:val="0"/>
                <w:sz w:val="21"/>
                <w:szCs w:val="21"/>
                <w:highlight w:val="none"/>
                <w:u w:val="none"/>
                <w:lang w:val="en-US" w:eastAsia="zh-CN" w:bidi="ar"/>
              </w:rPr>
            </w:pPr>
            <w:r>
              <w:rPr>
                <w:rFonts w:hint="eastAsia" w:ascii="宋体" w:hAnsi="宋体" w:eastAsia="宋体" w:cs="宋体"/>
                <w:b w:val="0"/>
                <w:bCs/>
                <w:i w:val="0"/>
                <w:color w:val="000000"/>
                <w:kern w:val="0"/>
                <w:sz w:val="21"/>
                <w:szCs w:val="21"/>
                <w:highlight w:val="none"/>
                <w:u w:val="none"/>
                <w:lang w:val="en-US" w:eastAsia="zh-CN" w:bidi="ar"/>
              </w:rPr>
              <w:t>0</w:t>
            </w:r>
          </w:p>
        </w:tc>
        <w:tc>
          <w:tcPr>
            <w:tcW w:w="1668"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53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06" w:hRule="atLeast"/>
          <w:jc w:val="center"/>
        </w:trPr>
        <w:tc>
          <w:tcPr>
            <w:tcW w:w="68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9</w:t>
            </w:r>
          </w:p>
        </w:tc>
        <w:tc>
          <w:tcPr>
            <w:tcW w:w="269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30岁以下已婚女性</w:t>
            </w:r>
          </w:p>
        </w:tc>
        <w:tc>
          <w:tcPr>
            <w:tcW w:w="1380"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71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kern w:val="0"/>
                <w:sz w:val="21"/>
                <w:szCs w:val="21"/>
                <w:highlight w:val="none"/>
                <w:u w:val="none"/>
                <w:lang w:val="en-US" w:eastAsia="zh-CN" w:bidi="ar"/>
              </w:rPr>
            </w:pPr>
            <w:r>
              <w:rPr>
                <w:rFonts w:hint="eastAsia" w:ascii="宋体" w:hAnsi="宋体" w:eastAsia="宋体" w:cs="宋体"/>
                <w:b w:val="0"/>
                <w:bCs/>
                <w:i w:val="0"/>
                <w:color w:val="000000"/>
                <w:kern w:val="0"/>
                <w:sz w:val="21"/>
                <w:szCs w:val="21"/>
                <w:highlight w:val="none"/>
                <w:u w:val="none"/>
                <w:lang w:val="en-US" w:eastAsia="zh-CN" w:bidi="ar"/>
              </w:rPr>
              <w:t>4</w:t>
            </w:r>
          </w:p>
        </w:tc>
        <w:tc>
          <w:tcPr>
            <w:tcW w:w="1668"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53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6" w:hRule="atLeast"/>
          <w:jc w:val="center"/>
        </w:trPr>
        <w:tc>
          <w:tcPr>
            <w:tcW w:w="68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10</w:t>
            </w:r>
          </w:p>
        </w:tc>
        <w:tc>
          <w:tcPr>
            <w:tcW w:w="269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满30岁未满40岁已婚女性</w:t>
            </w:r>
          </w:p>
        </w:tc>
        <w:tc>
          <w:tcPr>
            <w:tcW w:w="1380"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71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kern w:val="0"/>
                <w:sz w:val="21"/>
                <w:szCs w:val="21"/>
                <w:highlight w:val="none"/>
                <w:u w:val="none"/>
                <w:lang w:val="en-US" w:eastAsia="zh-CN" w:bidi="ar"/>
              </w:rPr>
            </w:pPr>
            <w:r>
              <w:rPr>
                <w:rFonts w:hint="eastAsia" w:ascii="宋体" w:hAnsi="宋体" w:eastAsia="宋体" w:cs="宋体"/>
                <w:b w:val="0"/>
                <w:bCs/>
                <w:i w:val="0"/>
                <w:color w:val="000000"/>
                <w:kern w:val="0"/>
                <w:sz w:val="21"/>
                <w:szCs w:val="21"/>
                <w:highlight w:val="none"/>
                <w:u w:val="none"/>
                <w:lang w:val="en-US" w:eastAsia="zh-CN" w:bidi="ar"/>
              </w:rPr>
              <w:t>24</w:t>
            </w:r>
          </w:p>
        </w:tc>
        <w:tc>
          <w:tcPr>
            <w:tcW w:w="1668"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53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6" w:hRule="atLeast"/>
          <w:jc w:val="center"/>
        </w:trPr>
        <w:tc>
          <w:tcPr>
            <w:tcW w:w="68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11</w:t>
            </w:r>
          </w:p>
        </w:tc>
        <w:tc>
          <w:tcPr>
            <w:tcW w:w="269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满40岁未满50岁已婚女性</w:t>
            </w:r>
          </w:p>
        </w:tc>
        <w:tc>
          <w:tcPr>
            <w:tcW w:w="1380"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71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kern w:val="0"/>
                <w:sz w:val="21"/>
                <w:szCs w:val="21"/>
                <w:highlight w:val="none"/>
                <w:u w:val="none"/>
                <w:lang w:val="en-US" w:eastAsia="zh-CN" w:bidi="ar"/>
              </w:rPr>
            </w:pPr>
            <w:r>
              <w:rPr>
                <w:rFonts w:hint="eastAsia" w:ascii="宋体" w:hAnsi="宋体" w:eastAsia="宋体" w:cs="宋体"/>
                <w:b w:val="0"/>
                <w:bCs/>
                <w:i w:val="0"/>
                <w:color w:val="000000"/>
                <w:kern w:val="0"/>
                <w:sz w:val="21"/>
                <w:szCs w:val="21"/>
                <w:highlight w:val="none"/>
                <w:u w:val="none"/>
                <w:lang w:val="en-US" w:eastAsia="zh-CN" w:bidi="ar"/>
              </w:rPr>
              <w:t>25</w:t>
            </w:r>
          </w:p>
        </w:tc>
        <w:tc>
          <w:tcPr>
            <w:tcW w:w="1668"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53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06" w:hRule="atLeast"/>
          <w:jc w:val="center"/>
        </w:trPr>
        <w:tc>
          <w:tcPr>
            <w:tcW w:w="68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12</w:t>
            </w:r>
          </w:p>
        </w:tc>
        <w:tc>
          <w:tcPr>
            <w:tcW w:w="269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50岁及以上已婚女性</w:t>
            </w:r>
          </w:p>
        </w:tc>
        <w:tc>
          <w:tcPr>
            <w:tcW w:w="1380"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71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kern w:val="0"/>
                <w:sz w:val="21"/>
                <w:szCs w:val="21"/>
                <w:highlight w:val="none"/>
                <w:u w:val="none"/>
                <w:lang w:val="en-US" w:eastAsia="zh-CN" w:bidi="ar"/>
              </w:rPr>
            </w:pPr>
            <w:r>
              <w:rPr>
                <w:rFonts w:hint="eastAsia" w:ascii="宋体" w:hAnsi="宋体" w:eastAsia="宋体" w:cs="宋体"/>
                <w:b w:val="0"/>
                <w:bCs/>
                <w:i w:val="0"/>
                <w:color w:val="000000"/>
                <w:kern w:val="0"/>
                <w:sz w:val="21"/>
                <w:szCs w:val="21"/>
                <w:highlight w:val="none"/>
                <w:u w:val="none"/>
                <w:lang w:val="en-US" w:eastAsia="zh-CN" w:bidi="ar"/>
              </w:rPr>
              <w:t>3</w:t>
            </w:r>
          </w:p>
        </w:tc>
        <w:tc>
          <w:tcPr>
            <w:tcW w:w="1668"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53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45" w:hRule="atLeast"/>
          <w:jc w:val="center"/>
        </w:trPr>
        <w:tc>
          <w:tcPr>
            <w:tcW w:w="3376" w:type="dxa"/>
            <w:gridSpan w:val="2"/>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项目总报价</w:t>
            </w:r>
          </w:p>
        </w:tc>
        <w:tc>
          <w:tcPr>
            <w:tcW w:w="1380"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71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kern w:val="0"/>
                <w:sz w:val="21"/>
                <w:szCs w:val="21"/>
                <w:highlight w:val="none"/>
                <w:u w:val="none"/>
                <w:lang w:val="en-US" w:eastAsia="zh-CN" w:bidi="ar"/>
              </w:rPr>
            </w:pPr>
            <w:r>
              <w:rPr>
                <w:rFonts w:hint="eastAsia" w:ascii="宋体" w:hAnsi="宋体" w:eastAsia="宋体" w:cs="宋体"/>
                <w:b w:val="0"/>
                <w:bCs/>
                <w:i w:val="0"/>
                <w:color w:val="000000"/>
                <w:kern w:val="0"/>
                <w:sz w:val="21"/>
                <w:szCs w:val="21"/>
                <w:highlight w:val="none"/>
                <w:u w:val="none"/>
                <w:lang w:val="en-US" w:eastAsia="zh-CN" w:bidi="ar"/>
              </w:rPr>
              <w:t>143</w:t>
            </w:r>
          </w:p>
        </w:tc>
        <w:tc>
          <w:tcPr>
            <w:tcW w:w="1668"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53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r>
    </w:tbl>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 xml:space="preserve">说明： </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1.本表仅作为开标信息一览，实际报价以投标人投标文件中提交的报价表为准，但数据应保持一致，否则应由投标人进行澄清，澄清后价格不可突破投标报价上限，如拒不澄清或澄清后价格突破投标文件中报价上限的，按废标处理；</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2.投标人如需对报价或其它内容加以说明，可在备注栏填写；</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3.此表应经法定代表人或授权代表人签名，并加盖投标人单位公章，否则无效，作废标处理。</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4.投标金额大小写不一致的以大写为准。电子文档与纸质文档不一致的以纸质文档为准。正本与副本不一致的以正本为准。总价与计算结果不一致的以分项计算结果为准。</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5.投标总报价不得超过本项目限价</w:t>
      </w:r>
      <w:r>
        <w:rPr>
          <w:rFonts w:hint="eastAsia" w:ascii="仿宋" w:hAnsi="仿宋" w:eastAsia="仿宋" w:cs="仿宋"/>
          <w:b w:val="0"/>
          <w:bCs/>
          <w:sz w:val="21"/>
          <w:szCs w:val="21"/>
          <w:highlight w:val="yellow"/>
          <w:lang w:val="en-US" w:eastAsia="zh-CN"/>
        </w:rPr>
        <w:t>35</w:t>
      </w:r>
      <w:r>
        <w:rPr>
          <w:rFonts w:hint="eastAsia" w:ascii="仿宋" w:hAnsi="仿宋" w:eastAsia="仿宋" w:cs="仿宋"/>
          <w:b w:val="0"/>
          <w:bCs/>
          <w:sz w:val="21"/>
          <w:szCs w:val="21"/>
          <w:highlight w:val="none"/>
          <w:lang w:val="en-US" w:eastAsia="zh-CN"/>
        </w:rPr>
        <w:t>万</w:t>
      </w:r>
      <w:r>
        <w:rPr>
          <w:rFonts w:hint="eastAsia" w:ascii="仿宋" w:hAnsi="仿宋" w:eastAsia="仿宋" w:cs="仿宋"/>
          <w:b w:val="0"/>
          <w:bCs/>
          <w:sz w:val="21"/>
          <w:szCs w:val="21"/>
          <w:highlight w:val="none"/>
        </w:rPr>
        <w:t>元，否则按废标处理。</w:t>
      </w:r>
    </w:p>
    <w:p>
      <w:pPr>
        <w:pageBreakBefore w:val="0"/>
        <w:kinsoku/>
        <w:overflowPunct/>
        <w:topLinePunct w:val="0"/>
        <w:autoSpaceDE/>
        <w:autoSpaceDN/>
        <w:bidi w:val="0"/>
        <w:spacing w:line="560" w:lineRule="exact"/>
        <w:rPr>
          <w:rFonts w:hint="eastAsia" w:ascii="仿宋" w:hAnsi="仿宋" w:eastAsia="仿宋" w:cs="仿宋"/>
          <w:b w:val="0"/>
          <w:bCs/>
          <w:sz w:val="28"/>
          <w:szCs w:val="28"/>
          <w:highlight w:val="none"/>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投标人（盖章）：</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法定代表人（或授权委托人）签名：</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b w:val="0"/>
          <w:bCs/>
          <w:sz w:val="24"/>
          <w:szCs w:val="24"/>
          <w:highlight w:val="none"/>
        </w:rPr>
        <w:sectPr>
          <w:headerReference r:id="rId7" w:type="default"/>
          <w:footerReference r:id="rId8" w:type="default"/>
          <w:pgSz w:w="11907" w:h="16840"/>
          <w:pgMar w:top="1276" w:right="1275" w:bottom="1135" w:left="1418" w:header="709" w:footer="603" w:gutter="0"/>
          <w:pgBorders>
            <w:top w:val="none" w:sz="0" w:space="0"/>
            <w:left w:val="none" w:sz="0" w:space="0"/>
            <w:bottom w:val="none" w:sz="0" w:space="0"/>
            <w:right w:val="none" w:sz="0" w:space="0"/>
          </w:pgBorders>
          <w:pgNumType w:fmt="decimal"/>
          <w:cols w:space="720" w:num="1"/>
          <w:docGrid w:linePitch="462" w:charSpace="0"/>
        </w:sectPr>
      </w:pPr>
      <w:r>
        <w:rPr>
          <w:rFonts w:hint="eastAsia" w:ascii="仿宋" w:hAnsi="仿宋" w:eastAsia="仿宋" w:cs="仿宋"/>
          <w:b w:val="0"/>
          <w:bCs/>
          <w:sz w:val="24"/>
          <w:szCs w:val="24"/>
          <w:highlight w:val="none"/>
        </w:rPr>
        <w:t>日   期：</w:t>
      </w:r>
    </w:p>
    <w:p>
      <w:pPr>
        <w:pStyle w:val="4"/>
        <w:pageBreakBefore w:val="0"/>
        <w:kinsoku/>
        <w:overflowPunct/>
        <w:topLinePunct w:val="0"/>
        <w:autoSpaceDE/>
        <w:autoSpaceDN/>
        <w:bidi w:val="0"/>
        <w:spacing w:line="560" w:lineRule="exact"/>
        <w:ind w:firstLine="0" w:firstLineChars="0"/>
        <w:jc w:val="left"/>
        <w:rPr>
          <w:rFonts w:hint="eastAsia" w:ascii="仿宋" w:hAnsi="仿宋" w:eastAsia="仿宋" w:cs="仿宋"/>
          <w:b w:val="0"/>
          <w:bCs/>
          <w:sz w:val="24"/>
          <w:szCs w:val="24"/>
          <w:highlight w:val="none"/>
        </w:rPr>
      </w:pPr>
      <w:bookmarkStart w:id="45" w:name="_Toc11233"/>
      <w:bookmarkStart w:id="46" w:name="_Toc21663"/>
      <w:r>
        <w:rPr>
          <w:rFonts w:hint="eastAsia" w:ascii="仿宋" w:hAnsi="仿宋" w:eastAsia="仿宋" w:cs="仿宋"/>
          <w:b w:val="0"/>
          <w:bCs/>
          <w:sz w:val="24"/>
          <w:szCs w:val="24"/>
          <w:highlight w:val="none"/>
        </w:rPr>
        <w:t>格式</w:t>
      </w:r>
      <w:r>
        <w:rPr>
          <w:rFonts w:hint="eastAsia" w:ascii="仿宋" w:hAnsi="仿宋" w:eastAsia="仿宋" w:cs="仿宋"/>
          <w:b w:val="0"/>
          <w:bCs/>
          <w:sz w:val="24"/>
          <w:szCs w:val="24"/>
          <w:highlight w:val="none"/>
          <w:lang w:val="en-US" w:eastAsia="zh-CN"/>
        </w:rPr>
        <w:t>3</w:t>
      </w: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eastAsia="zh-CN"/>
        </w:rPr>
        <w:t>体检方案及</w:t>
      </w:r>
      <w:r>
        <w:rPr>
          <w:rFonts w:hint="eastAsia" w:ascii="仿宋" w:hAnsi="仿宋" w:eastAsia="仿宋" w:cs="仿宋"/>
          <w:b w:val="0"/>
          <w:bCs/>
          <w:sz w:val="24"/>
          <w:szCs w:val="24"/>
          <w:highlight w:val="none"/>
        </w:rPr>
        <w:t>报价表</w:t>
      </w:r>
      <w:bookmarkEnd w:id="4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eastAsia="zh-CN"/>
        </w:rPr>
        <w:t>见</w:t>
      </w:r>
      <w:r>
        <w:rPr>
          <w:rFonts w:hint="eastAsia" w:ascii="仿宋" w:hAnsi="仿宋" w:eastAsia="仿宋" w:cs="仿宋"/>
          <w:b w:val="0"/>
          <w:bCs/>
          <w:sz w:val="32"/>
          <w:szCs w:val="32"/>
          <w:highlight w:val="none"/>
          <w:lang w:val="en-US" w:eastAsia="zh-CN"/>
        </w:rPr>
        <w:t>公开招标</w:t>
      </w:r>
      <w:r>
        <w:rPr>
          <w:rFonts w:hint="eastAsia" w:ascii="仿宋" w:hAnsi="仿宋" w:eastAsia="仿宋" w:cs="仿宋"/>
          <w:b w:val="0"/>
          <w:bCs/>
          <w:sz w:val="32"/>
          <w:szCs w:val="32"/>
          <w:highlight w:val="none"/>
          <w:lang w:eastAsia="zh-CN"/>
        </w:rPr>
        <w:t>公告附件</w:t>
      </w:r>
      <w:r>
        <w:rPr>
          <w:rFonts w:hint="eastAsia" w:ascii="仿宋" w:hAnsi="仿宋" w:eastAsia="仿宋" w:cs="仿宋"/>
          <w:b w:val="0"/>
          <w:bCs/>
          <w:sz w:val="32"/>
          <w:szCs w:val="32"/>
          <w:highlight w:val="none"/>
          <w:lang w:val="en-US" w:eastAsia="zh-CN"/>
        </w:rPr>
        <w:t>3《深圳市鹏劳人力资源管理有限公司2022年度员工健康体检服务采购项目（二次）体检方案及报价表》</w:t>
      </w:r>
    </w:p>
    <w:p>
      <w:pPr>
        <w:pageBreakBefore w:val="0"/>
        <w:kinsoku/>
        <w:overflowPunct/>
        <w:topLinePunct w:val="0"/>
        <w:autoSpaceDE/>
        <w:autoSpaceDN/>
        <w:bidi w:val="0"/>
        <w:spacing w:line="560" w:lineRule="exact"/>
        <w:rPr>
          <w:rFonts w:hint="eastAsia" w:ascii="仿宋" w:hAnsi="仿宋" w:eastAsia="仿宋" w:cs="仿宋"/>
          <w:b w:val="0"/>
          <w:bCs/>
          <w:sz w:val="32"/>
          <w:szCs w:val="32"/>
          <w:highlight w:val="none"/>
        </w:rPr>
      </w:pPr>
    </w:p>
    <w:p>
      <w:pPr>
        <w:pStyle w:val="4"/>
        <w:pageBreakBefore w:val="0"/>
        <w:kinsoku/>
        <w:overflowPunct/>
        <w:topLinePunct w:val="0"/>
        <w:autoSpaceDE/>
        <w:autoSpaceDN/>
        <w:bidi w:val="0"/>
        <w:spacing w:line="560" w:lineRule="exact"/>
        <w:ind w:firstLine="482"/>
        <w:jc w:val="left"/>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pStyle w:val="4"/>
        <w:pageBreakBefore w:val="0"/>
        <w:kinsoku/>
        <w:overflowPunct/>
        <w:topLinePunct w:val="0"/>
        <w:autoSpaceDE/>
        <w:autoSpaceDN/>
        <w:bidi w:val="0"/>
        <w:spacing w:line="560" w:lineRule="exact"/>
        <w:ind w:firstLine="0" w:firstLineChars="0"/>
        <w:jc w:val="left"/>
        <w:rPr>
          <w:rFonts w:hint="eastAsia" w:ascii="仿宋" w:hAnsi="仿宋" w:eastAsia="仿宋" w:cs="仿宋"/>
          <w:b w:val="0"/>
          <w:bCs/>
          <w:sz w:val="24"/>
          <w:szCs w:val="24"/>
          <w:highlight w:val="none"/>
          <w:lang w:val="zh-CN"/>
        </w:rPr>
      </w:pPr>
      <w:bookmarkStart w:id="47" w:name="_Toc32462"/>
      <w:bookmarkStart w:id="48" w:name="_Toc25172"/>
      <w:bookmarkStart w:id="49" w:name="_格式4：合同条款响应情况偏离表"/>
      <w:bookmarkStart w:id="50" w:name="_格式4：商务技术响应情况偏离表"/>
      <w:r>
        <w:rPr>
          <w:rFonts w:hint="eastAsia" w:ascii="仿宋" w:hAnsi="仿宋" w:eastAsia="仿宋" w:cs="仿宋"/>
          <w:b w:val="0"/>
          <w:bCs/>
          <w:sz w:val="24"/>
          <w:szCs w:val="24"/>
          <w:highlight w:val="none"/>
          <w:lang w:val="zh-CN"/>
        </w:rPr>
        <w:t>格式4：</w:t>
      </w:r>
      <w:bookmarkEnd w:id="47"/>
      <w:r>
        <w:rPr>
          <w:rFonts w:hint="eastAsia" w:ascii="仿宋" w:hAnsi="仿宋" w:eastAsia="仿宋" w:cs="仿宋"/>
          <w:b w:val="0"/>
          <w:bCs/>
          <w:sz w:val="24"/>
          <w:szCs w:val="24"/>
          <w:highlight w:val="none"/>
          <w:lang w:val="en-US" w:eastAsia="zh-CN"/>
        </w:rPr>
        <w:t>商务技术响应</w:t>
      </w:r>
      <w:r>
        <w:rPr>
          <w:rFonts w:hint="eastAsia" w:ascii="仿宋" w:hAnsi="仿宋" w:eastAsia="仿宋" w:cs="仿宋"/>
          <w:b w:val="0"/>
          <w:bCs/>
          <w:sz w:val="24"/>
          <w:szCs w:val="24"/>
          <w:highlight w:val="none"/>
          <w:lang w:val="zh-CN"/>
        </w:rPr>
        <w:t>情况</w:t>
      </w:r>
      <w:r>
        <w:rPr>
          <w:rFonts w:hint="eastAsia" w:ascii="仿宋" w:hAnsi="仿宋" w:eastAsia="仿宋" w:cs="仿宋"/>
          <w:b w:val="0"/>
          <w:bCs/>
          <w:sz w:val="24"/>
          <w:szCs w:val="24"/>
          <w:highlight w:val="none"/>
          <w:lang w:val="en-US" w:eastAsia="zh-CN"/>
        </w:rPr>
        <w:t>偏离表</w:t>
      </w:r>
      <w:bookmarkEnd w:id="48"/>
    </w:p>
    <w:bookmarkEnd w:id="49"/>
    <w:bookmarkEnd w:id="50"/>
    <w:p>
      <w:pPr>
        <w:pageBreakBefore w:val="0"/>
        <w:widowControl w:val="0"/>
        <w:kinsoku/>
        <w:wordWrap/>
        <w:overflowPunct/>
        <w:topLinePunct w:val="0"/>
        <w:autoSpaceDE/>
        <w:autoSpaceDN/>
        <w:bidi w:val="0"/>
        <w:adjustRightInd/>
        <w:snapToGrid/>
        <w:spacing w:after="120" w:line="240" w:lineRule="auto"/>
        <w:jc w:val="center"/>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商务技术</w:t>
      </w:r>
      <w:r>
        <w:rPr>
          <w:rFonts w:hint="eastAsia" w:ascii="仿宋" w:hAnsi="仿宋" w:eastAsia="仿宋" w:cs="仿宋"/>
          <w:b/>
          <w:bCs w:val="0"/>
          <w:sz w:val="32"/>
          <w:szCs w:val="32"/>
          <w:lang w:val="zh-CN"/>
        </w:rPr>
        <w:t>响应情况</w:t>
      </w:r>
      <w:r>
        <w:rPr>
          <w:rFonts w:hint="eastAsia" w:ascii="仿宋" w:hAnsi="仿宋" w:eastAsia="仿宋" w:cs="仿宋"/>
          <w:b/>
          <w:bCs w:val="0"/>
          <w:sz w:val="32"/>
          <w:szCs w:val="32"/>
          <w:lang w:val="en-US" w:eastAsia="zh-CN"/>
        </w:rPr>
        <w:t>偏离表</w:t>
      </w:r>
    </w:p>
    <w:p>
      <w:pPr>
        <w:pStyle w:val="2"/>
        <w:spacing w:line="240" w:lineRule="auto"/>
        <w:rPr>
          <w:rFonts w:hint="eastAsia" w:ascii="仿宋" w:hAnsi="仿宋" w:eastAsia="仿宋" w:cs="仿宋"/>
          <w:b w:val="0"/>
          <w:bCs/>
          <w:sz w:val="20"/>
          <w:szCs w:val="10"/>
          <w:lang w:val="zh-CN"/>
        </w:rPr>
      </w:pPr>
    </w:p>
    <w:p>
      <w:pPr>
        <w:pStyle w:val="2"/>
        <w:spacing w:line="240" w:lineRule="auto"/>
        <w:ind w:firstLine="400" w:firstLineChars="200"/>
        <w:rPr>
          <w:rFonts w:hint="eastAsia" w:ascii="仿宋" w:hAnsi="仿宋" w:eastAsia="仿宋" w:cs="仿宋"/>
          <w:b w:val="0"/>
          <w:bCs/>
          <w:sz w:val="20"/>
          <w:szCs w:val="10"/>
          <w:lang w:val="zh-CN"/>
        </w:rPr>
      </w:pPr>
      <w:r>
        <w:rPr>
          <w:rFonts w:hint="eastAsia" w:ascii="仿宋" w:hAnsi="仿宋" w:eastAsia="仿宋" w:cs="仿宋"/>
          <w:b w:val="0"/>
          <w:bCs/>
          <w:sz w:val="20"/>
          <w:szCs w:val="10"/>
          <w:lang w:val="zh-CN"/>
        </w:rPr>
        <w:t xml:space="preserve">投标人：                      </w:t>
      </w:r>
      <w:r>
        <w:rPr>
          <w:rFonts w:hint="eastAsia" w:ascii="仿宋" w:hAnsi="仿宋" w:eastAsia="仿宋" w:cs="仿宋"/>
          <w:b w:val="0"/>
          <w:bCs/>
          <w:sz w:val="20"/>
          <w:szCs w:val="10"/>
          <w:lang w:val="en-US" w:eastAsia="zh-CN"/>
        </w:rPr>
        <w:t xml:space="preserve">             </w:t>
      </w:r>
      <w:r>
        <w:rPr>
          <w:rFonts w:hint="eastAsia" w:ascii="仿宋" w:hAnsi="仿宋" w:eastAsia="仿宋" w:cs="仿宋"/>
          <w:b w:val="0"/>
          <w:bCs/>
          <w:sz w:val="20"/>
          <w:szCs w:val="10"/>
          <w:lang w:val="zh-CN"/>
        </w:rPr>
        <w:t xml:space="preserve">       招标编号：</w:t>
      </w:r>
    </w:p>
    <w:p>
      <w:pPr>
        <w:rPr>
          <w:rFonts w:hint="eastAsia"/>
          <w:lang w:val="zh-CN"/>
        </w:rPr>
      </w:pPr>
    </w:p>
    <w:tbl>
      <w:tblPr>
        <w:tblStyle w:val="14"/>
        <w:tblpPr w:leftFromText="180" w:rightFromText="180" w:vertAnchor="text" w:horzAnchor="page" w:tblpXSpec="center" w:tblpY="-9"/>
        <w:tblOverlap w:val="never"/>
        <w:tblW w:w="88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619"/>
        <w:gridCol w:w="2395"/>
        <w:gridCol w:w="1440"/>
        <w:gridCol w:w="1616"/>
        <w:gridCol w:w="1490"/>
        <w:gridCol w:w="13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23" w:hRule="atLeast"/>
          <w:jc w:val="center"/>
        </w:trPr>
        <w:tc>
          <w:tcPr>
            <w:tcW w:w="619"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sz w:val="21"/>
                <w:szCs w:val="21"/>
              </w:rPr>
            </w:pPr>
            <w:r>
              <w:rPr>
                <w:rFonts w:hint="eastAsia" w:ascii="仿宋" w:hAnsi="仿宋" w:eastAsia="仿宋" w:cs="仿宋"/>
                <w:b/>
                <w:sz w:val="21"/>
                <w:szCs w:val="21"/>
              </w:rPr>
              <w:t>序号</w:t>
            </w:r>
          </w:p>
        </w:tc>
        <w:tc>
          <w:tcPr>
            <w:tcW w:w="2395" w:type="dxa"/>
            <w:tcBorders>
              <w:tl2br w:val="nil"/>
              <w:tr2bl w:val="nil"/>
            </w:tcBorders>
            <w:vAlign w:val="center"/>
          </w:tcPr>
          <w:p>
            <w:pPr>
              <w:keepNext w:val="0"/>
              <w:keepLines w:val="0"/>
              <w:widowControl/>
              <w:suppressLineNumbers w:val="0"/>
              <w:jc w:val="center"/>
              <w:textAlignment w:val="center"/>
              <w:rPr>
                <w:rFonts w:hint="eastAsia" w:ascii="仿宋" w:hAnsi="仿宋" w:eastAsia="仿宋" w:cs="仿宋"/>
                <w:b/>
                <w:sz w:val="21"/>
                <w:szCs w:val="21"/>
              </w:rPr>
            </w:pPr>
            <w:r>
              <w:rPr>
                <w:rFonts w:hint="eastAsia" w:ascii="仿宋" w:hAnsi="仿宋" w:eastAsia="仿宋" w:cs="仿宋"/>
                <w:b/>
                <w:bCs/>
                <w:i w:val="0"/>
                <w:iCs w:val="0"/>
                <w:color w:val="000000"/>
                <w:kern w:val="0"/>
                <w:sz w:val="21"/>
                <w:szCs w:val="21"/>
                <w:u w:val="none"/>
                <w:lang w:val="en-US" w:eastAsia="zh-CN" w:bidi="ar"/>
              </w:rPr>
              <w:t>内容</w:t>
            </w:r>
          </w:p>
        </w:tc>
        <w:tc>
          <w:tcPr>
            <w:tcW w:w="1440" w:type="dxa"/>
            <w:tcBorders>
              <w:tl2br w:val="nil"/>
              <w:tr2bl w:val="nil"/>
            </w:tcBorders>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偏离性质</w:t>
            </w:r>
          </w:p>
          <w:p>
            <w:pPr>
              <w:keepNext w:val="0"/>
              <w:keepLines w:val="0"/>
              <w:widowControl/>
              <w:suppressLineNumbers w:val="0"/>
              <w:jc w:val="center"/>
              <w:textAlignment w:val="center"/>
              <w:rPr>
                <w:rFonts w:hint="eastAsia" w:ascii="仿宋" w:hAnsi="仿宋" w:eastAsia="仿宋" w:cs="仿宋"/>
                <w:b/>
                <w:sz w:val="21"/>
                <w:szCs w:val="21"/>
              </w:rPr>
            </w:pPr>
            <w:r>
              <w:rPr>
                <w:rFonts w:hint="eastAsia" w:ascii="仿宋" w:hAnsi="仿宋" w:eastAsia="仿宋" w:cs="仿宋"/>
                <w:b/>
                <w:bCs/>
                <w:i w:val="0"/>
                <w:iCs w:val="0"/>
                <w:color w:val="000000"/>
                <w:kern w:val="0"/>
                <w:sz w:val="21"/>
                <w:szCs w:val="21"/>
                <w:u w:val="none"/>
                <w:lang w:val="en-US" w:eastAsia="zh-CN" w:bidi="ar"/>
              </w:rPr>
              <w:t>（选填正偏离、负偏离）</w:t>
            </w:r>
          </w:p>
        </w:tc>
        <w:tc>
          <w:tcPr>
            <w:tcW w:w="1616" w:type="dxa"/>
            <w:tcBorders>
              <w:tl2br w:val="nil"/>
              <w:tr2bl w:val="nil"/>
            </w:tcBorders>
            <w:vAlign w:val="center"/>
          </w:tcPr>
          <w:p>
            <w:pPr>
              <w:keepNext w:val="0"/>
              <w:keepLines w:val="0"/>
              <w:widowControl/>
              <w:suppressLineNumbers w:val="0"/>
              <w:jc w:val="center"/>
              <w:textAlignment w:val="center"/>
              <w:rPr>
                <w:rFonts w:hint="eastAsia" w:ascii="仿宋" w:hAnsi="仿宋" w:eastAsia="仿宋" w:cs="仿宋"/>
                <w:b/>
                <w:sz w:val="21"/>
                <w:szCs w:val="21"/>
              </w:rPr>
            </w:pPr>
            <w:r>
              <w:rPr>
                <w:rFonts w:hint="eastAsia" w:ascii="仿宋" w:hAnsi="仿宋" w:eastAsia="仿宋" w:cs="仿宋"/>
                <w:b/>
                <w:bCs/>
                <w:i w:val="0"/>
                <w:iCs w:val="0"/>
                <w:color w:val="000000"/>
                <w:kern w:val="0"/>
                <w:sz w:val="21"/>
                <w:szCs w:val="21"/>
                <w:u w:val="none"/>
                <w:lang w:val="en-US" w:eastAsia="zh-CN" w:bidi="ar"/>
              </w:rPr>
              <w:t>偏离情况说明</w:t>
            </w:r>
          </w:p>
        </w:tc>
        <w:tc>
          <w:tcPr>
            <w:tcW w:w="1490" w:type="dxa"/>
            <w:tcBorders>
              <w:tl2br w:val="nil"/>
              <w:tr2bl w:val="nil"/>
            </w:tcBorders>
            <w:vAlign w:val="center"/>
          </w:tcPr>
          <w:p>
            <w:pPr>
              <w:keepNext w:val="0"/>
              <w:keepLines w:val="0"/>
              <w:widowControl/>
              <w:suppressLineNumbers w:val="0"/>
              <w:jc w:val="center"/>
              <w:textAlignment w:val="center"/>
              <w:rPr>
                <w:rFonts w:hint="eastAsia" w:ascii="仿宋" w:hAnsi="仿宋" w:eastAsia="仿宋" w:cs="仿宋"/>
                <w:b/>
                <w:sz w:val="21"/>
                <w:szCs w:val="21"/>
              </w:rPr>
            </w:pPr>
            <w:r>
              <w:rPr>
                <w:rFonts w:hint="eastAsia" w:ascii="仿宋" w:hAnsi="仿宋" w:eastAsia="仿宋" w:cs="仿宋"/>
                <w:b/>
                <w:bCs/>
                <w:i w:val="0"/>
                <w:iCs w:val="0"/>
                <w:color w:val="000000"/>
                <w:kern w:val="0"/>
                <w:sz w:val="21"/>
                <w:szCs w:val="21"/>
                <w:u w:val="none"/>
                <w:lang w:val="en-US" w:eastAsia="zh-CN" w:bidi="ar"/>
              </w:rPr>
              <w:t>偏离情况对应投标文件页码</w:t>
            </w:r>
          </w:p>
        </w:tc>
        <w:tc>
          <w:tcPr>
            <w:tcW w:w="1339"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sz w:val="21"/>
                <w:szCs w:val="21"/>
              </w:rPr>
            </w:pPr>
            <w:r>
              <w:rPr>
                <w:rFonts w:hint="eastAsia" w:ascii="仿宋" w:hAnsi="仿宋" w:eastAsia="仿宋" w:cs="仿宋"/>
                <w:b/>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12" w:hRule="atLeast"/>
          <w:jc w:val="center"/>
        </w:trPr>
        <w:tc>
          <w:tcPr>
            <w:tcW w:w="619"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r>
              <w:rPr>
                <w:rFonts w:hint="eastAsia" w:ascii="仿宋" w:hAnsi="仿宋" w:eastAsia="仿宋" w:cs="仿宋"/>
                <w:bCs/>
                <w:sz w:val="21"/>
                <w:szCs w:val="21"/>
              </w:rPr>
              <w:t>1</w:t>
            </w:r>
          </w:p>
        </w:tc>
        <w:tc>
          <w:tcPr>
            <w:tcW w:w="2395"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44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616"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49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339"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36" w:hRule="atLeast"/>
          <w:jc w:val="center"/>
        </w:trPr>
        <w:tc>
          <w:tcPr>
            <w:tcW w:w="619"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r>
              <w:rPr>
                <w:rFonts w:hint="eastAsia" w:ascii="仿宋" w:hAnsi="仿宋" w:eastAsia="仿宋" w:cs="仿宋"/>
                <w:bCs/>
                <w:sz w:val="21"/>
                <w:szCs w:val="21"/>
              </w:rPr>
              <w:t>2</w:t>
            </w:r>
          </w:p>
        </w:tc>
        <w:tc>
          <w:tcPr>
            <w:tcW w:w="2395"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44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616"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49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339"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39" w:hRule="atLeast"/>
          <w:jc w:val="center"/>
        </w:trPr>
        <w:tc>
          <w:tcPr>
            <w:tcW w:w="619"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r>
              <w:rPr>
                <w:rFonts w:hint="eastAsia" w:ascii="仿宋" w:hAnsi="仿宋" w:eastAsia="仿宋" w:cs="仿宋"/>
                <w:bCs/>
                <w:sz w:val="21"/>
                <w:szCs w:val="21"/>
              </w:rPr>
              <w:t>3</w:t>
            </w:r>
          </w:p>
        </w:tc>
        <w:tc>
          <w:tcPr>
            <w:tcW w:w="2395"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44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616"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49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339"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39" w:hRule="atLeast"/>
          <w:jc w:val="center"/>
        </w:trPr>
        <w:tc>
          <w:tcPr>
            <w:tcW w:w="619"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yellow"/>
              </w:rPr>
            </w:pPr>
            <w:r>
              <w:rPr>
                <w:rFonts w:hint="eastAsia" w:ascii="仿宋" w:hAnsi="仿宋" w:eastAsia="仿宋" w:cs="仿宋"/>
                <w:bCs/>
                <w:sz w:val="21"/>
                <w:szCs w:val="21"/>
                <w:highlight w:val="none"/>
              </w:rPr>
              <w:t>4</w:t>
            </w:r>
          </w:p>
        </w:tc>
        <w:tc>
          <w:tcPr>
            <w:tcW w:w="2395"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44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616"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49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339"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854" w:hRule="atLeast"/>
          <w:jc w:val="center"/>
        </w:trPr>
        <w:tc>
          <w:tcPr>
            <w:tcW w:w="619"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r>
              <w:rPr>
                <w:rFonts w:hint="eastAsia" w:ascii="仿宋" w:hAnsi="仿宋" w:eastAsia="仿宋" w:cs="仿宋"/>
                <w:bCs/>
                <w:sz w:val="21"/>
                <w:szCs w:val="21"/>
              </w:rPr>
              <w:t>5</w:t>
            </w:r>
          </w:p>
        </w:tc>
        <w:tc>
          <w:tcPr>
            <w:tcW w:w="2395"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44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616"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49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339"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78" w:hRule="atLeast"/>
          <w:jc w:val="center"/>
        </w:trPr>
        <w:tc>
          <w:tcPr>
            <w:tcW w:w="619"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r>
              <w:rPr>
                <w:rFonts w:hint="eastAsia" w:ascii="仿宋" w:hAnsi="仿宋" w:eastAsia="仿宋" w:cs="仿宋"/>
                <w:bCs/>
                <w:sz w:val="21"/>
                <w:szCs w:val="21"/>
              </w:rPr>
              <w:t>6</w:t>
            </w:r>
          </w:p>
        </w:tc>
        <w:tc>
          <w:tcPr>
            <w:tcW w:w="2395"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yellow"/>
              </w:rPr>
            </w:pPr>
          </w:p>
        </w:tc>
        <w:tc>
          <w:tcPr>
            <w:tcW w:w="144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yellow"/>
              </w:rPr>
            </w:pPr>
          </w:p>
        </w:tc>
        <w:tc>
          <w:tcPr>
            <w:tcW w:w="1616"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yellow"/>
              </w:rPr>
            </w:pPr>
          </w:p>
        </w:tc>
        <w:tc>
          <w:tcPr>
            <w:tcW w:w="149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yellow"/>
              </w:rPr>
            </w:pPr>
          </w:p>
        </w:tc>
        <w:tc>
          <w:tcPr>
            <w:tcW w:w="1339"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54" w:hRule="atLeast"/>
          <w:jc w:val="center"/>
        </w:trPr>
        <w:tc>
          <w:tcPr>
            <w:tcW w:w="619"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r>
              <w:rPr>
                <w:rFonts w:hint="eastAsia" w:ascii="仿宋" w:hAnsi="仿宋" w:eastAsia="仿宋" w:cs="仿宋"/>
                <w:bCs/>
                <w:sz w:val="21"/>
                <w:szCs w:val="21"/>
              </w:rPr>
              <w:t>7</w:t>
            </w:r>
          </w:p>
        </w:tc>
        <w:tc>
          <w:tcPr>
            <w:tcW w:w="2395" w:type="dxa"/>
            <w:tcBorders>
              <w:tl2br w:val="nil"/>
              <w:tr2bl w:val="nil"/>
            </w:tcBorders>
          </w:tcPr>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Cs/>
                <w:sz w:val="21"/>
                <w:szCs w:val="21"/>
                <w:highlight w:val="yellow"/>
              </w:rPr>
            </w:pPr>
          </w:p>
        </w:tc>
        <w:tc>
          <w:tcPr>
            <w:tcW w:w="1440" w:type="dxa"/>
            <w:tcBorders>
              <w:tl2br w:val="nil"/>
              <w:tr2bl w:val="nil"/>
            </w:tcBorders>
          </w:tcPr>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Cs/>
                <w:sz w:val="21"/>
                <w:szCs w:val="21"/>
                <w:highlight w:val="yellow"/>
              </w:rPr>
            </w:pPr>
          </w:p>
        </w:tc>
        <w:tc>
          <w:tcPr>
            <w:tcW w:w="1616" w:type="dxa"/>
            <w:tcBorders>
              <w:tl2br w:val="nil"/>
              <w:tr2bl w:val="nil"/>
            </w:tcBorders>
          </w:tcPr>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Cs/>
                <w:sz w:val="21"/>
                <w:szCs w:val="21"/>
                <w:highlight w:val="yellow"/>
              </w:rPr>
            </w:pPr>
          </w:p>
        </w:tc>
        <w:tc>
          <w:tcPr>
            <w:tcW w:w="1490" w:type="dxa"/>
            <w:tcBorders>
              <w:tl2br w:val="nil"/>
              <w:tr2bl w:val="nil"/>
            </w:tcBorders>
          </w:tcPr>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Cs/>
                <w:sz w:val="21"/>
                <w:szCs w:val="21"/>
                <w:highlight w:val="yellow"/>
              </w:rPr>
            </w:pPr>
          </w:p>
        </w:tc>
        <w:tc>
          <w:tcPr>
            <w:tcW w:w="1339" w:type="dxa"/>
            <w:tcBorders>
              <w:tl2br w:val="nil"/>
              <w:tr2bl w:val="nil"/>
            </w:tcBorders>
          </w:tcPr>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Cs/>
                <w:sz w:val="21"/>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83" w:hRule="atLeast"/>
          <w:jc w:val="center"/>
        </w:trPr>
        <w:tc>
          <w:tcPr>
            <w:tcW w:w="619" w:type="dxa"/>
            <w:tcBorders>
              <w:tl2br w:val="nil"/>
              <w:tr2bl w:val="nil"/>
            </w:tcBorders>
          </w:tcPr>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Cs/>
                <w:sz w:val="21"/>
                <w:szCs w:val="21"/>
                <w:highlight w:val="yellow"/>
              </w:rPr>
            </w:pPr>
          </w:p>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Cs/>
                <w:sz w:val="21"/>
                <w:szCs w:val="21"/>
                <w:highlight w:val="yellow"/>
              </w:rPr>
            </w:pPr>
          </w:p>
        </w:tc>
        <w:tc>
          <w:tcPr>
            <w:tcW w:w="2395"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Cs/>
                <w:sz w:val="21"/>
                <w:szCs w:val="21"/>
                <w:highlight w:val="yellow"/>
                <w:lang w:val="en-US" w:eastAsia="zh-CN"/>
              </w:rPr>
            </w:pPr>
            <w:r>
              <w:rPr>
                <w:rFonts w:hint="eastAsia" w:ascii="仿宋" w:hAnsi="仿宋" w:eastAsia="仿宋" w:cs="仿宋"/>
                <w:bCs/>
                <w:sz w:val="21"/>
                <w:szCs w:val="21"/>
                <w:highlight w:val="none"/>
                <w:lang w:val="en-US" w:eastAsia="zh-CN"/>
              </w:rPr>
              <w:t>.......</w:t>
            </w:r>
          </w:p>
        </w:tc>
        <w:tc>
          <w:tcPr>
            <w:tcW w:w="1440" w:type="dxa"/>
            <w:tcBorders>
              <w:tl2br w:val="nil"/>
              <w:tr2bl w:val="nil"/>
            </w:tcBorders>
          </w:tcPr>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Cs/>
                <w:sz w:val="21"/>
                <w:szCs w:val="21"/>
                <w:highlight w:val="yellow"/>
              </w:rPr>
            </w:pPr>
          </w:p>
        </w:tc>
        <w:tc>
          <w:tcPr>
            <w:tcW w:w="1616" w:type="dxa"/>
            <w:tcBorders>
              <w:tl2br w:val="nil"/>
              <w:tr2bl w:val="nil"/>
            </w:tcBorders>
          </w:tcPr>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Cs/>
                <w:sz w:val="21"/>
                <w:szCs w:val="21"/>
                <w:highlight w:val="yellow"/>
              </w:rPr>
            </w:pPr>
          </w:p>
        </w:tc>
        <w:tc>
          <w:tcPr>
            <w:tcW w:w="1490" w:type="dxa"/>
            <w:tcBorders>
              <w:tl2br w:val="nil"/>
              <w:tr2bl w:val="nil"/>
            </w:tcBorders>
          </w:tcPr>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Cs/>
                <w:sz w:val="21"/>
                <w:szCs w:val="21"/>
                <w:highlight w:val="yellow"/>
              </w:rPr>
            </w:pPr>
          </w:p>
        </w:tc>
        <w:tc>
          <w:tcPr>
            <w:tcW w:w="1339" w:type="dxa"/>
            <w:tcBorders>
              <w:tl2br w:val="nil"/>
              <w:tr2bl w:val="nil"/>
            </w:tcBorders>
          </w:tcPr>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Cs/>
                <w:sz w:val="21"/>
                <w:szCs w:val="21"/>
                <w:highlight w:val="yellow"/>
              </w:rPr>
            </w:pPr>
          </w:p>
        </w:tc>
      </w:tr>
    </w:tbl>
    <w:p>
      <w:pPr>
        <w:pageBreakBefore w:val="0"/>
        <w:widowControl/>
        <w:kinsoku/>
        <w:wordWrap/>
        <w:overflowPunct/>
        <w:topLinePunct w:val="0"/>
        <w:autoSpaceDE/>
        <w:autoSpaceDN/>
        <w:bidi w:val="0"/>
        <w:adjustRightInd/>
        <w:snapToGrid/>
        <w:spacing w:beforeLines="50" w:line="240" w:lineRule="auto"/>
        <w:ind w:firstLine="422" w:firstLineChars="200"/>
        <w:textAlignment w:val="auto"/>
        <w:rPr>
          <w:rFonts w:hint="eastAsia" w:ascii="仿宋" w:hAnsi="仿宋" w:eastAsia="仿宋" w:cs="仿宋"/>
          <w:b/>
          <w:bCs/>
          <w:sz w:val="21"/>
          <w:szCs w:val="21"/>
        </w:rPr>
      </w:pPr>
      <w:r>
        <w:rPr>
          <w:rFonts w:hint="eastAsia" w:ascii="仿宋" w:hAnsi="仿宋" w:eastAsia="仿宋" w:cs="仿宋"/>
          <w:b/>
          <w:bCs/>
          <w:sz w:val="21"/>
          <w:szCs w:val="21"/>
        </w:rPr>
        <w:t>说明：</w:t>
      </w:r>
    </w:p>
    <w:p>
      <w:pPr>
        <w:pageBreakBefore w:val="0"/>
        <w:widowControl/>
        <w:numPr>
          <w:ilvl w:val="0"/>
          <w:numId w:val="8"/>
        </w:numPr>
        <w:kinsoku/>
        <w:wordWrap/>
        <w:overflowPunct/>
        <w:topLinePunct w:val="0"/>
        <w:autoSpaceDE/>
        <w:autoSpaceDN/>
        <w:bidi w:val="0"/>
        <w:adjustRightInd/>
        <w:snapToGrid/>
        <w:spacing w:beforeLines="50" w:line="240" w:lineRule="auto"/>
        <w:ind w:firstLine="420" w:firstLineChars="200"/>
        <w:textAlignment w:val="auto"/>
        <w:rPr>
          <w:rFonts w:hint="eastAsia" w:ascii="仿宋" w:hAnsi="仿宋" w:eastAsia="仿宋" w:cs="仿宋"/>
          <w:b w:val="0"/>
          <w:bCs w:val="0"/>
          <w:sz w:val="21"/>
          <w:szCs w:val="21"/>
          <w:lang w:val="en-US" w:eastAsia="zh-CN"/>
        </w:rPr>
      </w:pPr>
      <w:r>
        <w:rPr>
          <w:rFonts w:hint="eastAsia" w:ascii="仿宋" w:hAnsi="仿宋" w:eastAsia="仿宋" w:cs="仿宋"/>
          <w:b w:val="0"/>
          <w:bCs w:val="0"/>
          <w:kern w:val="0"/>
          <w:sz w:val="21"/>
          <w:szCs w:val="21"/>
          <w:lang w:val="en-US" w:eastAsia="zh-CN"/>
        </w:rPr>
        <w:t>偏离性质以招标人列示招标文件为基准，作出对招标人有利修改的为正偏离，反之为负偏离。</w:t>
      </w:r>
    </w:p>
    <w:p>
      <w:pPr>
        <w:pageBreakBefore w:val="0"/>
        <w:widowControl w:val="0"/>
        <w:numPr>
          <w:ilvl w:val="0"/>
          <w:numId w:val="8"/>
        </w:numPr>
        <w:kinsoku/>
        <w:wordWrap/>
        <w:overflowPunct/>
        <w:topLinePunct w:val="0"/>
        <w:autoSpaceDE/>
        <w:autoSpaceDN/>
        <w:bidi w:val="0"/>
        <w:adjustRightInd/>
        <w:snapToGrid/>
        <w:spacing w:beforeLines="50" w:line="240" w:lineRule="auto"/>
        <w:ind w:firstLine="420" w:firstLineChars="200"/>
        <w:textAlignment w:val="auto"/>
        <w:rPr>
          <w:rFonts w:hint="eastAsia" w:ascii="仿宋" w:hAnsi="仿宋" w:eastAsia="仿宋" w:cs="仿宋"/>
          <w:b w:val="0"/>
          <w:bCs w:val="0"/>
          <w:kern w:val="2"/>
          <w:sz w:val="21"/>
          <w:szCs w:val="21"/>
        </w:rPr>
      </w:pPr>
      <w:r>
        <w:rPr>
          <w:rFonts w:hint="eastAsia" w:ascii="仿宋" w:hAnsi="仿宋" w:eastAsia="仿宋" w:cs="仿宋"/>
          <w:b w:val="0"/>
          <w:bCs w:val="0"/>
          <w:sz w:val="21"/>
          <w:szCs w:val="21"/>
        </w:rPr>
        <w:t>投标人应准确完整阅读谈判文件并就谈判文件内合同条款与投标人实际提供服务产生的偏离情况进行完整、准确说明</w:t>
      </w:r>
      <w:r>
        <w:rPr>
          <w:rFonts w:hint="eastAsia" w:ascii="仿宋" w:hAnsi="仿宋" w:eastAsia="仿宋" w:cs="仿宋"/>
          <w:b w:val="0"/>
          <w:bCs w:val="0"/>
          <w:sz w:val="21"/>
          <w:szCs w:val="21"/>
          <w:lang w:eastAsia="zh-CN"/>
        </w:rPr>
        <w:t>，</w:t>
      </w:r>
      <w:r>
        <w:rPr>
          <w:rFonts w:hint="eastAsia" w:ascii="仿宋" w:hAnsi="仿宋" w:eastAsia="仿宋" w:cs="仿宋"/>
          <w:b w:val="0"/>
          <w:bCs w:val="0"/>
          <w:sz w:val="21"/>
          <w:szCs w:val="21"/>
          <w:lang w:val="en-US" w:eastAsia="zh-CN"/>
        </w:rPr>
        <w:t>投标人未予列示的，默认为无偏离承诺</w:t>
      </w:r>
      <w:r>
        <w:rPr>
          <w:rFonts w:hint="eastAsia" w:ascii="仿宋" w:hAnsi="仿宋" w:eastAsia="仿宋" w:cs="仿宋"/>
          <w:b w:val="0"/>
          <w:bCs w:val="0"/>
          <w:sz w:val="21"/>
          <w:szCs w:val="21"/>
        </w:rPr>
        <w:t>。投标人未在本表中示明，但在服务方案中存在偏离的情况，</w:t>
      </w:r>
      <w:r>
        <w:rPr>
          <w:rFonts w:hint="eastAsia" w:ascii="仿宋" w:hAnsi="仿宋" w:eastAsia="仿宋" w:cs="仿宋"/>
          <w:b w:val="0"/>
          <w:bCs w:val="0"/>
          <w:sz w:val="21"/>
          <w:szCs w:val="21"/>
          <w:lang w:val="en-US" w:eastAsia="zh-CN"/>
        </w:rPr>
        <w:t>招标</w:t>
      </w:r>
      <w:r>
        <w:rPr>
          <w:rFonts w:hint="eastAsia" w:ascii="仿宋" w:hAnsi="仿宋" w:eastAsia="仿宋" w:cs="仿宋"/>
          <w:b w:val="0"/>
          <w:bCs w:val="0"/>
          <w:sz w:val="21"/>
          <w:szCs w:val="21"/>
        </w:rPr>
        <w:t>人有权判定为废标。</w:t>
      </w:r>
    </w:p>
    <w:p>
      <w:pPr>
        <w:pageBreakBefore w:val="0"/>
        <w:widowControl w:val="0"/>
        <w:numPr>
          <w:ilvl w:val="0"/>
          <w:numId w:val="0"/>
        </w:numPr>
        <w:kinsoku/>
        <w:wordWrap/>
        <w:overflowPunct/>
        <w:topLinePunct w:val="0"/>
        <w:autoSpaceDE/>
        <w:autoSpaceDN/>
        <w:bidi w:val="0"/>
        <w:adjustRightInd/>
        <w:snapToGrid/>
        <w:spacing w:beforeLines="50" w:line="240" w:lineRule="auto"/>
        <w:ind w:leftChars="200"/>
        <w:textAlignment w:val="auto"/>
        <w:rPr>
          <w:rFonts w:hint="eastAsia" w:ascii="仿宋" w:hAnsi="仿宋" w:eastAsia="仿宋" w:cs="仿宋"/>
          <w:b w:val="0"/>
          <w:bCs w:val="0"/>
          <w:sz w:val="21"/>
          <w:szCs w:val="21"/>
        </w:rPr>
      </w:pPr>
    </w:p>
    <w:p>
      <w:pPr>
        <w:pageBreakBefore w:val="0"/>
        <w:widowControl w:val="0"/>
        <w:numPr>
          <w:ilvl w:val="0"/>
          <w:numId w:val="0"/>
        </w:numPr>
        <w:kinsoku/>
        <w:wordWrap/>
        <w:overflowPunct/>
        <w:topLinePunct w:val="0"/>
        <w:autoSpaceDE/>
        <w:autoSpaceDN/>
        <w:bidi w:val="0"/>
        <w:adjustRightInd/>
        <w:snapToGrid/>
        <w:spacing w:beforeLines="50" w:line="240" w:lineRule="auto"/>
        <w:ind w:leftChars="200"/>
        <w:textAlignment w:val="auto"/>
        <w:rPr>
          <w:rFonts w:hint="eastAsia" w:ascii="仿宋" w:hAnsi="仿宋" w:eastAsia="仿宋" w:cs="仿宋"/>
          <w:b w:val="0"/>
          <w:bCs w:val="0"/>
          <w:sz w:val="21"/>
          <w:szCs w:val="21"/>
        </w:rPr>
      </w:pPr>
    </w:p>
    <w:p>
      <w:pPr>
        <w:pStyle w:val="2"/>
        <w:pageBreakBefore w:val="0"/>
        <w:widowControl w:val="0"/>
        <w:kinsoku/>
        <w:wordWrap/>
        <w:overflowPunct/>
        <w:topLinePunct w:val="0"/>
        <w:autoSpaceDE/>
        <w:autoSpaceDN/>
        <w:bidi w:val="0"/>
        <w:adjustRightInd/>
        <w:snapToGrid/>
        <w:spacing w:line="280" w:lineRule="exact"/>
        <w:textAlignment w:val="auto"/>
        <w:rPr>
          <w:rFonts w:hint="eastAsia"/>
          <w:b w:val="0"/>
          <w:bCs/>
          <w:sz w:val="24"/>
          <w:szCs w:val="24"/>
        </w:rPr>
      </w:pPr>
    </w:p>
    <w:p>
      <w:pPr>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lang w:eastAsia="zh-CN"/>
        </w:rPr>
        <w:t>投标人</w:t>
      </w:r>
      <w:r>
        <w:rPr>
          <w:rFonts w:hint="eastAsia" w:ascii="仿宋" w:hAnsi="仿宋" w:eastAsia="仿宋" w:cs="仿宋"/>
          <w:b w:val="0"/>
          <w:bCs/>
          <w:kern w:val="0"/>
          <w:sz w:val="24"/>
          <w:szCs w:val="24"/>
        </w:rPr>
        <w:t>名称（公章）：</w:t>
      </w:r>
    </w:p>
    <w:p>
      <w:pPr>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法定代表人（法定授权代表人）签名：</w:t>
      </w:r>
    </w:p>
    <w:p>
      <w:pPr>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b w:val="0"/>
          <w:bCs/>
          <w:sz w:val="32"/>
          <w:szCs w:val="32"/>
          <w:highlight w:val="none"/>
          <w:lang w:val="zh-CN"/>
        </w:rPr>
      </w:pPr>
      <w:r>
        <w:rPr>
          <w:rFonts w:hint="eastAsia" w:ascii="仿宋" w:hAnsi="仿宋" w:eastAsia="仿宋" w:cs="仿宋"/>
          <w:b w:val="0"/>
          <w:bCs/>
          <w:kern w:val="0"/>
          <w:sz w:val="24"/>
          <w:szCs w:val="24"/>
        </w:rPr>
        <w:t>日期：</w:t>
      </w:r>
      <w:r>
        <w:rPr>
          <w:rFonts w:hint="eastAsia" w:ascii="仿宋" w:hAnsi="仿宋" w:eastAsia="仿宋" w:cs="仿宋"/>
          <w:bCs/>
          <w:kern w:val="0"/>
          <w:sz w:val="24"/>
          <w:szCs w:val="24"/>
        </w:rPr>
        <w:br w:type="page"/>
      </w:r>
    </w:p>
    <w:p>
      <w:pPr>
        <w:pStyle w:val="4"/>
        <w:pageBreakBefore w:val="0"/>
        <w:kinsoku/>
        <w:overflowPunct/>
        <w:topLinePunct w:val="0"/>
        <w:autoSpaceDE/>
        <w:autoSpaceDN/>
        <w:bidi w:val="0"/>
        <w:spacing w:line="560" w:lineRule="exact"/>
        <w:ind w:left="0" w:leftChars="0" w:firstLine="0" w:firstLineChars="0"/>
        <w:jc w:val="left"/>
        <w:rPr>
          <w:rFonts w:hint="eastAsia" w:ascii="仿宋" w:hAnsi="仿宋" w:eastAsia="仿宋" w:cs="仿宋"/>
          <w:b w:val="0"/>
          <w:bCs/>
          <w:sz w:val="24"/>
          <w:szCs w:val="24"/>
          <w:highlight w:val="none"/>
          <w:lang w:val="zh-CN"/>
        </w:rPr>
      </w:pPr>
      <w:bookmarkStart w:id="51" w:name="_Toc32752"/>
      <w:r>
        <w:rPr>
          <w:rFonts w:hint="eastAsia" w:ascii="仿宋" w:hAnsi="仿宋" w:eastAsia="仿宋" w:cs="仿宋"/>
          <w:b w:val="0"/>
          <w:bCs/>
          <w:sz w:val="24"/>
          <w:szCs w:val="24"/>
          <w:highlight w:val="none"/>
          <w:lang w:val="zh-CN"/>
        </w:rPr>
        <w:t>格式</w:t>
      </w:r>
      <w:r>
        <w:rPr>
          <w:rFonts w:hint="eastAsia" w:ascii="仿宋" w:hAnsi="仿宋" w:eastAsia="仿宋" w:cs="仿宋"/>
          <w:b w:val="0"/>
          <w:bCs/>
          <w:sz w:val="24"/>
          <w:szCs w:val="24"/>
          <w:highlight w:val="none"/>
          <w:lang w:val="en-US" w:eastAsia="zh-CN"/>
        </w:rPr>
        <w:t>5</w:t>
      </w:r>
      <w:r>
        <w:rPr>
          <w:rFonts w:hint="eastAsia" w:ascii="仿宋" w:hAnsi="仿宋" w:eastAsia="仿宋" w:cs="仿宋"/>
          <w:b w:val="0"/>
          <w:bCs/>
          <w:sz w:val="24"/>
          <w:szCs w:val="24"/>
          <w:highlight w:val="none"/>
          <w:lang w:val="zh-CN"/>
        </w:rPr>
        <w:t>：承诺函</w:t>
      </w:r>
      <w:bookmarkEnd w:id="46"/>
      <w:bookmarkEnd w:id="51"/>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32"/>
          <w:szCs w:val="32"/>
          <w:highlight w:val="none"/>
        </w:rPr>
      </w:pPr>
      <w:r>
        <w:rPr>
          <w:rFonts w:hint="eastAsia" w:ascii="仿宋" w:hAnsi="仿宋" w:eastAsia="仿宋" w:cs="仿宋"/>
          <w:b/>
          <w:bCs w:val="0"/>
          <w:sz w:val="32"/>
          <w:szCs w:val="32"/>
          <w:highlight w:val="none"/>
        </w:rPr>
        <w:t>承诺函</w:t>
      </w:r>
    </w:p>
    <w:p>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致 深圳市鹏劳人力资源管理有限公司：</w:t>
      </w:r>
    </w:p>
    <w:p>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我司有意参与贵司【</w:t>
      </w:r>
      <w:r>
        <w:rPr>
          <w:rFonts w:hint="eastAsia" w:ascii="仿宋" w:hAnsi="仿宋" w:eastAsia="仿宋" w:cs="仿宋"/>
          <w:b w:val="0"/>
          <w:bCs/>
          <w:sz w:val="24"/>
          <w:szCs w:val="24"/>
          <w:highlight w:val="none"/>
          <w:u w:val="single"/>
          <w:lang w:eastAsia="zh-CN"/>
        </w:rPr>
        <w:t>员工健康体检服务采购</w:t>
      </w: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eastAsia="zh-CN"/>
        </w:rPr>
        <w:t>（项目编号</w:t>
      </w:r>
      <w:r>
        <w:rPr>
          <w:rFonts w:hint="eastAsia" w:ascii="仿宋" w:hAnsi="仿宋" w:eastAsia="仿宋" w:cs="仿宋"/>
          <w:b w:val="0"/>
          <w:bCs/>
          <w:sz w:val="24"/>
          <w:szCs w:val="24"/>
          <w:highlight w:val="none"/>
          <w:lang w:val="en-US" w:eastAsia="zh-CN"/>
        </w:rPr>
        <w:t>PLHR-ZB-FW-20220401</w:t>
      </w:r>
      <w:r>
        <w:rPr>
          <w:rFonts w:hint="eastAsia" w:ascii="仿宋" w:hAnsi="仿宋" w:eastAsia="仿宋" w:cs="仿宋"/>
          <w:b w:val="0"/>
          <w:bCs/>
          <w:sz w:val="24"/>
          <w:szCs w:val="24"/>
          <w:highlight w:val="none"/>
          <w:lang w:eastAsia="zh-CN"/>
        </w:rPr>
        <w:t>）</w:t>
      </w:r>
      <w:r>
        <w:rPr>
          <w:rFonts w:hint="eastAsia" w:ascii="仿宋" w:hAnsi="仿宋" w:eastAsia="仿宋" w:cs="仿宋"/>
          <w:b w:val="0"/>
          <w:bCs/>
          <w:sz w:val="24"/>
          <w:szCs w:val="24"/>
          <w:highlight w:val="none"/>
        </w:rPr>
        <w:t>投标，为保证招投标工作的公平公正及充分竞争，在此，我司郑重承诺如下：</w:t>
      </w:r>
    </w:p>
    <w:p>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一、我司承诺在投标过程中对于如下行为坚决抵制并向贵司及时通报：</w:t>
      </w:r>
    </w:p>
    <w:p>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1.招标人或招标相关单位人员利用职务上的便利，自行或通过他人向我司推荐供应商（分包商）；</w:t>
      </w:r>
    </w:p>
    <w:p>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2.其他投标参与方自行或委托他人私下与我司联系串通投标事宜；</w:t>
      </w:r>
    </w:p>
    <w:p>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3.招标人、及招标相关单位的人员在招标投标过程中，人为设置障碍，索要或暗示索要现金、股票、股权、各种有价证券、支付凭证或贵重物品等。</w:t>
      </w:r>
    </w:p>
    <w:p>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二、我司承诺依法合规参与本项目竞争，严格本公司投标代表及相关员工管理，具体内容如下：</w:t>
      </w:r>
    </w:p>
    <w:p>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1.我司不会以任何理由任何方式进行串通投标等不正当竞争的违法违规行为；</w:t>
      </w:r>
    </w:p>
    <w:p>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2.我司或我司员工不以任何理由任何方式，向贵司、及招标相关单位的人员赠送现金、股票、股权、各种有价证券、支付凭证或贵重物品等；</w:t>
      </w:r>
    </w:p>
    <w:p>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3.我司或我司员工不以任何理由任何方式，向贵司、及招标相关单位的人员发出健身、娱乐活动的邀请，或对贵司及招标相关单位的人员进行超标准接待；</w:t>
      </w:r>
    </w:p>
    <w:p>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4.参与贵司项目投标及与投标相关的交流调研过程中，我司保证向贵司所提供信息的真实性和准确性，且不会将拟投标项目进行任何形式的转包或挂靠。</w:t>
      </w:r>
    </w:p>
    <w:p>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5.参与贵司招标项目投标过程中，我司承诺所有招标相关信息交流在工作场所公开进行，文件传递应通过公司传真或工作邮箱。不私下打探招标项目非公开信息（如其他投标人信息、标底详细信息、评标专家信息、评标过程信息等），不与贵司、及招标相关单位的人员就招标相关信息进行私下商谈或者达成利益默契。</w:t>
      </w:r>
    </w:p>
    <w:p>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6.我司及我司派出的投标代表及工作人员授权贵司对本项目下我司投标工作进行监督，在贵司办公场所内合理使用包括录音录像、派员监督等手段开展监督工作。</w:t>
      </w:r>
    </w:p>
    <w:p>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7.如果我司中标，将严格遵照本项目招标文件需求、投标承诺及合同约定做到诚信履约，为贵司提供最优服务；</w:t>
      </w:r>
    </w:p>
    <w:p>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8.我司已认真核实了投标文件的全部资料，所有资料均为真实资料。我公司对投标文件中全部投标资料的真实性负责。</w:t>
      </w:r>
    </w:p>
    <w:p>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以上承诺，如有违反，我司将配合贵司进行调查和严肃处理，并自行承担不能参与本项目投标或承包本项目的资格、以及今后可能不能参加贵司其他项目的投标、无法进入贵司供应商库等一切不利后果，并承担由此给贵司带来的损失。</w:t>
      </w:r>
    </w:p>
    <w:p>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p>
    <w:p>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p>
    <w:p>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p>
    <w:p>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p>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b w:val="0"/>
          <w:bCs/>
          <w:kern w:val="0"/>
          <w:sz w:val="24"/>
          <w:szCs w:val="24"/>
          <w:highlight w:val="none"/>
        </w:rPr>
      </w:pPr>
      <w:r>
        <w:rPr>
          <w:rFonts w:hint="eastAsia" w:ascii="仿宋" w:hAnsi="仿宋" w:eastAsia="仿宋" w:cs="仿宋"/>
          <w:b w:val="0"/>
          <w:bCs/>
          <w:kern w:val="0"/>
          <w:sz w:val="24"/>
          <w:szCs w:val="24"/>
          <w:highlight w:val="none"/>
        </w:rPr>
        <w:t>投标</w:t>
      </w:r>
      <w:r>
        <w:rPr>
          <w:rFonts w:hint="eastAsia" w:ascii="仿宋" w:hAnsi="仿宋" w:eastAsia="仿宋" w:cs="仿宋"/>
          <w:b w:val="0"/>
          <w:bCs/>
          <w:kern w:val="0"/>
          <w:sz w:val="24"/>
          <w:szCs w:val="24"/>
          <w:highlight w:val="none"/>
          <w:lang w:eastAsia="zh-CN"/>
        </w:rPr>
        <w:t>人</w:t>
      </w:r>
      <w:r>
        <w:rPr>
          <w:rFonts w:hint="eastAsia" w:ascii="仿宋" w:hAnsi="仿宋" w:eastAsia="仿宋" w:cs="仿宋"/>
          <w:b w:val="0"/>
          <w:bCs/>
          <w:kern w:val="0"/>
          <w:sz w:val="24"/>
          <w:szCs w:val="24"/>
          <w:highlight w:val="none"/>
        </w:rPr>
        <w:t>（公章）：</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b w:val="0"/>
          <w:bCs/>
          <w:kern w:val="0"/>
          <w:sz w:val="24"/>
          <w:szCs w:val="24"/>
          <w:highlight w:val="none"/>
        </w:rPr>
      </w:pPr>
      <w:r>
        <w:rPr>
          <w:rFonts w:hint="eastAsia" w:ascii="仿宋" w:hAnsi="仿宋" w:eastAsia="仿宋" w:cs="仿宋"/>
          <w:b w:val="0"/>
          <w:bCs/>
          <w:kern w:val="0"/>
          <w:sz w:val="24"/>
          <w:szCs w:val="24"/>
          <w:highlight w:val="none"/>
        </w:rPr>
        <w:t>法定代表人（法定授权代表人）签名：</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b w:val="0"/>
          <w:bCs/>
          <w:sz w:val="24"/>
          <w:szCs w:val="24"/>
          <w:highlight w:val="none"/>
        </w:rPr>
      </w:pPr>
      <w:r>
        <w:rPr>
          <w:rFonts w:hint="eastAsia" w:ascii="仿宋" w:hAnsi="仿宋" w:eastAsia="仿宋" w:cs="仿宋"/>
          <w:b w:val="0"/>
          <w:bCs/>
          <w:kern w:val="0"/>
          <w:sz w:val="24"/>
          <w:szCs w:val="24"/>
          <w:highlight w:val="none"/>
        </w:rPr>
        <w:t>日期：</w:t>
      </w:r>
    </w:p>
    <w:sectPr>
      <w:headerReference r:id="rId9" w:type="default"/>
      <w:footerReference r:id="rId10" w:type="default"/>
      <w:pgSz w:w="11906" w:h="16838"/>
      <w:pgMar w:top="1440" w:right="1274" w:bottom="1135" w:left="1418" w:header="851" w:footer="274" w:gutter="0"/>
      <w:pgBorders>
        <w:top w:val="none" w:sz="0" w:space="0"/>
        <w:left w:val="none" w:sz="0" w:space="0"/>
        <w:bottom w:val="none" w:sz="0" w:space="0"/>
        <w:right w:val="none" w:sz="0" w:space="0"/>
      </w:pgBorders>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tUyEMkBAACZAwAADgAAAGRycy9lMm9Eb2MueG1srVPNjtMwEL4j8Q6W&#10;79TZC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W1TIQyQEAAJkDAAAOAAAAAAAAAAEAIAAAAB4BAABkcnMvZTJvRG9j&#10;LnhtbFBLBQYAAAAABgAGAFkBAABZBQAAAAA=&#10;">
              <v:fill on="f" focussize="0,0"/>
              <v:stroke on="f"/>
              <v:imagedata o:title=""/>
              <o:lock v:ext="edit" aspectratio="f"/>
              <v:textbox inset="0mm,0mm,0mm,0mm" style="mso-fit-shape-to-text:t;">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XXqVLIAQAAmQMAAA4AAAAAAAAAAQAgAAAAHgEAAGRycy9lMm9Eb2Mu&#10;eG1sUEsFBgAAAAAGAAYAWQEAAFgFAAAAAA==&#10;">
              <v:fill on="f" focussize="0,0"/>
              <v:stroke on="f"/>
              <v:imagedata o:title=""/>
              <o:lock v:ext="edit" aspectratio="f"/>
              <v:textbox inset="0mm,0mm,0mm,0mm" style="mso-fit-shape-to-text:t;">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rPr>
                              <w:rFonts w:hint="eastAsia" w:eastAsiaTheme="minorEastAsia"/>
                              <w:lang w:eastAsia="zh-CN"/>
                            </w:rPr>
                          </w:pPr>
                          <w:r>
                            <w:rPr>
                              <w:rFonts w:hint="eastAsia" w:eastAsiaTheme="minorEastAsia"/>
                              <w:lang w:eastAsia="zh-CN"/>
                            </w:rPr>
                            <w:fldChar w:fldCharType="begin"/>
                          </w:r>
                          <w:r>
                            <w:rPr>
                              <w:rFonts w:hint="eastAsia" w:eastAsiaTheme="minorEastAsia"/>
                              <w:lang w:eastAsia="zh-CN"/>
                            </w:rPr>
                            <w:instrText xml:space="preserve"> PAGE  \* MERGEFORMAT </w:instrText>
                          </w:r>
                          <w:r>
                            <w:rPr>
                              <w:rFonts w:hint="eastAsia" w:eastAsiaTheme="minorEastAsia"/>
                              <w:lang w:eastAsia="zh-CN"/>
                            </w:rPr>
                            <w:fldChar w:fldCharType="separate"/>
                          </w:r>
                          <w:r>
                            <w:rPr>
                              <w:rFonts w:hint="eastAsia" w:eastAsiaTheme="minorEastAsia"/>
                              <w:lang w:eastAsia="zh-CN"/>
                            </w:rPr>
                            <w:t>2</w:t>
                          </w:r>
                          <w:r>
                            <w:rPr>
                              <w:rFonts w:hint="eastAsia" w:eastAsiaTheme="minor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pPr>
                      <w:pStyle w:val="9"/>
                      <w:rPr>
                        <w:rFonts w:hint="eastAsia" w:eastAsiaTheme="minorEastAsia"/>
                        <w:lang w:eastAsia="zh-CN"/>
                      </w:rPr>
                    </w:pPr>
                    <w:r>
                      <w:rPr>
                        <w:rFonts w:hint="eastAsia" w:eastAsiaTheme="minorEastAsia"/>
                        <w:lang w:eastAsia="zh-CN"/>
                      </w:rPr>
                      <w:fldChar w:fldCharType="begin"/>
                    </w:r>
                    <w:r>
                      <w:rPr>
                        <w:rFonts w:hint="eastAsia" w:eastAsiaTheme="minorEastAsia"/>
                        <w:lang w:eastAsia="zh-CN"/>
                      </w:rPr>
                      <w:instrText xml:space="preserve"> PAGE  \* MERGEFORMAT </w:instrText>
                    </w:r>
                    <w:r>
                      <w:rPr>
                        <w:rFonts w:hint="eastAsia" w:eastAsiaTheme="minorEastAsia"/>
                        <w:lang w:eastAsia="zh-CN"/>
                      </w:rPr>
                      <w:fldChar w:fldCharType="separate"/>
                    </w:r>
                    <w:r>
                      <w:rPr>
                        <w:rFonts w:hint="eastAsia" w:eastAsiaTheme="minorEastAsia"/>
                        <w:lang w:eastAsia="zh-CN"/>
                      </w:rPr>
                      <w:t>2</w:t>
                    </w:r>
                    <w:r>
                      <w:rPr>
                        <w:rFonts w:hint="eastAsia" w:eastAsiaTheme="minor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rPr>
                              <w:rFonts w:hint="eastAsia" w:eastAsiaTheme="minorEastAsia"/>
                              <w:lang w:eastAsia="zh-CN"/>
                            </w:rPr>
                          </w:pPr>
                          <w:r>
                            <w:rPr>
                              <w:rFonts w:hint="eastAsia" w:eastAsiaTheme="minorEastAsia"/>
                              <w:lang w:eastAsia="zh-CN"/>
                            </w:rPr>
                            <w:fldChar w:fldCharType="begin"/>
                          </w:r>
                          <w:r>
                            <w:rPr>
                              <w:rFonts w:hint="eastAsia" w:eastAsiaTheme="minorEastAsia"/>
                              <w:lang w:eastAsia="zh-CN"/>
                            </w:rPr>
                            <w:instrText xml:space="preserve"> PAGE  \* MERGEFORMAT </w:instrText>
                          </w:r>
                          <w:r>
                            <w:rPr>
                              <w:rFonts w:hint="eastAsia" w:eastAsiaTheme="minorEastAsia"/>
                              <w:lang w:eastAsia="zh-CN"/>
                            </w:rPr>
                            <w:fldChar w:fldCharType="separate"/>
                          </w:r>
                          <w:r>
                            <w:rPr>
                              <w:rFonts w:hint="eastAsia" w:eastAsiaTheme="minorEastAsia"/>
                              <w:lang w:eastAsia="zh-CN"/>
                            </w:rPr>
                            <w:t>20</w:t>
                          </w:r>
                          <w:r>
                            <w:rPr>
                              <w:rFonts w:hint="eastAsia" w:eastAsiaTheme="minor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9"/>
                      <w:rPr>
                        <w:rFonts w:hint="eastAsia" w:eastAsiaTheme="minorEastAsia"/>
                        <w:lang w:eastAsia="zh-CN"/>
                      </w:rPr>
                    </w:pPr>
                    <w:r>
                      <w:rPr>
                        <w:rFonts w:hint="eastAsia" w:eastAsiaTheme="minorEastAsia"/>
                        <w:lang w:eastAsia="zh-CN"/>
                      </w:rPr>
                      <w:fldChar w:fldCharType="begin"/>
                    </w:r>
                    <w:r>
                      <w:rPr>
                        <w:rFonts w:hint="eastAsia" w:eastAsiaTheme="minorEastAsia"/>
                        <w:lang w:eastAsia="zh-CN"/>
                      </w:rPr>
                      <w:instrText xml:space="preserve"> PAGE  \* MERGEFORMAT </w:instrText>
                    </w:r>
                    <w:r>
                      <w:rPr>
                        <w:rFonts w:hint="eastAsia" w:eastAsiaTheme="minorEastAsia"/>
                        <w:lang w:eastAsia="zh-CN"/>
                      </w:rPr>
                      <w:fldChar w:fldCharType="separate"/>
                    </w:r>
                    <w:r>
                      <w:rPr>
                        <w:rFonts w:hint="eastAsia" w:eastAsiaTheme="minorEastAsia"/>
                        <w:lang w:eastAsia="zh-CN"/>
                      </w:rPr>
                      <w:t>20</w:t>
                    </w:r>
                    <w:r>
                      <w:rPr>
                        <w:rFonts w:hint="eastAsia" w:eastAsiaTheme="minor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323"/>
      </w:tabs>
      <w:jc w:val="right"/>
      <w:rPr>
        <w:rFonts w:hint="eastAsia" w:asciiTheme="minorEastAsia" w:hAnsiTheme="minorEastAsia" w:eastAsiaTheme="minorEastAsia"/>
        <w:b/>
        <w:lang w:eastAsia="zh-CN"/>
      </w:rPr>
    </w:pPr>
    <w:r>
      <w:drawing>
        <wp:anchor distT="0" distB="0" distL="114300" distR="114300" simplePos="0" relativeHeight="251660288" behindDoc="0" locked="0" layoutInCell="1" allowOverlap="1">
          <wp:simplePos x="0" y="0"/>
          <wp:positionH relativeFrom="column">
            <wp:posOffset>20955</wp:posOffset>
          </wp:positionH>
          <wp:positionV relativeFrom="paragraph">
            <wp:posOffset>-69850</wp:posOffset>
          </wp:positionV>
          <wp:extent cx="1701800" cy="202565"/>
          <wp:effectExtent l="0" t="0" r="12700" b="6985"/>
          <wp:wrapNone/>
          <wp:docPr id="5" name="Picture 1" descr="鹏劳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鹏劳标志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01800" cy="202565"/>
                  </a:xfrm>
                  <a:prstGeom prst="rect">
                    <a:avLst/>
                  </a:prstGeom>
                  <a:noFill/>
                  <a:ln>
                    <a:noFill/>
                  </a:ln>
                </pic:spPr>
              </pic:pic>
            </a:graphicData>
          </a:graphic>
        </wp:anchor>
      </w:drawing>
    </w:r>
    <w:r>
      <w:tab/>
    </w:r>
    <w:r>
      <w:tab/>
    </w:r>
    <w:r>
      <w:rPr>
        <w:rFonts w:hint="eastAsia"/>
      </w:rPr>
      <w:t xml:space="preserve">                   </w:t>
    </w:r>
    <w:r>
      <w:rPr>
        <w:rFonts w:hint="eastAsia" w:asciiTheme="minorEastAsia" w:hAnsiTheme="minorEastAsia" w:eastAsiaTheme="minorEastAsia"/>
        <w:b/>
      </w:rPr>
      <w:t xml:space="preserve"> </w:t>
    </w:r>
    <w:r>
      <w:rPr>
        <w:rFonts w:hint="eastAsia" w:asciiTheme="minorEastAsia" w:hAnsiTheme="minorEastAsia" w:eastAsiaTheme="minorEastAsia"/>
        <w:b/>
        <w:sz w:val="20"/>
      </w:rPr>
      <w:t>PLHR-ZB-FW-20200</w:t>
    </w:r>
    <w:r>
      <w:rPr>
        <w:rFonts w:hint="eastAsia" w:asciiTheme="minorEastAsia" w:hAnsiTheme="minorEastAsia" w:eastAsiaTheme="minorEastAsia"/>
        <w:b/>
        <w:sz w:val="20"/>
        <w:lang w:val="en-US" w:eastAsia="zh-CN"/>
      </w:rPr>
      <w:t>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rFonts w:hint="default" w:ascii="宋体" w:hAnsi="宋体" w:eastAsia="宋体" w:cs="宋体"/>
        <w:b/>
        <w:bCs/>
        <w:sz w:val="21"/>
        <w:szCs w:val="21"/>
        <w:lang w:val="en-US" w:eastAsia="zh-CN"/>
      </w:rPr>
    </w:pPr>
    <w:r>
      <w:drawing>
        <wp:anchor distT="0" distB="0" distL="114300" distR="114300" simplePos="0" relativeHeight="251659264" behindDoc="0" locked="0" layoutInCell="1" allowOverlap="1">
          <wp:simplePos x="0" y="0"/>
          <wp:positionH relativeFrom="column">
            <wp:posOffset>-46355</wp:posOffset>
          </wp:positionH>
          <wp:positionV relativeFrom="paragraph">
            <wp:posOffset>-95250</wp:posOffset>
          </wp:positionV>
          <wp:extent cx="1704975" cy="200025"/>
          <wp:effectExtent l="0" t="0" r="9525" b="9525"/>
          <wp:wrapNone/>
          <wp:docPr id="2" name="Picture 1" descr="鹏劳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鹏劳标志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04975" cy="200025"/>
                  </a:xfrm>
                  <a:prstGeom prst="rect">
                    <a:avLst/>
                  </a:prstGeom>
                  <a:noFill/>
                  <a:ln>
                    <a:noFill/>
                  </a:ln>
                </pic:spPr>
              </pic:pic>
            </a:graphicData>
          </a:graphic>
        </wp:anchor>
      </w:drawing>
    </w:r>
    <w:r>
      <w:rPr>
        <w:rFonts w:hint="eastAsia"/>
      </w:rPr>
      <w:t xml:space="preserve">                                                                  </w:t>
    </w:r>
    <w:r>
      <w:rPr>
        <w:rFonts w:hint="eastAsia" w:ascii="宋体" w:hAnsi="宋体" w:eastAsia="宋体" w:cs="宋体"/>
        <w:b/>
        <w:bCs/>
        <w:lang w:val="en-US" w:eastAsia="zh-CN"/>
      </w:rPr>
      <w:t>PLHR-ZB-FW-202</w:t>
    </w:r>
    <w:r>
      <w:rPr>
        <w:rFonts w:hint="eastAsia" w:ascii="宋体" w:hAnsi="宋体" w:cs="宋体"/>
        <w:b/>
        <w:bCs/>
        <w:lang w:val="en-US" w:eastAsia="zh-CN"/>
      </w:rPr>
      <w:t>20401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323"/>
      </w:tabs>
      <w:jc w:val="right"/>
      <w:rPr>
        <w:rFonts w:hint="default" w:asciiTheme="minorEastAsia" w:hAnsiTheme="minorEastAsia" w:eastAsiaTheme="minorEastAsia"/>
        <w:b/>
        <w:sz w:val="20"/>
        <w:lang w:val="en-US" w:eastAsia="zh-CN"/>
      </w:rPr>
    </w:pPr>
    <w:r>
      <w:drawing>
        <wp:anchor distT="0" distB="0" distL="114300" distR="114300" simplePos="0" relativeHeight="251660288" behindDoc="0" locked="0" layoutInCell="1" allowOverlap="1">
          <wp:simplePos x="0" y="0"/>
          <wp:positionH relativeFrom="column">
            <wp:posOffset>20955</wp:posOffset>
          </wp:positionH>
          <wp:positionV relativeFrom="paragraph">
            <wp:posOffset>-69850</wp:posOffset>
          </wp:positionV>
          <wp:extent cx="1701800" cy="202565"/>
          <wp:effectExtent l="0" t="0" r="12700" b="6985"/>
          <wp:wrapNone/>
          <wp:docPr id="1" name="Picture 1" descr="鹏劳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鹏劳标志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01800" cy="202565"/>
                  </a:xfrm>
                  <a:prstGeom prst="rect">
                    <a:avLst/>
                  </a:prstGeom>
                  <a:noFill/>
                  <a:ln>
                    <a:noFill/>
                  </a:ln>
                </pic:spPr>
              </pic:pic>
            </a:graphicData>
          </a:graphic>
        </wp:anchor>
      </w:drawing>
    </w:r>
    <w:r>
      <w:tab/>
    </w:r>
    <w:r>
      <w:tab/>
    </w:r>
    <w:r>
      <w:rPr>
        <w:rFonts w:hint="eastAsia"/>
      </w:rPr>
      <w:t xml:space="preserve">                   </w:t>
    </w:r>
    <w:r>
      <w:rPr>
        <w:rFonts w:hint="eastAsia" w:asciiTheme="minorEastAsia" w:hAnsiTheme="minorEastAsia" w:eastAsiaTheme="minorEastAsia"/>
        <w:b/>
      </w:rPr>
      <w:t xml:space="preserve"> </w:t>
    </w:r>
    <w:r>
      <w:rPr>
        <w:rFonts w:hint="eastAsia" w:asciiTheme="minorEastAsia" w:hAnsiTheme="minorEastAsia" w:eastAsiaTheme="minorEastAsia"/>
        <w:b/>
        <w:sz w:val="20"/>
      </w:rPr>
      <w:t>PLHR-ZB-FW-202</w:t>
    </w:r>
    <w:r>
      <w:rPr>
        <w:rFonts w:hint="eastAsia" w:asciiTheme="minorEastAsia" w:hAnsiTheme="minorEastAsia" w:eastAsiaTheme="minorEastAsia"/>
        <w:b/>
        <w:sz w:val="20"/>
        <w:lang w:val="en-US" w:eastAsia="zh-CN"/>
      </w:rPr>
      <w:t>20401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323"/>
      </w:tabs>
      <w:jc w:val="right"/>
      <w:rPr>
        <w:rFonts w:hint="default" w:asciiTheme="minorEastAsia" w:hAnsiTheme="minorEastAsia" w:eastAsiaTheme="minorEastAsia"/>
        <w:b/>
        <w:lang w:val="en-US" w:eastAsia="zh-CN"/>
      </w:rPr>
    </w:pPr>
    <w:r>
      <w:rPr>
        <w:rFonts w:ascii="宋体" w:hAnsi="宋体"/>
      </w:rPr>
      <w:drawing>
        <wp:anchor distT="0" distB="0" distL="114300" distR="114300" simplePos="0" relativeHeight="251663360" behindDoc="0" locked="0" layoutInCell="1" allowOverlap="1">
          <wp:simplePos x="0" y="0"/>
          <wp:positionH relativeFrom="column">
            <wp:posOffset>52070</wp:posOffset>
          </wp:positionH>
          <wp:positionV relativeFrom="paragraph">
            <wp:posOffset>-121285</wp:posOffset>
          </wp:positionV>
          <wp:extent cx="1701800" cy="202565"/>
          <wp:effectExtent l="19050" t="0" r="0" b="0"/>
          <wp:wrapNone/>
          <wp:docPr id="3" name="Picture 1" descr="鹏劳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鹏劳标志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01800" cy="202565"/>
                  </a:xfrm>
                  <a:prstGeom prst="rect">
                    <a:avLst/>
                  </a:prstGeom>
                  <a:noFill/>
                  <a:ln>
                    <a:noFill/>
                  </a:ln>
                </pic:spPr>
              </pic:pic>
            </a:graphicData>
          </a:graphic>
        </wp:anchor>
      </w:drawing>
    </w:r>
    <w:r>
      <w:rPr>
        <w:rFonts w:hint="eastAsia" w:ascii="宋体" w:hAnsi="宋体"/>
      </w:rPr>
      <w:t xml:space="preserve">                                                                      </w:t>
    </w:r>
    <w:r>
      <w:rPr>
        <w:rFonts w:hint="eastAsia"/>
      </w:rPr>
      <w:t xml:space="preserve"> </w:t>
    </w:r>
    <w:r>
      <w:rPr>
        <w:rFonts w:hint="eastAsia" w:asciiTheme="minorEastAsia" w:hAnsiTheme="minorEastAsia" w:eastAsiaTheme="minorEastAsia"/>
        <w:b/>
      </w:rPr>
      <w:t xml:space="preserve"> </w:t>
    </w:r>
    <w:r>
      <w:rPr>
        <w:rFonts w:hint="eastAsia" w:asciiTheme="minorEastAsia" w:hAnsiTheme="minorEastAsia" w:eastAsiaTheme="minorEastAsia"/>
        <w:b/>
        <w:sz w:val="20"/>
      </w:rPr>
      <w:t>PLHR-ZB-FW-202</w:t>
    </w:r>
    <w:r>
      <w:rPr>
        <w:rFonts w:hint="eastAsia" w:asciiTheme="minorEastAsia" w:hAnsiTheme="minorEastAsia" w:eastAsiaTheme="minorEastAsia"/>
        <w:b/>
        <w:sz w:val="20"/>
        <w:lang w:val="en-US" w:eastAsia="zh-CN"/>
      </w:rPr>
      <w:t>20401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E676F2"/>
    <w:multiLevelType w:val="singleLevel"/>
    <w:tmpl w:val="82E676F2"/>
    <w:lvl w:ilvl="0" w:tentative="0">
      <w:start w:val="2"/>
      <w:numFmt w:val="chineseCounting"/>
      <w:suff w:val="nothing"/>
      <w:lvlText w:val="（%1）"/>
      <w:lvlJc w:val="left"/>
      <w:rPr>
        <w:rFonts w:hint="eastAsia"/>
      </w:rPr>
    </w:lvl>
  </w:abstractNum>
  <w:abstractNum w:abstractNumId="1">
    <w:nsid w:val="864B08D5"/>
    <w:multiLevelType w:val="singleLevel"/>
    <w:tmpl w:val="864B08D5"/>
    <w:lvl w:ilvl="0" w:tentative="0">
      <w:start w:val="2"/>
      <w:numFmt w:val="chineseCounting"/>
      <w:suff w:val="nothing"/>
      <w:lvlText w:val="（%1）"/>
      <w:lvlJc w:val="left"/>
      <w:pPr>
        <w:tabs>
          <w:tab w:val="left" w:pos="0"/>
        </w:tabs>
      </w:pPr>
      <w:rPr>
        <w:rFonts w:hint="eastAsia" w:ascii="楷体" w:hAnsi="楷体" w:eastAsia="楷体" w:cs="楷体"/>
        <w:sz w:val="32"/>
        <w:szCs w:val="32"/>
      </w:rPr>
    </w:lvl>
  </w:abstractNum>
  <w:abstractNum w:abstractNumId="2">
    <w:nsid w:val="9D8A953A"/>
    <w:multiLevelType w:val="singleLevel"/>
    <w:tmpl w:val="9D8A953A"/>
    <w:lvl w:ilvl="0" w:tentative="0">
      <w:start w:val="1"/>
      <w:numFmt w:val="chineseCounting"/>
      <w:suff w:val="nothing"/>
      <w:lvlText w:val="（%1）"/>
      <w:lvlJc w:val="left"/>
      <w:pPr>
        <w:ind w:left="0" w:firstLine="420"/>
      </w:pPr>
      <w:rPr>
        <w:rFonts w:hint="eastAsia"/>
      </w:rPr>
    </w:lvl>
  </w:abstractNum>
  <w:abstractNum w:abstractNumId="3">
    <w:nsid w:val="F2F117D0"/>
    <w:multiLevelType w:val="singleLevel"/>
    <w:tmpl w:val="F2F117D0"/>
    <w:lvl w:ilvl="0" w:tentative="0">
      <w:start w:val="1"/>
      <w:numFmt w:val="decimal"/>
      <w:lvlText w:val="%1)"/>
      <w:lvlJc w:val="left"/>
      <w:pPr>
        <w:tabs>
          <w:tab w:val="left" w:pos="312"/>
        </w:tabs>
      </w:pPr>
    </w:lvl>
  </w:abstractNum>
  <w:abstractNum w:abstractNumId="4">
    <w:nsid w:val="F79DA8BD"/>
    <w:multiLevelType w:val="singleLevel"/>
    <w:tmpl w:val="F79DA8BD"/>
    <w:lvl w:ilvl="0" w:tentative="0">
      <w:start w:val="1"/>
      <w:numFmt w:val="decimal"/>
      <w:suff w:val="nothing"/>
      <w:lvlText w:val="%1．"/>
      <w:lvlJc w:val="left"/>
      <w:pPr>
        <w:ind w:left="0" w:firstLine="400"/>
      </w:pPr>
      <w:rPr>
        <w:rFonts w:hint="default" w:ascii="仿宋" w:hAnsi="仿宋" w:eastAsia="仿宋" w:cs="仿宋"/>
      </w:rPr>
    </w:lvl>
  </w:abstractNum>
  <w:abstractNum w:abstractNumId="5">
    <w:nsid w:val="44B35821"/>
    <w:multiLevelType w:val="singleLevel"/>
    <w:tmpl w:val="44B35821"/>
    <w:lvl w:ilvl="0" w:tentative="0">
      <w:start w:val="2"/>
      <w:numFmt w:val="chineseCounting"/>
      <w:suff w:val="nothing"/>
      <w:lvlText w:val="（%1）"/>
      <w:lvlJc w:val="left"/>
      <w:rPr>
        <w:rFonts w:hint="eastAsia" w:ascii="楷体" w:hAnsi="楷体" w:eastAsia="楷体" w:cs="楷体"/>
        <w:sz w:val="32"/>
        <w:szCs w:val="32"/>
      </w:rPr>
    </w:lvl>
  </w:abstractNum>
  <w:abstractNum w:abstractNumId="6">
    <w:nsid w:val="44D51A93"/>
    <w:multiLevelType w:val="singleLevel"/>
    <w:tmpl w:val="44D51A93"/>
    <w:lvl w:ilvl="0" w:tentative="0">
      <w:start w:val="1"/>
      <w:numFmt w:val="decimal"/>
      <w:suff w:val="nothing"/>
      <w:lvlText w:val="%1．"/>
      <w:lvlJc w:val="left"/>
      <w:pPr>
        <w:ind w:left="0" w:firstLine="400"/>
      </w:pPr>
      <w:rPr>
        <w:rFonts w:hint="default" w:ascii="仿宋" w:hAnsi="仿宋" w:eastAsia="仿宋" w:cs="仿宋"/>
      </w:rPr>
    </w:lvl>
  </w:abstractNum>
  <w:abstractNum w:abstractNumId="7">
    <w:nsid w:val="658CD543"/>
    <w:multiLevelType w:val="singleLevel"/>
    <w:tmpl w:val="658CD543"/>
    <w:lvl w:ilvl="0" w:tentative="0">
      <w:start w:val="1"/>
      <w:numFmt w:val="chineseCounting"/>
      <w:suff w:val="nothing"/>
      <w:lvlText w:val="（%1）"/>
      <w:lvlJc w:val="left"/>
      <w:pPr>
        <w:ind w:left="0" w:firstLine="420"/>
      </w:pPr>
      <w:rPr>
        <w:rFonts w:hint="eastAsia"/>
      </w:rPr>
    </w:lvl>
  </w:abstractNum>
  <w:num w:numId="1">
    <w:abstractNumId w:val="0"/>
  </w:num>
  <w:num w:numId="2">
    <w:abstractNumId w:val="3"/>
  </w:num>
  <w:num w:numId="3">
    <w:abstractNumId w:val="1"/>
  </w:num>
  <w:num w:numId="4">
    <w:abstractNumId w:val="5"/>
  </w:num>
  <w:num w:numId="5">
    <w:abstractNumId w:val="7"/>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xM2FhMDM0M2U5OGQ2ODA4NWZmYmM5MzU0ZjJmNjMifQ=="/>
  </w:docVars>
  <w:rsids>
    <w:rsidRoot w:val="54D5111E"/>
    <w:rsid w:val="004F4E3B"/>
    <w:rsid w:val="00596DC2"/>
    <w:rsid w:val="00780429"/>
    <w:rsid w:val="007A3BED"/>
    <w:rsid w:val="00B61DCC"/>
    <w:rsid w:val="043064BE"/>
    <w:rsid w:val="062D1159"/>
    <w:rsid w:val="08743E10"/>
    <w:rsid w:val="0899529E"/>
    <w:rsid w:val="0AA43652"/>
    <w:rsid w:val="0B230CC9"/>
    <w:rsid w:val="0BD87910"/>
    <w:rsid w:val="0E33493E"/>
    <w:rsid w:val="0EF46860"/>
    <w:rsid w:val="129B3361"/>
    <w:rsid w:val="15004E24"/>
    <w:rsid w:val="168C6693"/>
    <w:rsid w:val="18695096"/>
    <w:rsid w:val="1BA35871"/>
    <w:rsid w:val="1F8B28FD"/>
    <w:rsid w:val="216806DC"/>
    <w:rsid w:val="275A6547"/>
    <w:rsid w:val="27D1591C"/>
    <w:rsid w:val="28037CAD"/>
    <w:rsid w:val="296D37AE"/>
    <w:rsid w:val="2B4B1A6A"/>
    <w:rsid w:val="2C8C2CFD"/>
    <w:rsid w:val="2CBD7E51"/>
    <w:rsid w:val="331F4BF5"/>
    <w:rsid w:val="376D5FE8"/>
    <w:rsid w:val="3ADA6F7F"/>
    <w:rsid w:val="3ADD2D66"/>
    <w:rsid w:val="3B8F758F"/>
    <w:rsid w:val="3EAA6D4C"/>
    <w:rsid w:val="41F4042C"/>
    <w:rsid w:val="44F83D3F"/>
    <w:rsid w:val="45C93A36"/>
    <w:rsid w:val="4CEC3B57"/>
    <w:rsid w:val="549C36B3"/>
    <w:rsid w:val="54D5111E"/>
    <w:rsid w:val="559E7982"/>
    <w:rsid w:val="5852060C"/>
    <w:rsid w:val="5C6869A5"/>
    <w:rsid w:val="5EB33D53"/>
    <w:rsid w:val="5FC84046"/>
    <w:rsid w:val="60B06CD0"/>
    <w:rsid w:val="61827A74"/>
    <w:rsid w:val="63A212F2"/>
    <w:rsid w:val="64F007CB"/>
    <w:rsid w:val="651B2134"/>
    <w:rsid w:val="662A1B70"/>
    <w:rsid w:val="686B28E3"/>
    <w:rsid w:val="6A430F9C"/>
    <w:rsid w:val="6EB8321D"/>
    <w:rsid w:val="6FCB4BA5"/>
    <w:rsid w:val="70511590"/>
    <w:rsid w:val="72EE4600"/>
    <w:rsid w:val="77281D83"/>
    <w:rsid w:val="7772105E"/>
    <w:rsid w:val="7C2707B8"/>
    <w:rsid w:val="7F1B7E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qFormat/>
    <w:uiPriority w:val="9"/>
    <w:pPr>
      <w:keepNext/>
      <w:keepLines/>
      <w:spacing w:before="260" w:after="260"/>
      <w:ind w:firstLine="200" w:firstLineChars="200"/>
      <w:outlineLvl w:val="2"/>
    </w:pPr>
    <w:rPr>
      <w:rFonts w:ascii="宋体" w:hAnsi="Times New Roman" w:eastAsia="宋体" w:cs="Times New Roman"/>
      <w:b/>
      <w:bCs/>
      <w:kern w:val="0"/>
      <w:sz w:val="28"/>
      <w:szCs w:val="30"/>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toc 3"/>
    <w:basedOn w:val="1"/>
    <w:next w:val="1"/>
    <w:qFormat/>
    <w:uiPriority w:val="39"/>
    <w:pPr>
      <w:ind w:left="840" w:leftChars="400"/>
    </w:pPr>
  </w:style>
  <w:style w:type="paragraph" w:styleId="7">
    <w:name w:val="Plain Text"/>
    <w:basedOn w:val="1"/>
    <w:qFormat/>
    <w:uiPriority w:val="0"/>
    <w:pPr>
      <w:spacing w:line="400" w:lineRule="exact"/>
      <w:ind w:firstLine="200" w:firstLineChars="200"/>
      <w:contextualSpacing/>
    </w:pPr>
    <w:rPr>
      <w:rFonts w:ascii="宋体" w:hAnsi="Courier New" w:eastAsia="宋体" w:cs="Times New Roman"/>
      <w:kern w:val="0"/>
      <w:sz w:val="24"/>
      <w:szCs w:val="20"/>
    </w:rPr>
  </w:style>
  <w:style w:type="paragraph" w:styleId="8">
    <w:name w:val="Balloon Text"/>
    <w:basedOn w:val="1"/>
    <w:link w:val="28"/>
    <w:qFormat/>
    <w:uiPriority w:val="0"/>
    <w:rPr>
      <w:sz w:val="18"/>
      <w:szCs w:val="18"/>
    </w:rPr>
  </w:style>
  <w:style w:type="paragraph" w:styleId="9">
    <w:name w:val="footer"/>
    <w:basedOn w:val="1"/>
    <w:unhideWhenUsed/>
    <w:qFormat/>
    <w:uiPriority w:val="99"/>
    <w:pPr>
      <w:tabs>
        <w:tab w:val="center" w:pos="4153"/>
        <w:tab w:val="right" w:pos="8306"/>
      </w:tabs>
      <w:snapToGrid w:val="0"/>
      <w:jc w:val="left"/>
    </w:pPr>
    <w:rPr>
      <w:rFonts w:ascii="Calibri" w:hAnsi="Calibri" w:eastAsia="宋体" w:cs="Times New Roman"/>
      <w:kern w:val="0"/>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rFonts w:ascii="Calibri" w:hAnsi="Calibri" w:eastAsia="宋体" w:cs="Times New Roman"/>
      <w:kern w:val="0"/>
      <w:sz w:val="18"/>
      <w:szCs w:val="18"/>
    </w:rPr>
  </w:style>
  <w:style w:type="paragraph" w:styleId="11">
    <w:name w:val="toc 1"/>
    <w:basedOn w:val="1"/>
    <w:next w:val="1"/>
    <w:qFormat/>
    <w:uiPriority w:val="39"/>
    <w:pPr>
      <w:tabs>
        <w:tab w:val="right" w:leader="dot" w:pos="8295"/>
      </w:tabs>
      <w:spacing w:before="120" w:after="120" w:line="360" w:lineRule="auto"/>
      <w:ind w:firstLine="207" w:firstLineChars="98"/>
      <w:jc w:val="left"/>
    </w:pPr>
    <w:rPr>
      <w:rFonts w:ascii="宋体" w:hAnsi="宋体" w:eastAsia="宋体" w:cs="Times New Roman"/>
      <w:b/>
      <w:bCs/>
      <w:caps/>
      <w:kern w:val="0"/>
      <w:szCs w:val="21"/>
    </w:rPr>
  </w:style>
  <w:style w:type="paragraph" w:styleId="12">
    <w:name w:val="Subtitle"/>
    <w:basedOn w:val="1"/>
    <w:next w:val="1"/>
    <w:qFormat/>
    <w:uiPriority w:val="0"/>
    <w:pPr>
      <w:spacing w:before="240" w:after="60" w:line="312" w:lineRule="auto"/>
      <w:ind w:firstLine="360" w:firstLineChars="360"/>
      <w:jc w:val="center"/>
      <w:outlineLvl w:val="1"/>
    </w:pPr>
    <w:rPr>
      <w:rFonts w:ascii="Cambria" w:hAnsi="Cambria" w:eastAsia="宋体" w:cs="Times New Roman"/>
      <w:b/>
      <w:bCs/>
      <w:kern w:val="28"/>
      <w:sz w:val="32"/>
      <w:szCs w:val="32"/>
    </w:rPr>
  </w:style>
  <w:style w:type="paragraph" w:styleId="13">
    <w:name w:val="toc 2"/>
    <w:basedOn w:val="1"/>
    <w:next w:val="1"/>
    <w:qFormat/>
    <w:uiPriority w:val="39"/>
    <w:pPr>
      <w:tabs>
        <w:tab w:val="right" w:leader="dot" w:pos="8295"/>
      </w:tabs>
      <w:spacing w:line="360" w:lineRule="auto"/>
      <w:ind w:left="210"/>
      <w:jc w:val="left"/>
    </w:pPr>
    <w:rPr>
      <w:rFonts w:ascii="宋体" w:hAnsi="宋体" w:eastAsia="宋体" w:cs="Times New Roman"/>
      <w:b/>
      <w:smallCaps/>
      <w:szCs w:val="21"/>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Hyperlink"/>
    <w:basedOn w:val="16"/>
    <w:qFormat/>
    <w:uiPriority w:val="0"/>
    <w:rPr>
      <w:color w:val="0000FF"/>
      <w:u w:val="single"/>
    </w:rPr>
  </w:style>
  <w:style w:type="paragraph" w:styleId="18">
    <w:name w:val="List Paragraph"/>
    <w:basedOn w:val="1"/>
    <w:qFormat/>
    <w:uiPriority w:val="0"/>
    <w:pPr>
      <w:ind w:firstLine="420" w:firstLineChars="200"/>
    </w:pPr>
    <w:rPr>
      <w:rFonts w:ascii="Calibri" w:hAnsi="Calibri" w:eastAsia="宋体" w:cs="Times New Roman"/>
      <w:kern w:val="0"/>
      <w:sz w:val="20"/>
      <w:szCs w:val="20"/>
    </w:rPr>
  </w:style>
  <w:style w:type="character" w:customStyle="1" w:styleId="19">
    <w:name w:val="标题1"/>
    <w:qFormat/>
    <w:uiPriority w:val="0"/>
  </w:style>
  <w:style w:type="paragraph" w:customStyle="1" w:styleId="20">
    <w:name w:val="1"/>
    <w:basedOn w:val="1"/>
    <w:qFormat/>
    <w:uiPriority w:val="0"/>
    <w:pPr>
      <w:spacing w:beforeLines="50" w:afterLines="50"/>
    </w:pPr>
    <w:rPr>
      <w:rFonts w:ascii="微软雅黑" w:hAnsi="微软雅黑" w:eastAsia="微软雅黑"/>
      <w:b/>
      <w:sz w:val="18"/>
      <w:szCs w:val="18"/>
    </w:rPr>
  </w:style>
  <w:style w:type="paragraph" w:customStyle="1" w:styleId="21">
    <w:name w:val="Default Text"/>
    <w:basedOn w:val="1"/>
    <w:qFormat/>
    <w:uiPriority w:val="0"/>
    <w:pPr>
      <w:autoSpaceDE w:val="0"/>
      <w:autoSpaceDN w:val="0"/>
      <w:adjustRightInd w:val="0"/>
      <w:jc w:val="left"/>
    </w:pPr>
    <w:rPr>
      <w:kern w:val="0"/>
      <w:sz w:val="24"/>
      <w:szCs w:val="24"/>
    </w:rPr>
  </w:style>
  <w:style w:type="character" w:customStyle="1" w:styleId="22">
    <w:name w:val="font21"/>
    <w:basedOn w:val="16"/>
    <w:qFormat/>
    <w:uiPriority w:val="0"/>
    <w:rPr>
      <w:rFonts w:hint="default" w:ascii="Arial" w:hAnsi="Arial" w:cs="Arial"/>
      <w:color w:val="000000"/>
      <w:sz w:val="18"/>
      <w:szCs w:val="18"/>
      <w:u w:val="none"/>
    </w:rPr>
  </w:style>
  <w:style w:type="character" w:customStyle="1" w:styleId="23">
    <w:name w:val="font41"/>
    <w:basedOn w:val="16"/>
    <w:qFormat/>
    <w:uiPriority w:val="0"/>
    <w:rPr>
      <w:rFonts w:hint="eastAsia" w:ascii="宋体" w:hAnsi="宋体" w:eastAsia="宋体" w:cs="宋体"/>
      <w:color w:val="000000"/>
      <w:sz w:val="18"/>
      <w:szCs w:val="18"/>
      <w:u w:val="none"/>
    </w:rPr>
  </w:style>
  <w:style w:type="character" w:customStyle="1" w:styleId="24">
    <w:name w:val="font11"/>
    <w:basedOn w:val="16"/>
    <w:qFormat/>
    <w:uiPriority w:val="0"/>
    <w:rPr>
      <w:rFonts w:ascii="Arial" w:hAnsi="Arial" w:cs="Arial"/>
      <w:color w:val="000000"/>
      <w:sz w:val="18"/>
      <w:szCs w:val="18"/>
      <w:u w:val="none"/>
    </w:rPr>
  </w:style>
  <w:style w:type="character" w:customStyle="1" w:styleId="25">
    <w:name w:val="font31"/>
    <w:basedOn w:val="16"/>
    <w:qFormat/>
    <w:uiPriority w:val="0"/>
    <w:rPr>
      <w:rFonts w:hint="eastAsia" w:ascii="宋体" w:hAnsi="宋体" w:eastAsia="宋体" w:cs="宋体"/>
      <w:color w:val="000000"/>
      <w:sz w:val="18"/>
      <w:szCs w:val="18"/>
      <w:u w:val="none"/>
    </w:rPr>
  </w:style>
  <w:style w:type="character" w:customStyle="1" w:styleId="26">
    <w:name w:val="font51"/>
    <w:basedOn w:val="16"/>
    <w:qFormat/>
    <w:uiPriority w:val="0"/>
    <w:rPr>
      <w:rFonts w:hint="default" w:ascii="Times New Roman" w:hAnsi="Times New Roman" w:cs="Times New Roman"/>
      <w:color w:val="000000"/>
      <w:sz w:val="20"/>
      <w:szCs w:val="20"/>
      <w:u w:val="none"/>
    </w:rPr>
  </w:style>
  <w:style w:type="character" w:customStyle="1" w:styleId="27">
    <w:name w:val="font01"/>
    <w:basedOn w:val="16"/>
    <w:qFormat/>
    <w:uiPriority w:val="0"/>
    <w:rPr>
      <w:rFonts w:hint="eastAsia" w:ascii="宋体" w:hAnsi="宋体" w:eastAsia="宋体" w:cs="宋体"/>
      <w:color w:val="000000"/>
      <w:sz w:val="20"/>
      <w:szCs w:val="20"/>
      <w:u w:val="none"/>
    </w:rPr>
  </w:style>
  <w:style w:type="character" w:customStyle="1" w:styleId="28">
    <w:name w:val="批注框文本 Char"/>
    <w:basedOn w:val="16"/>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10048</Words>
  <Characters>10565</Characters>
  <Lines>180</Lines>
  <Paragraphs>50</Paragraphs>
  <TotalTime>8</TotalTime>
  <ScaleCrop>false</ScaleCrop>
  <LinksUpToDate>false</LinksUpToDate>
  <CharactersWithSpaces>10849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2020-08-03T01:21:00Z</dcterms:created>
  <dc:creator>运营部-陈宁</dc:creator>
  <cp:lastModifiedBy>XuJun</cp:lastModifiedBy>
  <cp:lastPrinted>2020-08-06T10:49:00Z</cp:lastPrinted>
  <dcterms:modified xsi:type="dcterms:W3CDTF">2022-08-19T08:46:06Z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46725C2F548240D99E33A66AC618C2D7</vt:lpwstr>
  </property>
</Properties>
</file>