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132" w:name="_GoBack"/>
      <w:bookmarkEnd w:id="132"/>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2B96E2EE">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rPr>
        <w:t>深圳市鹏劳人力资源管理有限</w:t>
      </w:r>
      <w:r>
        <w:rPr>
          <w:rFonts w:hint="eastAsia" w:ascii="Times New Roman" w:hAnsi="Times New Roman" w:eastAsia="方正小标宋简体" w:cs="方正小标宋简体"/>
          <w:b w:val="0"/>
          <w:bCs/>
          <w:smallCaps w:val="0"/>
          <w:sz w:val="48"/>
          <w:szCs w:val="48"/>
          <w:highlight w:val="none"/>
          <w:lang w:val="en-US" w:eastAsia="zh-CN"/>
        </w:rPr>
        <w:t>公司2025-2027年度质量、环境及职业健康安全</w:t>
      </w:r>
    </w:p>
    <w:p w14:paraId="14F72E4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z w:val="48"/>
          <w:szCs w:val="48"/>
          <w:highlight w:val="none"/>
          <w:lang w:val="en-US" w:eastAsia="zh-CN"/>
        </w:rPr>
        <w:t>管理体系认证服务项目（二次）</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lang w:val="en-US" w:eastAsia="zh-CN"/>
        </w:rPr>
        <w:t>招标</w:t>
      </w:r>
      <w:r>
        <w:rPr>
          <w:rFonts w:hint="eastAsia" w:ascii="Times New Roman" w:hAnsi="Times New Roman" w:eastAsia="方正小标宋简体" w:cs="方正小标宋简体"/>
          <w:b w:val="0"/>
          <w:bCs/>
          <w:smallCaps w:val="0"/>
          <w:sz w:val="48"/>
          <w:szCs w:val="48"/>
          <w:highlight w:val="none"/>
        </w:rPr>
        <w:t>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24F3E49A">
      <w:pPr>
        <w:pStyle w:val="2"/>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lang w:val="en-US" w:eastAsia="zh-CN"/>
        </w:rPr>
        <w:t>采购</w:t>
      </w:r>
      <w:r>
        <w:rPr>
          <w:rFonts w:hint="eastAsia" w:ascii="Times New Roman" w:hAnsi="Times New Roman" w:eastAsia="黑体" w:cs="黑体"/>
          <w:b w:val="0"/>
          <w:bCs/>
          <w:smallCaps w:val="0"/>
          <w:sz w:val="40"/>
          <w:szCs w:val="40"/>
          <w:highlight w:val="none"/>
        </w:rPr>
        <w:t>类别</w:t>
      </w:r>
      <w:r>
        <w:rPr>
          <w:rFonts w:hint="eastAsia" w:ascii="Times New Roman" w:hAnsi="Times New Roman" w:eastAsia="黑体" w:cs="黑体"/>
          <w:b w:val="0"/>
          <w:bCs/>
          <w:smallCaps w:val="0"/>
          <w:sz w:val="40"/>
          <w:szCs w:val="40"/>
          <w:highlight w:val="none"/>
          <w:lang w:eastAsia="zh-CN"/>
        </w:rPr>
        <w:t>：</w:t>
      </w:r>
      <w:r>
        <w:rPr>
          <w:rFonts w:hint="eastAsia" w:ascii="Times New Roman" w:hAnsi="Times New Roman" w:eastAsia="黑体" w:cs="黑体"/>
          <w:b w:val="0"/>
          <w:bCs/>
          <w:smallCaps w:val="0"/>
          <w:sz w:val="40"/>
          <w:szCs w:val="40"/>
          <w:highlight w:val="none"/>
        </w:rPr>
        <w:t>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黑体"/>
          <w:b w:val="0"/>
          <w:bCs/>
          <w:smallCaps w:val="0"/>
          <w:sz w:val="40"/>
          <w:szCs w:val="40"/>
          <w:highlight w:val="none"/>
          <w:lang w:val="en-US"/>
        </w:rPr>
      </w:pPr>
      <w:r>
        <w:rPr>
          <w:rFonts w:hint="eastAsia" w:ascii="Times New Roman" w:hAnsi="Times New Roman" w:eastAsia="黑体" w:cs="黑体"/>
          <w:b w:val="0"/>
          <w:bCs/>
          <w:smallCaps w:val="0"/>
          <w:sz w:val="40"/>
          <w:szCs w:val="40"/>
          <w:highlight w:val="none"/>
        </w:rPr>
        <w:t>招标编号：PLHR-</w:t>
      </w:r>
      <w:r>
        <w:rPr>
          <w:rFonts w:hint="eastAsia" w:ascii="Times New Roman" w:hAnsi="Times New Roman" w:eastAsia="黑体" w:cs="黑体"/>
          <w:b w:val="0"/>
          <w:bCs/>
          <w:smallCaps w:val="0"/>
          <w:sz w:val="40"/>
          <w:szCs w:val="40"/>
          <w:highlight w:val="none"/>
          <w:lang w:val="en-US" w:eastAsia="zh-CN"/>
        </w:rPr>
        <w:t>ZB</w:t>
      </w:r>
      <w:r>
        <w:rPr>
          <w:rFonts w:hint="eastAsia" w:ascii="Times New Roman" w:hAnsi="Times New Roman" w:eastAsia="黑体" w:cs="黑体"/>
          <w:b w:val="0"/>
          <w:bCs/>
          <w:smallCaps w:val="0"/>
          <w:sz w:val="40"/>
          <w:szCs w:val="40"/>
          <w:highlight w:val="none"/>
        </w:rPr>
        <w:t>-FW-202</w:t>
      </w:r>
      <w:r>
        <w:rPr>
          <w:rFonts w:hint="eastAsia" w:ascii="Times New Roman" w:hAnsi="Times New Roman" w:eastAsia="黑体" w:cs="黑体"/>
          <w:b w:val="0"/>
          <w:bCs/>
          <w:smallCaps w:val="0"/>
          <w:sz w:val="40"/>
          <w:szCs w:val="40"/>
          <w:highlight w:val="none"/>
          <w:lang w:val="en-US" w:eastAsia="zh-CN"/>
        </w:rPr>
        <w:t>50401</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6C99D0B">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656145AA">
      <w:pPr>
        <w:pStyle w:val="2"/>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234FEABA">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黑体"/>
          <w:b w:val="0"/>
          <w:bCs/>
          <w:smallCaps w:val="0"/>
          <w:sz w:val="40"/>
          <w:szCs w:val="40"/>
          <w:highlight w:val="none"/>
        </w:rPr>
      </w:pPr>
    </w:p>
    <w:p w14:paraId="070ED679">
      <w:pPr>
        <w:pStyle w:val="2"/>
        <w:rPr>
          <w:rFonts w:hint="eastAsia" w:ascii="Times New Roman" w:hAnsi="Times New Roman"/>
          <w:smallCaps w:val="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五</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七</w:t>
      </w:r>
      <w:r>
        <w:rPr>
          <w:rFonts w:hint="eastAsia" w:ascii="Times New Roman" w:hAnsi="Times New Roman" w:eastAsia="黑体" w:cs="黑体"/>
          <w:b w:val="0"/>
          <w:bCs/>
          <w:smallCaps w:val="0"/>
          <w:sz w:val="40"/>
          <w:szCs w:val="40"/>
          <w:highlight w:val="none"/>
        </w:rPr>
        <w:t>月</w:t>
      </w:r>
    </w:p>
    <w:p w14:paraId="73370935">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27690_WPSOffice_Level1"/>
      <w:bookmarkStart w:id="4" w:name="_Toc11256885"/>
      <w:bookmarkStart w:id="5" w:name="_Toc10743"/>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3A3BEFEC">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黑体" w:hAnsi="黑体" w:eastAsia="黑体" w:cs="黑体"/>
              <w:b w:val="0"/>
              <w:bCs/>
              <w:smallCaps w:val="0"/>
              <w:kern w:val="2"/>
              <w:sz w:val="28"/>
              <w:szCs w:val="28"/>
              <w:highlight w:val="none"/>
              <w:lang w:val="en-US" w:eastAsia="zh-CN" w:bidi="ar-SA"/>
            </w:rPr>
          </w:pPr>
          <w:r>
            <w:rPr>
              <w:rFonts w:hint="eastAsia" w:ascii="黑体" w:hAnsi="黑体" w:eastAsia="黑体" w:cs="黑体"/>
              <w:b w:val="0"/>
              <w:bCs/>
              <w:smallCaps w:val="0"/>
              <w:sz w:val="28"/>
              <w:szCs w:val="28"/>
              <w:highlight w:val="none"/>
            </w:rPr>
            <w:fldChar w:fldCharType="begin"/>
          </w:r>
          <w:r>
            <w:rPr>
              <w:rFonts w:hint="eastAsia" w:ascii="黑体" w:hAnsi="黑体" w:eastAsia="黑体" w:cs="黑体"/>
              <w:b w:val="0"/>
              <w:bCs/>
              <w:smallCaps w:val="0"/>
              <w:sz w:val="28"/>
              <w:szCs w:val="28"/>
              <w:highlight w:val="none"/>
            </w:rPr>
            <w:instrText xml:space="preserve">TOC \o "1-3" \h \u </w:instrText>
          </w:r>
          <w:r>
            <w:rPr>
              <w:rFonts w:hint="eastAsia" w:ascii="黑体" w:hAnsi="黑体" w:eastAsia="黑体" w:cs="黑体"/>
              <w:b w:val="0"/>
              <w:bCs/>
              <w:smallCaps w:val="0"/>
              <w:sz w:val="28"/>
              <w:szCs w:val="28"/>
              <w:highlight w:val="none"/>
            </w:rPr>
            <w:fldChar w:fldCharType="separate"/>
          </w:r>
        </w:p>
        <w:p w14:paraId="7D79967B">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_Toc9059 </w:instrText>
          </w:r>
          <w:r>
            <w:rPr>
              <w:rFonts w:hint="eastAsia" w:ascii="黑体" w:hAnsi="黑体" w:eastAsia="黑体" w:cs="黑体"/>
              <w:bCs/>
              <w:smallCaps w:val="0"/>
              <w:szCs w:val="28"/>
              <w:highlight w:val="none"/>
            </w:rPr>
            <w:fldChar w:fldCharType="separate"/>
          </w:r>
          <w:r>
            <w:rPr>
              <w:rFonts w:hint="eastAsia" w:ascii="Times New Roman" w:hAnsi="Times New Roman" w:cs="黑体"/>
              <w:bCs/>
              <w:smallCaps w:val="0"/>
              <w:szCs w:val="32"/>
              <w:highlight w:val="none"/>
              <w:lang w:val="en-US" w:eastAsia="zh-CN"/>
            </w:rPr>
            <w:t>第一部分 招标公告</w:t>
          </w:r>
          <w:r>
            <w:tab/>
          </w:r>
          <w:r>
            <w:fldChar w:fldCharType="begin"/>
          </w:r>
          <w:r>
            <w:instrText xml:space="preserve"> PAGEREF _Toc9059 \h </w:instrText>
          </w:r>
          <w:r>
            <w:fldChar w:fldCharType="separate"/>
          </w:r>
          <w:r>
            <w:t>1</w:t>
          </w:r>
          <w:r>
            <w:fldChar w:fldCharType="end"/>
          </w:r>
          <w:r>
            <w:rPr>
              <w:rFonts w:hint="eastAsia" w:ascii="黑体" w:hAnsi="黑体" w:eastAsia="黑体" w:cs="黑体"/>
              <w:bCs/>
              <w:smallCaps w:val="0"/>
              <w:szCs w:val="28"/>
              <w:highlight w:val="none"/>
            </w:rPr>
            <w:fldChar w:fldCharType="end"/>
          </w:r>
        </w:p>
        <w:p w14:paraId="4F12E188">
          <w:pPr>
            <w:pStyle w:val="14"/>
            <w:tabs>
              <w:tab w:val="right" w:leader="dot" w:pos="8846"/>
              <w:tab w:val="clear" w:pos="8295"/>
            </w:tabs>
            <w:rPr>
              <w:b w:val="0"/>
              <w:bCs/>
            </w:rPr>
          </w:pPr>
          <w:r>
            <w:rPr>
              <w:rFonts w:hint="eastAsia" w:ascii="黑体" w:hAnsi="黑体" w:eastAsia="黑体" w:cs="黑体"/>
              <w:b w:val="0"/>
              <w:bCs/>
              <w:smallCaps w:val="0"/>
              <w:szCs w:val="28"/>
              <w:highlight w:val="none"/>
            </w:rPr>
            <w:fldChar w:fldCharType="begin"/>
          </w:r>
          <w:r>
            <w:rPr>
              <w:rFonts w:hint="eastAsia" w:ascii="黑体" w:hAnsi="黑体" w:eastAsia="黑体" w:cs="黑体"/>
              <w:b w:val="0"/>
              <w:bCs/>
              <w:smallCaps w:val="0"/>
              <w:szCs w:val="28"/>
              <w:highlight w:val="none"/>
            </w:rPr>
            <w:instrText xml:space="preserve"> HYPERLINK \l _Toc14816 </w:instrText>
          </w:r>
          <w:r>
            <w:rPr>
              <w:rFonts w:hint="eastAsia" w:ascii="黑体" w:hAnsi="黑体" w:eastAsia="黑体" w:cs="黑体"/>
              <w:b w:val="0"/>
              <w:bCs/>
              <w:smallCaps w:val="0"/>
              <w:szCs w:val="28"/>
              <w:highlight w:val="none"/>
            </w:rPr>
            <w:fldChar w:fldCharType="separate"/>
          </w:r>
          <w:r>
            <w:rPr>
              <w:rFonts w:hint="eastAsia" w:ascii="方正小标宋简体" w:hAnsi="方正小标宋简体" w:eastAsia="方正小标宋简体" w:cs="方正小标宋简体"/>
              <w:b w:val="0"/>
              <w:bCs/>
              <w:szCs w:val="36"/>
            </w:rPr>
            <w:t>深圳市鹏劳人力资源管理有限公司</w:t>
          </w:r>
          <w:r>
            <w:rPr>
              <w:rFonts w:hint="eastAsia" w:ascii="Times New Roman" w:hAnsi="Times New Roman" w:eastAsia="方正小标宋简体" w:cs="方正小标宋简体"/>
              <w:b w:val="0"/>
              <w:bCs/>
              <w:smallCaps w:val="0"/>
              <w:szCs w:val="36"/>
              <w:highlight w:val="none"/>
              <w:lang w:val="en-US" w:eastAsia="zh-CN"/>
            </w:rPr>
            <w:t>采购招标</w:t>
          </w:r>
          <w:r>
            <w:rPr>
              <w:rFonts w:hint="eastAsia" w:ascii="Times New Roman" w:hAnsi="Times New Roman" w:eastAsia="方正小标宋简体" w:cs="方正小标宋简体"/>
              <w:b w:val="0"/>
              <w:bCs/>
              <w:smallCaps w:val="0"/>
              <w:szCs w:val="36"/>
              <w:highlight w:val="none"/>
            </w:rPr>
            <w:t>报名表</w:t>
          </w:r>
          <w:r>
            <w:rPr>
              <w:b w:val="0"/>
              <w:bCs/>
            </w:rPr>
            <w:tab/>
          </w:r>
          <w:r>
            <w:rPr>
              <w:b w:val="0"/>
              <w:bCs/>
            </w:rPr>
            <w:fldChar w:fldCharType="begin"/>
          </w:r>
          <w:r>
            <w:rPr>
              <w:b w:val="0"/>
              <w:bCs/>
            </w:rPr>
            <w:instrText xml:space="preserve"> PAGEREF _Toc14816 \h </w:instrText>
          </w:r>
          <w:r>
            <w:rPr>
              <w:b w:val="0"/>
              <w:bCs/>
            </w:rPr>
            <w:fldChar w:fldCharType="separate"/>
          </w:r>
          <w:r>
            <w:rPr>
              <w:b w:val="0"/>
              <w:bCs/>
            </w:rPr>
            <w:t>5</w:t>
          </w:r>
          <w:r>
            <w:rPr>
              <w:b w:val="0"/>
              <w:bCs/>
            </w:rPr>
            <w:fldChar w:fldCharType="end"/>
          </w:r>
          <w:r>
            <w:rPr>
              <w:rFonts w:hint="eastAsia" w:ascii="黑体" w:hAnsi="黑体" w:eastAsia="黑体" w:cs="黑体"/>
              <w:b w:val="0"/>
              <w:bCs/>
              <w:smallCaps w:val="0"/>
              <w:szCs w:val="28"/>
              <w:highlight w:val="none"/>
            </w:rPr>
            <w:fldChar w:fldCharType="end"/>
          </w:r>
        </w:p>
        <w:p w14:paraId="71E47519">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_Toc16144 </w:instrText>
          </w:r>
          <w:r>
            <w:rPr>
              <w:rFonts w:hint="eastAsia" w:ascii="黑体" w:hAnsi="黑体" w:eastAsia="黑体" w:cs="黑体"/>
              <w:bCs/>
              <w:smallCaps w:val="0"/>
              <w:szCs w:val="28"/>
              <w:highlight w:val="none"/>
            </w:rPr>
            <w:fldChar w:fldCharType="separate"/>
          </w:r>
          <w:r>
            <w:rPr>
              <w:rFonts w:hint="eastAsia" w:ascii="Times New Roman" w:hAnsi="Times New Roman" w:cs="黑体"/>
              <w:bCs/>
              <w:smallCaps w:val="0"/>
              <w:szCs w:val="32"/>
              <w:highlight w:val="none"/>
              <w:lang w:val="en-US" w:eastAsia="zh-CN"/>
            </w:rPr>
            <w:t>第二部分 招标文件</w:t>
          </w:r>
          <w:r>
            <w:tab/>
          </w:r>
          <w:r>
            <w:fldChar w:fldCharType="begin"/>
          </w:r>
          <w:r>
            <w:instrText xml:space="preserve"> PAGEREF _Toc16144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02E899F7">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_Toc22715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rPr>
            <w:t>第一章 项目概况及招标程序</w:t>
          </w:r>
          <w:r>
            <w:tab/>
          </w:r>
          <w:r>
            <w:fldChar w:fldCharType="begin"/>
          </w:r>
          <w:r>
            <w:instrText xml:space="preserve"> PAGEREF _Toc22715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45A6C0E9">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_Toc18041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zh-CN"/>
            </w:rPr>
            <w:t>一、项目名称</w:t>
          </w:r>
          <w:r>
            <w:tab/>
          </w:r>
          <w:r>
            <w:fldChar w:fldCharType="begin"/>
          </w:r>
          <w:r>
            <w:instrText xml:space="preserve"> PAGEREF _Toc18041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50F28212">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_Toc27055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zh-CN"/>
            </w:rPr>
            <w:t>二、招标编号</w:t>
          </w:r>
          <w:r>
            <w:tab/>
          </w:r>
          <w:r>
            <w:fldChar w:fldCharType="begin"/>
          </w:r>
          <w:r>
            <w:instrText xml:space="preserve"> PAGEREF _Toc27055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70E3C543">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_Toc2077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三、投标人资质要求</w:t>
          </w:r>
          <w:r>
            <w:tab/>
          </w:r>
          <w:r>
            <w:fldChar w:fldCharType="begin"/>
          </w:r>
          <w:r>
            <w:instrText xml:space="preserve"> PAGEREF _Toc2077 \h </w:instrText>
          </w:r>
          <w:r>
            <w:fldChar w:fldCharType="separate"/>
          </w:r>
          <w:r>
            <w:t>6</w:t>
          </w:r>
          <w:r>
            <w:fldChar w:fldCharType="end"/>
          </w:r>
          <w:r>
            <w:rPr>
              <w:rFonts w:hint="eastAsia" w:ascii="黑体" w:hAnsi="黑体" w:eastAsia="黑体" w:cs="黑体"/>
              <w:bCs/>
              <w:smallCaps w:val="0"/>
              <w:szCs w:val="28"/>
              <w:highlight w:val="none"/>
            </w:rPr>
            <w:fldChar w:fldCharType="end"/>
          </w:r>
        </w:p>
        <w:p w14:paraId="05C35234">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_Toc23056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zh-CN"/>
            </w:rPr>
            <w:t>四、项目内容及需求</w:t>
          </w:r>
          <w:r>
            <w:tab/>
          </w:r>
          <w:r>
            <w:fldChar w:fldCharType="begin"/>
          </w:r>
          <w:r>
            <w:instrText xml:space="preserve"> PAGEREF _Toc23056 \h </w:instrText>
          </w:r>
          <w:r>
            <w:fldChar w:fldCharType="separate"/>
          </w:r>
          <w:r>
            <w:t>7</w:t>
          </w:r>
          <w:r>
            <w:fldChar w:fldCharType="end"/>
          </w:r>
          <w:r>
            <w:rPr>
              <w:rFonts w:hint="eastAsia" w:ascii="黑体" w:hAnsi="黑体" w:eastAsia="黑体" w:cs="黑体"/>
              <w:bCs/>
              <w:smallCaps w:val="0"/>
              <w:szCs w:val="28"/>
              <w:highlight w:val="none"/>
            </w:rPr>
            <w:fldChar w:fldCharType="end"/>
          </w:r>
        </w:p>
        <w:p w14:paraId="46E15944">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_Toc755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lang w:val="zh-CN" w:eastAsia="zh-CN"/>
            </w:rPr>
            <w:t>五、</w:t>
          </w:r>
          <w:r>
            <w:rPr>
              <w:rFonts w:hint="eastAsia" w:ascii="Times New Roman" w:hAnsi="Times New Roman" w:eastAsia="黑体" w:cs="黑体"/>
              <w:bCs/>
              <w:smallCaps w:val="0"/>
              <w:szCs w:val="32"/>
              <w:highlight w:val="none"/>
              <w:lang w:val="zh-CN"/>
            </w:rPr>
            <w:t>项目</w:t>
          </w:r>
          <w:r>
            <w:rPr>
              <w:rFonts w:hint="eastAsia" w:ascii="Times New Roman" w:eastAsia="黑体" w:cs="黑体"/>
              <w:bCs/>
              <w:smallCaps w:val="0"/>
              <w:szCs w:val="32"/>
              <w:highlight w:val="none"/>
              <w:lang w:val="en-US" w:eastAsia="zh-CN"/>
            </w:rPr>
            <w:t>服务周期</w:t>
          </w:r>
          <w:r>
            <w:tab/>
          </w:r>
          <w:r>
            <w:fldChar w:fldCharType="begin"/>
          </w:r>
          <w:r>
            <w:instrText xml:space="preserve"> PAGEREF _Toc755 \h </w:instrText>
          </w:r>
          <w:r>
            <w:fldChar w:fldCharType="separate"/>
          </w:r>
          <w:r>
            <w:t>8</w:t>
          </w:r>
          <w:r>
            <w:fldChar w:fldCharType="end"/>
          </w:r>
          <w:r>
            <w:rPr>
              <w:rFonts w:hint="eastAsia" w:ascii="黑体" w:hAnsi="黑体" w:eastAsia="黑体" w:cs="黑体"/>
              <w:bCs/>
              <w:smallCaps w:val="0"/>
              <w:szCs w:val="28"/>
              <w:highlight w:val="none"/>
            </w:rPr>
            <w:fldChar w:fldCharType="end"/>
          </w:r>
        </w:p>
        <w:p w14:paraId="72B4D5A7">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_Toc12549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lang w:val="zh-CN" w:eastAsia="zh-CN"/>
            </w:rPr>
            <w:t>六</w:t>
          </w:r>
          <w:r>
            <w:rPr>
              <w:rFonts w:hint="eastAsia" w:ascii="Times New Roman" w:hAnsi="Times New Roman" w:eastAsia="黑体" w:cs="黑体"/>
              <w:bCs/>
              <w:smallCaps w:val="0"/>
              <w:szCs w:val="32"/>
              <w:highlight w:val="none"/>
              <w:lang w:val="zh-CN"/>
            </w:rPr>
            <w:t>、项目</w:t>
          </w:r>
          <w:r>
            <w:rPr>
              <w:rFonts w:hint="eastAsia" w:ascii="Times New Roman" w:hAnsi="Times New Roman" w:eastAsia="黑体" w:cs="黑体"/>
              <w:bCs/>
              <w:smallCaps w:val="0"/>
              <w:szCs w:val="32"/>
              <w:highlight w:val="none"/>
              <w:lang w:val="zh-CN" w:eastAsia="zh-CN"/>
            </w:rPr>
            <w:t>费用</w:t>
          </w:r>
          <w:r>
            <w:tab/>
          </w:r>
          <w:r>
            <w:fldChar w:fldCharType="begin"/>
          </w:r>
          <w:r>
            <w:instrText xml:space="preserve"> PAGEREF _Toc12549 \h </w:instrText>
          </w:r>
          <w:r>
            <w:fldChar w:fldCharType="separate"/>
          </w:r>
          <w:r>
            <w:t>8</w:t>
          </w:r>
          <w:r>
            <w:fldChar w:fldCharType="end"/>
          </w:r>
          <w:r>
            <w:rPr>
              <w:rFonts w:hint="eastAsia" w:ascii="黑体" w:hAnsi="黑体" w:eastAsia="黑体" w:cs="黑体"/>
              <w:bCs/>
              <w:smallCaps w:val="0"/>
              <w:szCs w:val="28"/>
              <w:highlight w:val="none"/>
            </w:rPr>
            <w:fldChar w:fldCharType="end"/>
          </w:r>
        </w:p>
        <w:p w14:paraId="5E73B093">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_Toc24016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七</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w:t>
          </w:r>
          <w:r>
            <w:rPr>
              <w:rFonts w:hint="eastAsia" w:ascii="Times New Roman" w:hAnsi="Times New Roman" w:eastAsia="黑体" w:cs="黑体"/>
              <w:smallCaps w:val="0"/>
              <w:szCs w:val="32"/>
              <w:highlight w:val="none"/>
            </w:rPr>
            <w:t>文件要求</w:t>
          </w:r>
          <w:r>
            <w:tab/>
          </w:r>
          <w:r>
            <w:fldChar w:fldCharType="begin"/>
          </w:r>
          <w:r>
            <w:instrText xml:space="preserve"> PAGEREF _Toc24016 \h </w:instrText>
          </w:r>
          <w:r>
            <w:fldChar w:fldCharType="separate"/>
          </w:r>
          <w:r>
            <w:t>8</w:t>
          </w:r>
          <w:r>
            <w:fldChar w:fldCharType="end"/>
          </w:r>
          <w:r>
            <w:rPr>
              <w:rFonts w:hint="eastAsia" w:ascii="黑体" w:hAnsi="黑体" w:eastAsia="黑体" w:cs="黑体"/>
              <w:bCs/>
              <w:smallCaps w:val="0"/>
              <w:szCs w:val="28"/>
              <w:highlight w:val="none"/>
            </w:rPr>
            <w:fldChar w:fldCharType="end"/>
          </w:r>
        </w:p>
        <w:p w14:paraId="1033F931">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_Toc24285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八</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投标人</w:t>
          </w:r>
          <w:r>
            <w:rPr>
              <w:rFonts w:hint="eastAsia" w:ascii="Times New Roman" w:hAnsi="Times New Roman" w:eastAsia="黑体" w:cs="黑体"/>
              <w:smallCaps w:val="0"/>
              <w:szCs w:val="32"/>
              <w:highlight w:val="none"/>
            </w:rPr>
            <w:t>须知</w:t>
          </w:r>
          <w:r>
            <w:tab/>
          </w:r>
          <w:r>
            <w:fldChar w:fldCharType="begin"/>
          </w:r>
          <w:r>
            <w:instrText xml:space="preserve"> PAGEREF _Toc24285 \h </w:instrText>
          </w:r>
          <w:r>
            <w:fldChar w:fldCharType="separate"/>
          </w:r>
          <w:r>
            <w:t>10</w:t>
          </w:r>
          <w:r>
            <w:fldChar w:fldCharType="end"/>
          </w:r>
          <w:r>
            <w:rPr>
              <w:rFonts w:hint="eastAsia" w:ascii="黑体" w:hAnsi="黑体" w:eastAsia="黑体" w:cs="黑体"/>
              <w:bCs/>
              <w:smallCaps w:val="0"/>
              <w:szCs w:val="28"/>
              <w:highlight w:val="none"/>
            </w:rPr>
            <w:fldChar w:fldCharType="end"/>
          </w:r>
        </w:p>
        <w:p w14:paraId="61F32423">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_Toc25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九</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投标文件</w:t>
          </w:r>
          <w:r>
            <w:rPr>
              <w:rFonts w:hint="eastAsia" w:ascii="Times New Roman" w:hAnsi="Times New Roman" w:eastAsia="黑体" w:cs="黑体"/>
              <w:smallCaps w:val="0"/>
              <w:szCs w:val="32"/>
              <w:highlight w:val="none"/>
            </w:rPr>
            <w:t>作废</w:t>
          </w:r>
          <w:r>
            <w:tab/>
          </w:r>
          <w:r>
            <w:fldChar w:fldCharType="begin"/>
          </w:r>
          <w:r>
            <w:instrText xml:space="preserve"> PAGEREF _Toc25 \h </w:instrText>
          </w:r>
          <w:r>
            <w:fldChar w:fldCharType="separate"/>
          </w:r>
          <w:r>
            <w:t>12</w:t>
          </w:r>
          <w:r>
            <w:fldChar w:fldCharType="end"/>
          </w:r>
          <w:r>
            <w:rPr>
              <w:rFonts w:hint="eastAsia" w:ascii="黑体" w:hAnsi="黑体" w:eastAsia="黑体" w:cs="黑体"/>
              <w:bCs/>
              <w:smallCaps w:val="0"/>
              <w:szCs w:val="28"/>
              <w:highlight w:val="none"/>
            </w:rPr>
            <w:fldChar w:fldCharType="end"/>
          </w:r>
        </w:p>
        <w:p w14:paraId="7ACCD6AD">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_Toc16170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lang w:val="en-US" w:eastAsia="zh-CN"/>
            </w:rPr>
            <w:t>十</w:t>
          </w:r>
          <w:r>
            <w:rPr>
              <w:rFonts w:hint="eastAsia" w:ascii="Times New Roman" w:hAnsi="Times New Roman" w:eastAsia="黑体" w:cs="黑体"/>
              <w:smallCaps w:val="0"/>
              <w:szCs w:val="32"/>
              <w:highlight w:val="none"/>
            </w:rPr>
            <w:t>、其他要求</w:t>
          </w:r>
          <w:r>
            <w:tab/>
          </w:r>
          <w:r>
            <w:fldChar w:fldCharType="begin"/>
          </w:r>
          <w:r>
            <w:instrText xml:space="preserve"> PAGEREF _Toc16170 \h </w:instrText>
          </w:r>
          <w:r>
            <w:fldChar w:fldCharType="separate"/>
          </w:r>
          <w:r>
            <w:t>13</w:t>
          </w:r>
          <w:r>
            <w:fldChar w:fldCharType="end"/>
          </w:r>
          <w:r>
            <w:rPr>
              <w:rFonts w:hint="eastAsia" w:ascii="黑体" w:hAnsi="黑体" w:eastAsia="黑体" w:cs="黑体"/>
              <w:bCs/>
              <w:smallCaps w:val="0"/>
              <w:szCs w:val="28"/>
              <w:highlight w:val="none"/>
            </w:rPr>
            <w:fldChar w:fldCharType="end"/>
          </w:r>
        </w:p>
        <w:p w14:paraId="6F933309">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_Toc10709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一</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投标文件</w:t>
          </w:r>
          <w:r>
            <w:rPr>
              <w:rFonts w:hint="eastAsia" w:ascii="Times New Roman" w:hAnsi="Times New Roman" w:eastAsia="黑体" w:cs="黑体"/>
              <w:smallCaps w:val="0"/>
              <w:szCs w:val="32"/>
              <w:highlight w:val="none"/>
            </w:rPr>
            <w:t>递交</w:t>
          </w:r>
          <w:r>
            <w:tab/>
          </w:r>
          <w:r>
            <w:fldChar w:fldCharType="begin"/>
          </w:r>
          <w:r>
            <w:instrText xml:space="preserve"> PAGEREF _Toc10709 \h </w:instrText>
          </w:r>
          <w:r>
            <w:fldChar w:fldCharType="separate"/>
          </w:r>
          <w:r>
            <w:t>14</w:t>
          </w:r>
          <w:r>
            <w:fldChar w:fldCharType="end"/>
          </w:r>
          <w:r>
            <w:rPr>
              <w:rFonts w:hint="eastAsia" w:ascii="黑体" w:hAnsi="黑体" w:eastAsia="黑体" w:cs="黑体"/>
              <w:bCs/>
              <w:smallCaps w:val="0"/>
              <w:szCs w:val="28"/>
              <w:highlight w:val="none"/>
            </w:rPr>
            <w:fldChar w:fldCharType="end"/>
          </w:r>
        </w:p>
        <w:p w14:paraId="4B1DB065">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_Toc429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二</w:t>
          </w:r>
          <w:r>
            <w:rPr>
              <w:rFonts w:hint="eastAsia" w:ascii="Times New Roman" w:hAnsi="Times New Roman" w:eastAsia="黑体" w:cs="黑体"/>
              <w:smallCaps w:val="0"/>
              <w:szCs w:val="32"/>
              <w:highlight w:val="none"/>
            </w:rPr>
            <w:t>、</w:t>
          </w:r>
          <w:r>
            <w:rPr>
              <w:rFonts w:hint="eastAsia" w:ascii="Times New Roman" w:eastAsia="黑体" w:cs="黑体"/>
              <w:smallCaps w:val="0"/>
              <w:szCs w:val="32"/>
              <w:highlight w:val="none"/>
              <w:lang w:val="en-US" w:eastAsia="zh-CN"/>
            </w:rPr>
            <w:t>开标</w:t>
          </w:r>
          <w:r>
            <w:tab/>
          </w:r>
          <w:r>
            <w:fldChar w:fldCharType="begin"/>
          </w:r>
          <w:r>
            <w:instrText xml:space="preserve"> PAGEREF _Toc429 \h </w:instrText>
          </w:r>
          <w:r>
            <w:fldChar w:fldCharType="separate"/>
          </w:r>
          <w:r>
            <w:t>14</w:t>
          </w:r>
          <w:r>
            <w:fldChar w:fldCharType="end"/>
          </w:r>
          <w:r>
            <w:rPr>
              <w:rFonts w:hint="eastAsia" w:ascii="黑体" w:hAnsi="黑体" w:eastAsia="黑体" w:cs="黑体"/>
              <w:bCs/>
              <w:smallCaps w:val="0"/>
              <w:szCs w:val="28"/>
              <w:highlight w:val="none"/>
            </w:rPr>
            <w:fldChar w:fldCharType="end"/>
          </w:r>
        </w:p>
        <w:p w14:paraId="4861AE1E">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_Toc17483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三</w:t>
          </w:r>
          <w:r>
            <w:rPr>
              <w:rFonts w:hint="eastAsia" w:ascii="Times New Roman" w:hAnsi="Times New Roman" w:eastAsia="黑体" w:cs="黑体"/>
              <w:smallCaps w:val="0"/>
              <w:szCs w:val="32"/>
              <w:highlight w:val="none"/>
            </w:rPr>
            <w:t>、评标</w:t>
          </w:r>
          <w:r>
            <w:tab/>
          </w:r>
          <w:r>
            <w:fldChar w:fldCharType="begin"/>
          </w:r>
          <w:r>
            <w:instrText xml:space="preserve"> PAGEREF _Toc17483 \h </w:instrText>
          </w:r>
          <w:r>
            <w:fldChar w:fldCharType="separate"/>
          </w:r>
          <w:r>
            <w:t>15</w:t>
          </w:r>
          <w:r>
            <w:fldChar w:fldCharType="end"/>
          </w:r>
          <w:r>
            <w:rPr>
              <w:rFonts w:hint="eastAsia" w:ascii="黑体" w:hAnsi="黑体" w:eastAsia="黑体" w:cs="黑体"/>
              <w:bCs/>
              <w:smallCaps w:val="0"/>
              <w:szCs w:val="28"/>
              <w:highlight w:val="none"/>
            </w:rPr>
            <w:fldChar w:fldCharType="end"/>
          </w:r>
        </w:p>
        <w:p w14:paraId="273C225E">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_Toc10479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四</w:t>
          </w:r>
          <w:r>
            <w:rPr>
              <w:rFonts w:hint="eastAsia" w:ascii="Times New Roman" w:hAnsi="Times New Roman" w:eastAsia="黑体" w:cs="黑体"/>
              <w:smallCaps w:val="0"/>
              <w:szCs w:val="32"/>
              <w:highlight w:val="none"/>
            </w:rPr>
            <w:t>、定标</w:t>
          </w:r>
          <w:r>
            <w:tab/>
          </w:r>
          <w:r>
            <w:fldChar w:fldCharType="begin"/>
          </w:r>
          <w:r>
            <w:instrText xml:space="preserve"> PAGEREF _Toc10479 \h </w:instrText>
          </w:r>
          <w:r>
            <w:fldChar w:fldCharType="separate"/>
          </w:r>
          <w:r>
            <w:t>15</w:t>
          </w:r>
          <w:r>
            <w:fldChar w:fldCharType="end"/>
          </w:r>
          <w:r>
            <w:rPr>
              <w:rFonts w:hint="eastAsia" w:ascii="黑体" w:hAnsi="黑体" w:eastAsia="黑体" w:cs="黑体"/>
              <w:bCs/>
              <w:smallCaps w:val="0"/>
              <w:szCs w:val="28"/>
              <w:highlight w:val="none"/>
            </w:rPr>
            <w:fldChar w:fldCharType="end"/>
          </w:r>
        </w:p>
        <w:p w14:paraId="0E3404E7">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_Toc26281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五</w:t>
          </w:r>
          <w:r>
            <w:rPr>
              <w:rFonts w:hint="eastAsia" w:ascii="Times New Roman" w:hAnsi="Times New Roman" w:eastAsia="黑体" w:cs="黑体"/>
              <w:smallCaps w:val="0"/>
              <w:szCs w:val="32"/>
              <w:highlight w:val="none"/>
            </w:rPr>
            <w:t>、结算方式</w:t>
          </w:r>
          <w:r>
            <w:tab/>
          </w:r>
          <w:r>
            <w:fldChar w:fldCharType="begin"/>
          </w:r>
          <w:r>
            <w:instrText xml:space="preserve"> PAGEREF _Toc26281 \h </w:instrText>
          </w:r>
          <w:r>
            <w:fldChar w:fldCharType="separate"/>
          </w:r>
          <w:r>
            <w:t>15</w:t>
          </w:r>
          <w:r>
            <w:fldChar w:fldCharType="end"/>
          </w:r>
          <w:r>
            <w:rPr>
              <w:rFonts w:hint="eastAsia" w:ascii="黑体" w:hAnsi="黑体" w:eastAsia="黑体" w:cs="黑体"/>
              <w:bCs/>
              <w:smallCaps w:val="0"/>
              <w:szCs w:val="28"/>
              <w:highlight w:val="none"/>
            </w:rPr>
            <w:fldChar w:fldCharType="end"/>
          </w:r>
        </w:p>
        <w:p w14:paraId="47D7AB07">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_Toc18847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十</w:t>
          </w:r>
          <w:r>
            <w:rPr>
              <w:rFonts w:hint="eastAsia" w:ascii="Times New Roman" w:hAnsi="Times New Roman" w:eastAsia="黑体" w:cs="黑体"/>
              <w:smallCaps w:val="0"/>
              <w:szCs w:val="32"/>
              <w:highlight w:val="none"/>
              <w:lang w:val="en-US" w:eastAsia="zh-CN"/>
            </w:rPr>
            <w:t>六</w:t>
          </w:r>
          <w:r>
            <w:rPr>
              <w:rFonts w:hint="eastAsia" w:ascii="Times New Roman" w:hAnsi="Times New Roman" w:eastAsia="黑体" w:cs="黑体"/>
              <w:smallCaps w:val="0"/>
              <w:szCs w:val="32"/>
              <w:highlight w:val="none"/>
            </w:rPr>
            <w:t>、解释权</w:t>
          </w:r>
          <w:r>
            <w:tab/>
          </w:r>
          <w:r>
            <w:fldChar w:fldCharType="begin"/>
          </w:r>
          <w:r>
            <w:instrText xml:space="preserve"> PAGEREF _Toc18847 \h </w:instrText>
          </w:r>
          <w:r>
            <w:fldChar w:fldCharType="separate"/>
          </w:r>
          <w:r>
            <w:t>16</w:t>
          </w:r>
          <w:r>
            <w:fldChar w:fldCharType="end"/>
          </w:r>
          <w:r>
            <w:rPr>
              <w:rFonts w:hint="eastAsia" w:ascii="黑体" w:hAnsi="黑体" w:eastAsia="黑体" w:cs="黑体"/>
              <w:bCs/>
              <w:smallCaps w:val="0"/>
              <w:szCs w:val="28"/>
              <w:highlight w:val="none"/>
            </w:rPr>
            <w:fldChar w:fldCharType="end"/>
          </w:r>
        </w:p>
        <w:p w14:paraId="1749C8A7">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_Toc3167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bCs/>
              <w:smallCaps w:val="0"/>
              <w:szCs w:val="32"/>
              <w:highlight w:val="none"/>
            </w:rPr>
            <w:t>第二章 评标程序及标准</w:t>
          </w:r>
          <w:r>
            <w:tab/>
          </w:r>
          <w:r>
            <w:fldChar w:fldCharType="begin"/>
          </w:r>
          <w:r>
            <w:instrText xml:space="preserve"> PAGEREF _Toc3167 \h </w:instrText>
          </w:r>
          <w:r>
            <w:fldChar w:fldCharType="separate"/>
          </w:r>
          <w:r>
            <w:t>17</w:t>
          </w:r>
          <w:r>
            <w:fldChar w:fldCharType="end"/>
          </w:r>
          <w:r>
            <w:rPr>
              <w:rFonts w:hint="eastAsia" w:ascii="黑体" w:hAnsi="黑体" w:eastAsia="黑体" w:cs="黑体"/>
              <w:bCs/>
              <w:smallCaps w:val="0"/>
              <w:szCs w:val="28"/>
              <w:highlight w:val="none"/>
            </w:rPr>
            <w:fldChar w:fldCharType="end"/>
          </w:r>
        </w:p>
        <w:p w14:paraId="7BDF7262">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_Toc24426 </w:instrText>
          </w:r>
          <w:r>
            <w:rPr>
              <w:rFonts w:hint="eastAsia" w:ascii="黑体" w:hAnsi="黑体" w:eastAsia="黑体" w:cs="黑体"/>
              <w:bCs/>
              <w:smallCaps w:val="0"/>
              <w:szCs w:val="28"/>
              <w:highlight w:val="none"/>
            </w:rPr>
            <w:fldChar w:fldCharType="separate"/>
          </w:r>
          <w:r>
            <w:rPr>
              <w:rFonts w:hint="eastAsia" w:ascii="黑体" w:hAnsi="黑体" w:eastAsia="黑体" w:cs="黑体"/>
              <w:smallCaps w:val="0"/>
              <w:szCs w:val="32"/>
            </w:rPr>
            <w:t xml:space="preserve">第三章 </w:t>
          </w:r>
          <w:r>
            <w:rPr>
              <w:rFonts w:hint="eastAsia" w:ascii="Times New Roman" w:hAnsi="Times New Roman" w:eastAsia="黑体" w:cs="黑体"/>
              <w:bCs/>
              <w:smallCaps w:val="0"/>
              <w:szCs w:val="32"/>
              <w:highlight w:val="none"/>
            </w:rPr>
            <w:t>合同条款</w:t>
          </w:r>
          <w:r>
            <w:tab/>
          </w:r>
          <w:r>
            <w:fldChar w:fldCharType="begin"/>
          </w:r>
          <w:r>
            <w:instrText xml:space="preserve"> PAGEREF _Toc24426 \h </w:instrText>
          </w:r>
          <w:r>
            <w:fldChar w:fldCharType="separate"/>
          </w:r>
          <w:r>
            <w:t>24</w:t>
          </w:r>
          <w:r>
            <w:fldChar w:fldCharType="end"/>
          </w:r>
          <w:r>
            <w:rPr>
              <w:rFonts w:hint="eastAsia" w:ascii="黑体" w:hAnsi="黑体" w:eastAsia="黑体" w:cs="黑体"/>
              <w:bCs/>
              <w:smallCaps w:val="0"/>
              <w:szCs w:val="28"/>
              <w:highlight w:val="none"/>
            </w:rPr>
            <w:fldChar w:fldCharType="end"/>
          </w:r>
        </w:p>
        <w:p w14:paraId="53DB4533">
          <w:pPr>
            <w:pStyle w:val="14"/>
            <w:tabs>
              <w:tab w:val="right" w:leader="dot" w:pos="8846"/>
              <w:tab w:val="clear" w:pos="8295"/>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_Toc14808 </w:instrText>
          </w:r>
          <w:r>
            <w:rPr>
              <w:rFonts w:hint="eastAsia" w:ascii="黑体" w:hAnsi="黑体" w:eastAsia="黑体" w:cs="黑体"/>
              <w:bCs/>
              <w:smallCaps w:val="0"/>
              <w:szCs w:val="28"/>
              <w:highlight w:val="none"/>
            </w:rPr>
            <w:fldChar w:fldCharType="separate"/>
          </w:r>
          <w:r>
            <w:rPr>
              <w:rFonts w:hint="eastAsia" w:ascii="Times New Roman" w:hAnsi="Times New Roman" w:eastAsia="黑体" w:cs="黑体"/>
              <w:smallCaps w:val="0"/>
              <w:szCs w:val="32"/>
              <w:highlight w:val="none"/>
            </w:rPr>
            <w:t xml:space="preserve">第四章 </w:t>
          </w:r>
          <w:r>
            <w:rPr>
              <w:rFonts w:hint="eastAsia" w:ascii="Times New Roman" w:hAnsi="Times New Roman" w:cs="黑体"/>
              <w:smallCaps w:val="0"/>
              <w:szCs w:val="32"/>
              <w:highlight w:val="none"/>
              <w:lang w:val="en-US" w:eastAsia="zh-CN"/>
            </w:rPr>
            <w:t>投标文件</w:t>
          </w:r>
          <w:r>
            <w:rPr>
              <w:rFonts w:hint="eastAsia" w:ascii="Times New Roman" w:hAnsi="Times New Roman" w:eastAsia="黑体" w:cs="黑体"/>
              <w:smallCaps w:val="0"/>
              <w:szCs w:val="32"/>
              <w:highlight w:val="none"/>
            </w:rPr>
            <w:t>格式</w:t>
          </w:r>
          <w:r>
            <w:tab/>
          </w:r>
          <w:r>
            <w:fldChar w:fldCharType="begin"/>
          </w:r>
          <w:r>
            <w:instrText xml:space="preserve"> PAGEREF _Toc14808 \h </w:instrText>
          </w:r>
          <w:r>
            <w:fldChar w:fldCharType="separate"/>
          </w:r>
          <w:r>
            <w:t>39</w:t>
          </w:r>
          <w:r>
            <w:fldChar w:fldCharType="end"/>
          </w:r>
          <w:r>
            <w:rPr>
              <w:rFonts w:hint="eastAsia" w:ascii="黑体" w:hAnsi="黑体" w:eastAsia="黑体" w:cs="黑体"/>
              <w:bCs/>
              <w:smallCaps w:val="0"/>
              <w:szCs w:val="28"/>
              <w:highlight w:val="none"/>
            </w:rPr>
            <w:fldChar w:fldCharType="end"/>
          </w:r>
        </w:p>
        <w:p w14:paraId="22CDAA36">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_Toc32654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6"/>
              <w:highlight w:val="none"/>
              <w:lang w:val="zh-CN"/>
            </w:rPr>
            <w:t>格式1：《唱标信封》</w:t>
          </w:r>
          <w:r>
            <w:tab/>
          </w:r>
          <w:r>
            <w:fldChar w:fldCharType="begin"/>
          </w:r>
          <w:r>
            <w:instrText xml:space="preserve"> PAGEREF _Toc32654 \h </w:instrText>
          </w:r>
          <w:r>
            <w:fldChar w:fldCharType="separate"/>
          </w:r>
          <w:r>
            <w:t>39</w:t>
          </w:r>
          <w:r>
            <w:fldChar w:fldCharType="end"/>
          </w:r>
          <w:r>
            <w:rPr>
              <w:rFonts w:hint="eastAsia" w:ascii="黑体" w:hAnsi="黑体" w:eastAsia="黑体" w:cs="黑体"/>
              <w:bCs/>
              <w:smallCaps w:val="0"/>
              <w:szCs w:val="28"/>
              <w:highlight w:val="none"/>
            </w:rPr>
            <w:fldChar w:fldCharType="end"/>
          </w:r>
        </w:p>
        <w:p w14:paraId="1B050DE4">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_Toc94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zh-CN"/>
            </w:rPr>
            <w:t>格式2：开标一览表</w:t>
          </w:r>
          <w:r>
            <w:tab/>
          </w:r>
          <w:r>
            <w:fldChar w:fldCharType="begin"/>
          </w:r>
          <w:r>
            <w:instrText xml:space="preserve"> PAGEREF _Toc94 \h </w:instrText>
          </w:r>
          <w:r>
            <w:fldChar w:fldCharType="separate"/>
          </w:r>
          <w:r>
            <w:t>40</w:t>
          </w:r>
          <w:r>
            <w:fldChar w:fldCharType="end"/>
          </w:r>
          <w:r>
            <w:rPr>
              <w:rFonts w:hint="eastAsia" w:ascii="黑体" w:hAnsi="黑体" w:eastAsia="黑体" w:cs="黑体"/>
              <w:bCs/>
              <w:smallCaps w:val="0"/>
              <w:szCs w:val="28"/>
              <w:highlight w:val="none"/>
            </w:rPr>
            <w:fldChar w:fldCharType="end"/>
          </w: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_Toc21833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28"/>
              <w:highlight w:val="none"/>
            </w:rPr>
            <w:fldChar w:fldCharType="end"/>
          </w:r>
        </w:p>
        <w:p w14:paraId="27743F2B">
          <w:pPr>
            <w:pStyle w:val="7"/>
            <w:tabs>
              <w:tab w:val="right" w:leader="dot" w:pos="8846"/>
            </w:tabs>
            <w:rPr>
              <w:rFonts w:hint="eastAsia" w:ascii="黑体" w:hAnsi="黑体" w:eastAsia="黑体" w:cs="黑体"/>
              <w:bCs/>
              <w:smallCaps w:val="0"/>
              <w:szCs w:val="32"/>
              <w:highlight w:val="none"/>
              <w:lang w:val="zh-CN"/>
            </w:rPr>
          </w:pPr>
          <w:r>
            <w:rPr>
              <w:rFonts w:hint="eastAsia" w:ascii="黑体" w:hAnsi="黑体" w:eastAsia="黑体" w:cs="黑体"/>
              <w:bCs/>
              <w:smallCaps w:val="0"/>
              <w:szCs w:val="32"/>
              <w:highlight w:val="none"/>
              <w:lang w:val="en-US" w:eastAsia="zh-CN"/>
            </w:rPr>
            <w:t>格式3-1：</w:t>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HYPERLINK \l _Toc10469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en-US" w:eastAsia="zh-CN"/>
            </w:rPr>
            <w:t>2025-2027年度质量、环境及职业健康安全管理体系认证服务方案</w:t>
          </w:r>
          <w:r>
            <w:rPr>
              <w:rFonts w:hint="eastAsia" w:ascii="黑体" w:hAnsi="黑体" w:eastAsia="黑体" w:cs="黑体"/>
              <w:bCs/>
              <w:smallCaps w:val="0"/>
              <w:szCs w:val="32"/>
              <w:highlight w:val="none"/>
              <w:lang w:val="zh-CN"/>
            </w:rPr>
            <w:tab/>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PAGEREF _Toc10469 \h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zh-CN"/>
            </w:rPr>
            <w:t>41</w:t>
          </w:r>
          <w:r>
            <w:rPr>
              <w:rFonts w:hint="eastAsia" w:ascii="黑体" w:hAnsi="黑体" w:eastAsia="黑体" w:cs="黑体"/>
              <w:bCs/>
              <w:smallCaps w:val="0"/>
              <w:szCs w:val="32"/>
              <w:highlight w:val="none"/>
              <w:lang w:val="zh-CN"/>
            </w:rPr>
            <w:fldChar w:fldCharType="end"/>
          </w:r>
          <w:r>
            <w:rPr>
              <w:rFonts w:hint="eastAsia" w:ascii="黑体" w:hAnsi="黑体" w:eastAsia="黑体" w:cs="黑体"/>
              <w:bCs/>
              <w:smallCaps w:val="0"/>
              <w:szCs w:val="32"/>
              <w:highlight w:val="none"/>
              <w:lang w:val="zh-CN"/>
            </w:rPr>
            <w:fldChar w:fldCharType="end"/>
          </w:r>
        </w:p>
        <w:p w14:paraId="76CF0FA3">
          <w:pPr>
            <w:pStyle w:val="7"/>
            <w:tabs>
              <w:tab w:val="right" w:leader="dot" w:pos="8846"/>
            </w:tabs>
            <w:rPr>
              <w:rFonts w:hint="eastAsia" w:ascii="黑体" w:hAnsi="黑体" w:eastAsia="黑体" w:cs="黑体"/>
              <w:bCs/>
              <w:smallCaps w:val="0"/>
              <w:szCs w:val="32"/>
              <w:highlight w:val="none"/>
              <w:lang w:val="zh-CN"/>
            </w:rPr>
          </w:pPr>
          <w:r>
            <w:rPr>
              <w:rFonts w:hint="eastAsia" w:ascii="黑体" w:hAnsi="黑体" w:eastAsia="黑体" w:cs="黑体"/>
              <w:bCs/>
              <w:smallCaps w:val="0"/>
              <w:szCs w:val="32"/>
              <w:highlight w:val="none"/>
              <w:lang w:val="en-US" w:eastAsia="zh-CN"/>
            </w:rPr>
            <w:t>格式3-2：</w:t>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HYPERLINK \l _Toc4246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en-US" w:eastAsia="zh-CN"/>
            </w:rPr>
            <w:t>拟委派的审核人员汇总表</w:t>
          </w:r>
          <w:r>
            <w:rPr>
              <w:rFonts w:hint="eastAsia" w:ascii="黑体" w:hAnsi="黑体" w:eastAsia="黑体" w:cs="黑体"/>
              <w:bCs/>
              <w:smallCaps w:val="0"/>
              <w:szCs w:val="32"/>
              <w:highlight w:val="none"/>
              <w:lang w:val="zh-CN"/>
            </w:rPr>
            <w:tab/>
          </w:r>
          <w:r>
            <w:rPr>
              <w:rFonts w:hint="eastAsia" w:ascii="黑体" w:hAnsi="黑体" w:eastAsia="黑体" w:cs="黑体"/>
              <w:bCs/>
              <w:smallCaps w:val="0"/>
              <w:szCs w:val="32"/>
              <w:highlight w:val="none"/>
              <w:lang w:val="zh-CN"/>
            </w:rPr>
            <w:fldChar w:fldCharType="begin"/>
          </w:r>
          <w:r>
            <w:rPr>
              <w:rFonts w:hint="eastAsia" w:ascii="黑体" w:hAnsi="黑体" w:eastAsia="黑体" w:cs="黑体"/>
              <w:bCs/>
              <w:smallCaps w:val="0"/>
              <w:szCs w:val="32"/>
              <w:highlight w:val="none"/>
              <w:lang w:val="zh-CN"/>
            </w:rPr>
            <w:instrText xml:space="preserve"> PAGEREF _Toc4246 \h </w:instrText>
          </w:r>
          <w:r>
            <w:rPr>
              <w:rFonts w:hint="eastAsia" w:ascii="黑体" w:hAnsi="黑体" w:eastAsia="黑体" w:cs="黑体"/>
              <w:bCs/>
              <w:smallCaps w:val="0"/>
              <w:szCs w:val="32"/>
              <w:highlight w:val="none"/>
              <w:lang w:val="zh-CN"/>
            </w:rPr>
            <w:fldChar w:fldCharType="separate"/>
          </w:r>
          <w:r>
            <w:rPr>
              <w:rFonts w:hint="eastAsia" w:ascii="黑体" w:hAnsi="黑体" w:eastAsia="黑体" w:cs="黑体"/>
              <w:bCs/>
              <w:smallCaps w:val="0"/>
              <w:szCs w:val="32"/>
              <w:highlight w:val="none"/>
              <w:lang w:val="zh-CN"/>
            </w:rPr>
            <w:t>42</w:t>
          </w:r>
          <w:r>
            <w:rPr>
              <w:rFonts w:hint="eastAsia" w:ascii="黑体" w:hAnsi="黑体" w:eastAsia="黑体" w:cs="黑体"/>
              <w:bCs/>
              <w:smallCaps w:val="0"/>
              <w:szCs w:val="32"/>
              <w:highlight w:val="none"/>
              <w:lang w:val="zh-CN"/>
            </w:rPr>
            <w:fldChar w:fldCharType="end"/>
          </w:r>
          <w:r>
            <w:rPr>
              <w:rFonts w:hint="eastAsia" w:ascii="黑体" w:hAnsi="黑体" w:eastAsia="黑体" w:cs="黑体"/>
              <w:bCs/>
              <w:smallCaps w:val="0"/>
              <w:szCs w:val="32"/>
              <w:highlight w:val="none"/>
              <w:lang w:val="zh-CN"/>
            </w:rPr>
            <w:fldChar w:fldCharType="end"/>
          </w:r>
        </w:p>
        <w:p w14:paraId="626279B0">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_Toc20116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zh-CN"/>
            </w:rPr>
            <w:t>格式</w:t>
          </w:r>
          <w:r>
            <w:rPr>
              <w:rFonts w:hint="eastAsia" w:ascii="黑体" w:hAnsi="黑体" w:eastAsia="黑体" w:cs="黑体"/>
              <w:bCs/>
              <w:smallCaps w:val="0"/>
              <w:szCs w:val="32"/>
              <w:highlight w:val="none"/>
              <w:lang w:val="en-US" w:eastAsia="zh-CN"/>
            </w:rPr>
            <w:t>4</w:t>
          </w:r>
          <w:r>
            <w:rPr>
              <w:rFonts w:hint="eastAsia" w:ascii="黑体" w:hAnsi="黑体" w:eastAsia="黑体" w:cs="黑体"/>
              <w:bCs/>
              <w:smallCaps w:val="0"/>
              <w:szCs w:val="32"/>
              <w:highlight w:val="none"/>
            </w:rPr>
            <w:t>：</w:t>
          </w:r>
          <w:r>
            <w:rPr>
              <w:rFonts w:hint="eastAsia" w:ascii="黑体" w:hAnsi="黑体" w:eastAsia="黑体" w:cs="黑体"/>
              <w:bCs/>
              <w:smallCaps w:val="0"/>
              <w:szCs w:val="32"/>
              <w:highlight w:val="none"/>
              <w:lang w:val="en-US" w:eastAsia="zh-CN"/>
            </w:rPr>
            <w:t>招标文件响应</w:t>
          </w:r>
          <w:r>
            <w:rPr>
              <w:rFonts w:hint="eastAsia" w:ascii="黑体" w:hAnsi="黑体" w:eastAsia="黑体" w:cs="黑体"/>
              <w:bCs/>
              <w:smallCaps w:val="0"/>
              <w:szCs w:val="32"/>
              <w:highlight w:val="none"/>
            </w:rPr>
            <w:t>情况</w:t>
          </w:r>
          <w:r>
            <w:rPr>
              <w:rFonts w:hint="eastAsia" w:ascii="黑体" w:hAnsi="黑体" w:eastAsia="黑体" w:cs="黑体"/>
              <w:bCs/>
              <w:smallCaps w:val="0"/>
              <w:szCs w:val="32"/>
              <w:highlight w:val="none"/>
              <w:lang w:val="en-US" w:eastAsia="zh-CN"/>
            </w:rPr>
            <w:t>偏离表</w:t>
          </w:r>
          <w:r>
            <w:tab/>
          </w:r>
          <w:r>
            <w:fldChar w:fldCharType="begin"/>
          </w:r>
          <w:r>
            <w:instrText xml:space="preserve"> PAGEREF _Toc20116 \h </w:instrText>
          </w:r>
          <w:r>
            <w:fldChar w:fldCharType="separate"/>
          </w:r>
          <w:r>
            <w:t>43</w:t>
          </w:r>
          <w:r>
            <w:fldChar w:fldCharType="end"/>
          </w:r>
          <w:r>
            <w:rPr>
              <w:rFonts w:hint="eastAsia" w:ascii="黑体" w:hAnsi="黑体" w:eastAsia="黑体" w:cs="黑体"/>
              <w:bCs/>
              <w:smallCaps w:val="0"/>
              <w:szCs w:val="28"/>
              <w:highlight w:val="none"/>
            </w:rPr>
            <w:fldChar w:fldCharType="end"/>
          </w:r>
        </w:p>
        <w:p w14:paraId="351E2C55">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_Toc27241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zh-CN"/>
            </w:rPr>
            <w:t>格式</w:t>
          </w:r>
          <w:r>
            <w:rPr>
              <w:rFonts w:hint="eastAsia" w:ascii="黑体" w:hAnsi="黑体" w:eastAsia="黑体" w:cs="黑体"/>
              <w:bCs/>
              <w:smallCaps w:val="0"/>
              <w:szCs w:val="32"/>
              <w:highlight w:val="none"/>
              <w:lang w:val="en-US" w:eastAsia="zh-CN"/>
            </w:rPr>
            <w:t>5</w:t>
          </w:r>
          <w:r>
            <w:rPr>
              <w:rFonts w:hint="eastAsia" w:ascii="黑体" w:hAnsi="黑体" w:eastAsia="黑体" w:cs="黑体"/>
              <w:bCs/>
              <w:smallCaps w:val="0"/>
              <w:szCs w:val="32"/>
              <w:highlight w:val="none"/>
              <w:lang w:val="zh-CN"/>
            </w:rPr>
            <w:t>：</w:t>
          </w:r>
          <w:r>
            <w:rPr>
              <w:rFonts w:hint="eastAsia" w:ascii="黑体" w:hAnsi="黑体" w:eastAsia="黑体" w:cs="黑体"/>
              <w:bCs/>
              <w:smallCaps w:val="0"/>
              <w:szCs w:val="32"/>
              <w:highlight w:val="none"/>
              <w:lang w:val="en-US" w:eastAsia="zh-CN"/>
            </w:rPr>
            <w:t>服务项目报价单</w:t>
          </w:r>
          <w:r>
            <w:tab/>
          </w:r>
          <w:r>
            <w:fldChar w:fldCharType="begin"/>
          </w:r>
          <w:r>
            <w:instrText xml:space="preserve"> PAGEREF _Toc27241 \h </w:instrText>
          </w:r>
          <w:r>
            <w:fldChar w:fldCharType="separate"/>
          </w:r>
          <w:r>
            <w:t>44</w:t>
          </w:r>
          <w:r>
            <w:fldChar w:fldCharType="end"/>
          </w:r>
          <w:r>
            <w:rPr>
              <w:rFonts w:hint="eastAsia" w:ascii="黑体" w:hAnsi="黑体" w:eastAsia="黑体" w:cs="黑体"/>
              <w:bCs/>
              <w:smallCaps w:val="0"/>
              <w:szCs w:val="28"/>
              <w:highlight w:val="none"/>
            </w:rPr>
            <w:fldChar w:fldCharType="end"/>
          </w:r>
        </w:p>
        <w:p w14:paraId="7E88375A">
          <w:pPr>
            <w:pStyle w:val="7"/>
            <w:tabs>
              <w:tab w:val="right" w:leader="dot" w:pos="8846"/>
            </w:tabs>
          </w:pPr>
          <w:r>
            <w:rPr>
              <w:rFonts w:hint="eastAsia" w:ascii="黑体" w:hAnsi="黑体" w:eastAsia="黑体" w:cs="黑体"/>
              <w:bCs/>
              <w:smallCaps w:val="0"/>
              <w:szCs w:val="28"/>
              <w:highlight w:val="none"/>
            </w:rPr>
            <w:fldChar w:fldCharType="begin"/>
          </w:r>
          <w:r>
            <w:rPr>
              <w:rFonts w:hint="eastAsia" w:ascii="黑体" w:hAnsi="黑体" w:eastAsia="黑体" w:cs="黑体"/>
              <w:bCs/>
              <w:smallCaps w:val="0"/>
              <w:szCs w:val="28"/>
              <w:highlight w:val="none"/>
            </w:rPr>
            <w:instrText xml:space="preserve"> HYPERLINK \l _Toc22098 </w:instrText>
          </w:r>
          <w:r>
            <w:rPr>
              <w:rFonts w:hint="eastAsia" w:ascii="黑体" w:hAnsi="黑体" w:eastAsia="黑体" w:cs="黑体"/>
              <w:bCs/>
              <w:smallCaps w:val="0"/>
              <w:szCs w:val="28"/>
              <w:highlight w:val="none"/>
            </w:rPr>
            <w:fldChar w:fldCharType="separate"/>
          </w:r>
          <w:r>
            <w:rPr>
              <w:rFonts w:hint="eastAsia" w:ascii="黑体" w:hAnsi="黑体" w:eastAsia="黑体" w:cs="黑体"/>
              <w:bCs/>
              <w:smallCaps w:val="0"/>
              <w:szCs w:val="32"/>
              <w:highlight w:val="none"/>
              <w:lang w:val="en-US" w:eastAsia="zh-CN"/>
            </w:rPr>
            <w:t>格</w:t>
          </w:r>
          <w:r>
            <w:rPr>
              <w:rFonts w:hint="eastAsia" w:ascii="黑体" w:hAnsi="黑体" w:eastAsia="黑体" w:cs="黑体"/>
              <w:bCs/>
              <w:smallCaps w:val="0"/>
              <w:szCs w:val="32"/>
              <w:highlight w:val="none"/>
              <w:lang w:val="zh-CN"/>
            </w:rPr>
            <w:t>式</w:t>
          </w:r>
          <w:r>
            <w:rPr>
              <w:rFonts w:hint="eastAsia" w:ascii="黑体" w:hAnsi="黑体" w:eastAsia="黑体" w:cs="黑体"/>
              <w:bCs/>
              <w:smallCaps w:val="0"/>
              <w:szCs w:val="32"/>
              <w:highlight w:val="none"/>
              <w:lang w:val="en-US" w:eastAsia="zh-CN"/>
            </w:rPr>
            <w:t>6</w:t>
          </w:r>
          <w:r>
            <w:rPr>
              <w:rFonts w:hint="eastAsia" w:ascii="黑体" w:hAnsi="黑体" w:eastAsia="黑体" w:cs="黑体"/>
              <w:bCs/>
              <w:smallCaps w:val="0"/>
              <w:szCs w:val="32"/>
              <w:highlight w:val="none"/>
              <w:lang w:val="zh-CN"/>
            </w:rPr>
            <w:t>：</w:t>
          </w:r>
          <w:r>
            <w:rPr>
              <w:rFonts w:hint="eastAsia" w:ascii="黑体" w:hAnsi="黑体" w:eastAsia="黑体" w:cs="黑体"/>
              <w:bCs/>
              <w:smallCaps w:val="0"/>
              <w:szCs w:val="32"/>
              <w:highlight w:val="none"/>
              <w:lang w:val="en-US" w:eastAsia="zh-CN"/>
            </w:rPr>
            <w:t>廉洁</w:t>
          </w:r>
          <w:r>
            <w:rPr>
              <w:rFonts w:hint="eastAsia" w:ascii="黑体" w:hAnsi="黑体" w:eastAsia="黑体" w:cs="黑体"/>
              <w:bCs/>
              <w:smallCaps w:val="0"/>
              <w:szCs w:val="32"/>
              <w:highlight w:val="none"/>
              <w:lang w:val="zh-CN"/>
            </w:rPr>
            <w:t>承诺函</w:t>
          </w:r>
          <w:r>
            <w:tab/>
          </w:r>
          <w:r>
            <w:fldChar w:fldCharType="begin"/>
          </w:r>
          <w:r>
            <w:instrText xml:space="preserve"> PAGEREF _Toc22098 \h </w:instrText>
          </w:r>
          <w:r>
            <w:fldChar w:fldCharType="separate"/>
          </w:r>
          <w:r>
            <w:t>45</w:t>
          </w:r>
          <w:r>
            <w:fldChar w:fldCharType="end"/>
          </w:r>
          <w:r>
            <w:rPr>
              <w:rFonts w:hint="eastAsia" w:ascii="黑体" w:hAnsi="黑体" w:eastAsia="黑体" w:cs="黑体"/>
              <w:bCs/>
              <w:smallCaps w:val="0"/>
              <w:szCs w:val="28"/>
              <w:highlight w:val="none"/>
            </w:rPr>
            <w:fldChar w:fldCharType="end"/>
          </w:r>
        </w:p>
        <w:p w14:paraId="0F86AE5A">
          <w:pPr>
            <w:pStyle w:val="13"/>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Times New Roman" w:hAnsi="Times New Roman" w:eastAsia="仿宋" w:cs="仿宋"/>
              <w:bCs w:val="0"/>
              <w:smallCaps w:val="0"/>
              <w:sz w:val="32"/>
              <w:szCs w:val="32"/>
              <w:highlight w:val="none"/>
            </w:rPr>
          </w:pPr>
          <w:r>
            <w:rPr>
              <w:rFonts w:hint="eastAsia" w:ascii="黑体" w:hAnsi="黑体" w:eastAsia="黑体" w:cs="黑体"/>
              <w:b w:val="0"/>
              <w:bCs/>
              <w:smallCaps w:val="0"/>
              <w:sz w:val="28"/>
              <w:szCs w:val="28"/>
              <w:highlight w:val="none"/>
            </w:rPr>
            <w:fldChar w:fldCharType="end"/>
          </w:r>
        </w:p>
      </w:sdtContent>
    </w:sdt>
    <w:p w14:paraId="5A3DC522">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jc w:val="center"/>
        <w:textAlignment w:val="auto"/>
        <w:rPr>
          <w:rFonts w:hint="default" w:ascii="Times New Roman" w:hAnsi="Times New Roman" w:cs="黑体"/>
          <w:b w:val="0"/>
          <w:bCs/>
          <w:smallCaps w:val="0"/>
          <w:sz w:val="32"/>
          <w:szCs w:val="32"/>
          <w:highlight w:val="none"/>
          <w:lang w:val="en-US" w:eastAsia="zh-CN"/>
        </w:rPr>
      </w:pPr>
      <w:bookmarkStart w:id="6" w:name="_Toc9059"/>
      <w:bookmarkStart w:id="7" w:name="_Toc7967"/>
      <w:bookmarkStart w:id="8" w:name="_Toc4395"/>
      <w:r>
        <w:rPr>
          <w:rFonts w:hint="eastAsia" w:ascii="Times New Roman" w:hAnsi="Times New Roman" w:cs="黑体"/>
          <w:b w:val="0"/>
          <w:bCs/>
          <w:smallCaps w:val="0"/>
          <w:sz w:val="32"/>
          <w:szCs w:val="32"/>
          <w:highlight w:val="none"/>
          <w:lang w:val="en-US" w:eastAsia="zh-CN"/>
        </w:rPr>
        <w:t>第一部分 招标公告</w:t>
      </w:r>
      <w:bookmarkEnd w:id="6"/>
    </w:p>
    <w:bookmarkEnd w:id="7"/>
    <w:p w14:paraId="7F9B96B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深圳市鹏劳人力资源管理有限公司202</w:t>
      </w:r>
      <w:r>
        <w:rPr>
          <w:rFonts w:hint="eastAsia" w:ascii="Times New Roman" w:hAnsi="Times New Roman" w:eastAsia="方正小标宋简体"/>
          <w:sz w:val="44"/>
          <w:szCs w:val="44"/>
          <w:lang w:val="en-US" w:eastAsia="zh-CN"/>
        </w:rPr>
        <w:t>5</w:t>
      </w: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7</w:t>
      </w:r>
      <w:r>
        <w:rPr>
          <w:rFonts w:hint="eastAsia" w:ascii="Times New Roman" w:hAnsi="Times New Roman" w:eastAsia="方正小标宋简体"/>
          <w:sz w:val="44"/>
          <w:szCs w:val="44"/>
        </w:rPr>
        <w:t>年度质量、环境及职业健康安全管理体系认证</w:t>
      </w:r>
      <w:r>
        <w:rPr>
          <w:rFonts w:hint="eastAsia" w:ascii="Times New Roman" w:hAnsi="Times New Roman" w:eastAsia="方正小标宋简体"/>
          <w:sz w:val="44"/>
          <w:szCs w:val="44"/>
          <w:lang w:val="en-US" w:eastAsia="zh-CN"/>
        </w:rPr>
        <w:t>服务</w:t>
      </w:r>
      <w:r>
        <w:rPr>
          <w:rFonts w:hint="eastAsia" w:ascii="Times New Roman" w:hAnsi="Times New Roman" w:eastAsia="方正小标宋简体"/>
          <w:sz w:val="44"/>
          <w:szCs w:val="44"/>
        </w:rPr>
        <w:t>项目</w:t>
      </w:r>
      <w:r>
        <w:rPr>
          <w:rFonts w:hint="eastAsia" w:ascii="Times New Roman" w:hAnsi="Times New Roman" w:eastAsia="方正小标宋简体"/>
          <w:sz w:val="44"/>
          <w:szCs w:val="44"/>
          <w:lang w:eastAsia="zh-CN"/>
        </w:rPr>
        <w:t>（</w:t>
      </w:r>
      <w:r>
        <w:rPr>
          <w:rFonts w:hint="eastAsia" w:ascii="Times New Roman" w:hAnsi="Times New Roman" w:eastAsia="方正小标宋简体"/>
          <w:sz w:val="44"/>
          <w:szCs w:val="44"/>
          <w:lang w:val="en-US" w:eastAsia="zh-CN"/>
        </w:rPr>
        <w:t>二次）招标</w:t>
      </w:r>
      <w:r>
        <w:rPr>
          <w:rFonts w:hint="eastAsia" w:ascii="Times New Roman" w:hAnsi="Times New Roman" w:eastAsia="方正小标宋简体"/>
          <w:sz w:val="44"/>
          <w:szCs w:val="44"/>
        </w:rPr>
        <w:t>公告</w:t>
      </w:r>
    </w:p>
    <w:p w14:paraId="209B56E4">
      <w:pPr>
        <w:rPr>
          <w:rFonts w:hint="eastAsia" w:ascii="Times New Roman" w:hAnsi="Times New Roman"/>
          <w:smallCaps w:val="0"/>
          <w:highlight w:val="none"/>
          <w:lang w:eastAsia="zh-CN"/>
        </w:rPr>
      </w:pPr>
    </w:p>
    <w:p w14:paraId="10269BCC">
      <w:pPr>
        <w:pStyle w:val="6"/>
        <w:keepNext w:val="0"/>
        <w:keepLines w:val="0"/>
        <w:pageBreakBefore w:val="0"/>
        <w:widowControl w:val="0"/>
        <w:kinsoku/>
        <w:wordWrap w:val="0"/>
        <w:overflowPunct/>
        <w:topLinePunct/>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lang w:val="en-US" w:eastAsia="zh-CN"/>
        </w:rPr>
        <w:t>根据《深圳市鹏劳人力资源管理有限公司采购管理暂行办法》等有关规定，</w:t>
      </w:r>
      <w:r>
        <w:rPr>
          <w:rFonts w:hint="eastAsia" w:ascii="Times New Roman" w:eastAsia="仿宋_GB2312" w:cs="仿宋"/>
          <w:b w:val="0"/>
          <w:bCs/>
          <w:spacing w:val="6"/>
          <w:sz w:val="32"/>
          <w:szCs w:val="32"/>
          <w:lang w:val="en-US" w:eastAsia="zh-CN"/>
        </w:rPr>
        <w:t>现就公司</w:t>
      </w:r>
      <w:r>
        <w:rPr>
          <w:rFonts w:hint="eastAsia" w:ascii="Times New Roman" w:hAnsi="Times New Roman" w:eastAsia="仿宋_GB2312" w:cs="仿宋"/>
          <w:b w:val="0"/>
          <w:bCs/>
          <w:spacing w:val="6"/>
          <w:sz w:val="32"/>
          <w:szCs w:val="32"/>
        </w:rPr>
        <w:t>202</w:t>
      </w:r>
      <w:r>
        <w:rPr>
          <w:rFonts w:hint="eastAsia" w:ascii="Times New Roman" w:hAns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-202</w:t>
      </w:r>
      <w:r>
        <w:rPr>
          <w:rFonts w:hint="eastAsia" w:ascii="Times New Roman" w:hAnsi="Times New Roman" w:eastAsia="仿宋_GB2312" w:cs="仿宋"/>
          <w:b w:val="0"/>
          <w:bCs/>
          <w:spacing w:val="6"/>
          <w:sz w:val="32"/>
          <w:szCs w:val="32"/>
          <w:lang w:val="en-US" w:eastAsia="zh-CN"/>
        </w:rPr>
        <w:t>7</w:t>
      </w:r>
      <w:r>
        <w:rPr>
          <w:rFonts w:hint="eastAsia" w:ascii="Times New Roman" w:hAnsi="Times New Roman" w:eastAsia="仿宋_GB2312" w:cs="仿宋"/>
          <w:b w:val="0"/>
          <w:bCs/>
          <w:spacing w:val="6"/>
          <w:sz w:val="32"/>
          <w:szCs w:val="32"/>
        </w:rPr>
        <w:t>年度质量、环境及职业健康安全管理体系认证</w:t>
      </w:r>
      <w:r>
        <w:rPr>
          <w:rFonts w:hint="eastAsia" w:ascii="Times New Roman" w:hAnsi="Times New Roman" w:eastAsia="仿宋_GB2312" w:cs="仿宋"/>
          <w:b w:val="0"/>
          <w:bCs/>
          <w:spacing w:val="6"/>
          <w:sz w:val="32"/>
          <w:szCs w:val="32"/>
          <w:lang w:val="en-US" w:eastAsia="zh-CN"/>
        </w:rPr>
        <w:t>服务</w:t>
      </w:r>
      <w:r>
        <w:rPr>
          <w:rFonts w:hint="eastAsia" w:ascii="Times New Roman" w:hAnsi="Times New Roman" w:eastAsia="仿宋_GB2312" w:cs="仿宋"/>
          <w:b w:val="0"/>
          <w:bCs/>
          <w:spacing w:val="6"/>
          <w:sz w:val="32"/>
          <w:szCs w:val="32"/>
        </w:rPr>
        <w:t>项目（项目编号：</w:t>
      </w:r>
      <w:r>
        <w:rPr>
          <w:rFonts w:hint="eastAsia" w:ascii="Times New Roman" w:eastAsia="仿宋_GB2312" w:cs="仿宋"/>
          <w:b w:val="0"/>
          <w:bCs/>
          <w:spacing w:val="6"/>
          <w:sz w:val="32"/>
          <w:szCs w:val="32"/>
          <w:lang w:val="en-US" w:eastAsia="zh-CN"/>
        </w:rPr>
        <w:t>PLHR-ZB-FW-20250401</w:t>
      </w:r>
      <w:r>
        <w:rPr>
          <w:rFonts w:hint="eastAsia" w:ascii="Times New Roman" w:hAnsi="Times New Roman" w:eastAsia="仿宋_GB2312" w:cs="仿宋"/>
          <w:b w:val="0"/>
          <w:bCs/>
          <w:spacing w:val="6"/>
          <w:sz w:val="32"/>
          <w:szCs w:val="32"/>
        </w:rPr>
        <w:t>）</w:t>
      </w:r>
      <w:r>
        <w:rPr>
          <w:rFonts w:hint="eastAsia" w:ascii="Times New Roman" w:hAnsi="Times New Roman" w:eastAsia="仿宋_GB2312" w:cs="仿宋_GB2312"/>
          <w:bCs/>
          <w:smallCaps w:val="0"/>
          <w:sz w:val="32"/>
          <w:szCs w:val="32"/>
          <w:highlight w:val="none"/>
          <w:lang w:val="en-US" w:eastAsia="zh-CN"/>
        </w:rPr>
        <w:t>面向社会各供方实施公开招标</w:t>
      </w:r>
      <w:r>
        <w:rPr>
          <w:rFonts w:hint="eastAsia" w:ascii="Times New Roman" w:eastAsia="仿宋_GB2312" w:cs="仿宋"/>
          <w:b w:val="0"/>
          <w:bCs/>
          <w:spacing w:val="6"/>
          <w:sz w:val="32"/>
          <w:szCs w:val="32"/>
          <w:lang w:val="en-US" w:eastAsia="zh-CN"/>
        </w:rPr>
        <w:t>，请有意向</w:t>
      </w:r>
      <w:r>
        <w:rPr>
          <w:rFonts w:hint="eastAsia" w:ascii="Times New Roman" w:hAnsi="Times New Roman" w:eastAsia="仿宋_GB2312" w:cs="仿宋_GB2312"/>
          <w:bCs/>
          <w:smallCaps w:val="0"/>
          <w:sz w:val="32"/>
          <w:szCs w:val="32"/>
          <w:highlight w:val="none"/>
          <w:lang w:val="en-US" w:eastAsia="zh-CN"/>
        </w:rPr>
        <w:t>参与投标的供方</w:t>
      </w:r>
      <w:r>
        <w:rPr>
          <w:rFonts w:hint="eastAsia" w:ascii="Times New Roman" w:eastAsia="仿宋_GB2312" w:cs="仿宋"/>
          <w:b w:val="0"/>
          <w:bCs/>
          <w:spacing w:val="6"/>
          <w:sz w:val="32"/>
          <w:szCs w:val="32"/>
          <w:lang w:val="en-US" w:eastAsia="zh-CN"/>
        </w:rPr>
        <w:t>下载《深圳市鹏劳人力资源管理有限公司2025-2027年度质量、环境及职业健康安全管理体系认证服务项目（二次）招标文件》（本公告附件2），按招标文件及本公告要求实施响应</w:t>
      </w:r>
      <w:r>
        <w:rPr>
          <w:rFonts w:hint="eastAsia" w:ascii="Times New Roman" w:hAnsi="Times New Roman" w:eastAsia="仿宋_GB2312" w:cs="仿宋"/>
          <w:b w:val="0"/>
          <w:bCs/>
          <w:spacing w:val="6"/>
          <w:sz w:val="32"/>
          <w:szCs w:val="32"/>
        </w:rPr>
        <w:t>:</w:t>
      </w:r>
    </w:p>
    <w:p w14:paraId="64480270">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rPr>
      </w:pPr>
      <w:r>
        <w:rPr>
          <w:rFonts w:hint="eastAsia" w:ascii="黑体" w:hAnsi="黑体" w:eastAsia="黑体" w:cs="黑体"/>
          <w:sz w:val="32"/>
          <w:szCs w:val="32"/>
        </w:rPr>
        <w:t>项目</w:t>
      </w:r>
      <w:r>
        <w:rPr>
          <w:rFonts w:hint="eastAsia" w:ascii="黑体" w:hAnsi="黑体" w:eastAsia="黑体" w:cs="黑体"/>
          <w:sz w:val="32"/>
          <w:szCs w:val="32"/>
          <w:lang w:val="en-US" w:eastAsia="zh-CN"/>
        </w:rPr>
        <w:t>名称</w:t>
      </w:r>
    </w:p>
    <w:p w14:paraId="66409D3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7</w:t>
      </w:r>
      <w:r>
        <w:rPr>
          <w:rFonts w:hint="eastAsia" w:ascii="Times New Roman" w:hAnsi="Times New Roman" w:eastAsia="仿宋_GB2312" w:cs="仿宋"/>
          <w:b w:val="0"/>
          <w:bCs/>
          <w:spacing w:val="6"/>
          <w:sz w:val="32"/>
          <w:szCs w:val="32"/>
        </w:rPr>
        <w:t>年度质量、环境及职业健康安全管理体系认证项目</w:t>
      </w:r>
      <w:r>
        <w:rPr>
          <w:rFonts w:hint="eastAsia" w:ascii="Times New Roman" w:hAnsi="Times New Roman" w:eastAsia="仿宋_GB2312" w:cs="仿宋"/>
          <w:b w:val="0"/>
          <w:bCs/>
          <w:spacing w:val="6"/>
          <w:sz w:val="32"/>
          <w:szCs w:val="32"/>
          <w:lang w:eastAsia="zh-CN"/>
        </w:rPr>
        <w:t>（</w:t>
      </w:r>
      <w:r>
        <w:rPr>
          <w:rFonts w:hint="eastAsia" w:ascii="Times New Roman" w:hAnsi="Times New Roman" w:eastAsia="仿宋_GB2312" w:cs="仿宋"/>
          <w:b w:val="0"/>
          <w:bCs/>
          <w:spacing w:val="6"/>
          <w:sz w:val="32"/>
          <w:szCs w:val="32"/>
          <w:lang w:val="en-US" w:eastAsia="zh-CN"/>
        </w:rPr>
        <w:t>二次）</w:t>
      </w:r>
    </w:p>
    <w:p w14:paraId="0F2271B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p>
    <w:p w14:paraId="6230067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lang w:val="en-US" w:eastAsia="zh-CN"/>
        </w:rPr>
        <w:t>PLHR-ZB-FW-20250401</w:t>
      </w:r>
    </w:p>
    <w:p w14:paraId="71A9B86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采购类型</w:t>
      </w:r>
    </w:p>
    <w:p w14:paraId="34B0AEB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rPr>
      </w:pPr>
      <w:r>
        <w:rPr>
          <w:rFonts w:hint="eastAsia" w:ascii="仿宋" w:hAnsi="仿宋" w:eastAsia="仿宋_GB2312" w:cs="仿宋"/>
          <w:b w:val="0"/>
          <w:bCs/>
          <w:spacing w:val="6"/>
          <w:sz w:val="32"/>
          <w:szCs w:val="32"/>
        </w:rPr>
        <w:t>服务采购</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lang w:val="en-US" w:eastAsia="zh-CN"/>
        </w:rPr>
      </w:pPr>
      <w:r>
        <w:rPr>
          <w:rFonts w:hint="eastAsia" w:ascii="Times New Roman" w:hAnsi="Times New Roman" w:eastAsia="仿宋_GB2312" w:cs="仿宋"/>
          <w:b w:val="0"/>
          <w:bCs/>
          <w:spacing w:val="6"/>
          <w:sz w:val="32"/>
          <w:szCs w:val="32"/>
          <w:lang w:val="en-US" w:eastAsia="zh-CN"/>
        </w:rPr>
        <w:t>本项</w:t>
      </w:r>
      <w:r>
        <w:rPr>
          <w:rFonts w:hint="eastAsia" w:ascii="Times New Roman" w:hAnsi="Times New Roman" w:eastAsia="仿宋_GB2312" w:cs="仿宋"/>
          <w:b w:val="0"/>
          <w:bCs/>
          <w:spacing w:val="6"/>
          <w:sz w:val="32"/>
          <w:szCs w:val="32"/>
          <w:highlight w:val="none"/>
          <w:lang w:val="en-US" w:eastAsia="zh-CN"/>
        </w:rPr>
        <w:t>目总预算价为66000元（</w:t>
      </w:r>
      <w:r>
        <w:rPr>
          <w:rFonts w:hint="eastAsia" w:ascii="Times New Roman" w:hAnsi="Times New Roman" w:eastAsia="仿宋_GB2312" w:cs="仿宋"/>
          <w:b w:val="0"/>
          <w:bCs/>
          <w:spacing w:val="6"/>
          <w:sz w:val="32"/>
          <w:szCs w:val="32"/>
          <w:lang w:val="en-US" w:eastAsia="zh-CN"/>
        </w:rPr>
        <w:t>含增值税）</w:t>
      </w:r>
      <w:r>
        <w:rPr>
          <w:rFonts w:hint="eastAsia" w:ascii="Times New Roman" w:eastAsia="仿宋_GB2312" w:cs="仿宋"/>
          <w:b w:val="0"/>
          <w:bCs/>
          <w:spacing w:val="6"/>
          <w:sz w:val="32"/>
          <w:szCs w:val="32"/>
          <w:lang w:val="en-US" w:eastAsia="zh-CN"/>
        </w:rPr>
        <w:t>。</w:t>
      </w:r>
    </w:p>
    <w:p w14:paraId="066368B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项目期限</w:t>
      </w:r>
    </w:p>
    <w:p w14:paraId="6B0ACC2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lang w:eastAsia="zh-CN"/>
        </w:rPr>
      </w:pPr>
      <w:r>
        <w:rPr>
          <w:rFonts w:hint="eastAsia" w:ascii="Times New Roman" w:hAnsi="Times New Roman" w:eastAsia="仿宋_GB2312" w:cs="仿宋"/>
          <w:b w:val="0"/>
          <w:bCs/>
          <w:spacing w:val="6"/>
          <w:sz w:val="32"/>
          <w:szCs w:val="32"/>
          <w:lang w:val="en-US" w:eastAsia="zh-CN"/>
        </w:rPr>
        <w:t>本项目服务周期为2025至2027年，共计3年。</w:t>
      </w:r>
    </w:p>
    <w:p w14:paraId="0D1E4BC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投标人资质要求</w:t>
      </w:r>
    </w:p>
    <w:p w14:paraId="3F30D12B">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3B83D2E2">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32C5863">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投标人至少取得国家认证认可监督管理委员会ISO9001、ISO14001、ISO45001管理体系认证批准书（提供体系认证资格文件扫描件加盖公章）；</w:t>
      </w:r>
    </w:p>
    <w:p w14:paraId="0640899C">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45FF71A3">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33F0AE55">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投标人如为与招标人既往合作的供应商，需满足招标人关于供应商的管理规定，且2022年1月1日至本项目确定中标人之日前投标人无重大事故、服务投诉或质量不符合记录；</w:t>
      </w:r>
    </w:p>
    <w:p w14:paraId="527CDB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7F8A24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3B17E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502BFB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具体内容</w:t>
      </w:r>
    </w:p>
    <w:p w14:paraId="10E6C5C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w:t>
      </w:r>
      <w:r>
        <w:rPr>
          <w:rFonts w:hint="eastAsia" w:ascii="Times New Roman" w:eastAsia="仿宋_GB2312" w:cs="仿宋"/>
          <w:b w:val="0"/>
          <w:bCs/>
          <w:spacing w:val="6"/>
          <w:sz w:val="32"/>
          <w:szCs w:val="32"/>
          <w:lang w:val="en-US" w:eastAsia="zh-CN"/>
        </w:rPr>
        <w:t>《深圳市鹏劳人力资源管理有限公司2025-2027年度质量、环境及职业健康安全管理体系认证服务项目（二次）招标文件》（本公告附件2）。</w:t>
      </w:r>
    </w:p>
    <w:p w14:paraId="24DB6F44">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有意参与响应的供方请于2025年7月28日17时前向招标人列示联系邮箱</w:t>
      </w:r>
      <w:r>
        <w:rPr>
          <w:rFonts w:hint="default" w:ascii="Times New Roman" w:hAnsi="Times New Roman" w:cs="Times New Roman" w:eastAsiaTheme="minorEastAsia"/>
          <w:bCs/>
          <w:smallCaps w:val="0"/>
          <w:sz w:val="32"/>
          <w:szCs w:val="32"/>
          <w:highlight w:val="none"/>
          <w:lang w:val="en-US" w:eastAsia="zh-CN"/>
        </w:rPr>
        <w:t>（huangxj@plhr.cn）</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4C158B62">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参与本阶段投标的供方可将项目一阶段招标的投标文件作为参与本阶段公开招标的投标文件。</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拟参与本项目的投标人在获得招标文件后，应及时阅知招标文件，于2025年7月28日17时前就需要招标人答疑、澄清或确认的事项提出答疑澄清请求发送至招标人联系邮箱，逾期不予受理。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招标人将在收到答疑澄清后，统一于2025年7月29日17时以电子邮件形式根据各投标人提出的答疑澄清请求及招标人认为应当补遗说明的情况进行统一答复说明，答复说明按规不披露疑问来源。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2013947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投标文件递交截止时间</w:t>
      </w:r>
    </w:p>
    <w:p w14:paraId="61F2916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年</w:t>
      </w:r>
      <w:r>
        <w:rPr>
          <w:rFonts w:hint="eastAsia" w:ascii="Times New Roman" w:hAnsi="Times New Roman" w:eastAsia="仿宋_GB2312" w:cs="仿宋"/>
          <w:b w:val="0"/>
          <w:bCs/>
          <w:spacing w:val="6"/>
          <w:sz w:val="32"/>
          <w:szCs w:val="32"/>
          <w:lang w:val="en-US" w:eastAsia="zh-CN"/>
        </w:rPr>
        <w:t>8</w:t>
      </w:r>
      <w:r>
        <w:rPr>
          <w:rFonts w:hint="eastAsia" w:ascii="Times New Roman" w:hAnsi="Times New Roman" w:eastAsia="仿宋_GB2312" w:cs="仿宋"/>
          <w:b w:val="0"/>
          <w:bCs/>
          <w:spacing w:val="6"/>
          <w:sz w:val="32"/>
          <w:szCs w:val="32"/>
        </w:rPr>
        <w:t>月</w:t>
      </w:r>
      <w:r>
        <w:rPr>
          <w:rFonts w:hint="eastAsia" w:ascii="Times New Roman" w:hAnsi="Times New Roman" w:eastAsia="仿宋_GB2312" w:cs="仿宋"/>
          <w:b w:val="0"/>
          <w:bCs/>
          <w:spacing w:val="6"/>
          <w:sz w:val="32"/>
          <w:szCs w:val="32"/>
          <w:lang w:val="en-US" w:eastAsia="zh-CN"/>
        </w:rPr>
        <w:t>4</w:t>
      </w:r>
      <w:r>
        <w:rPr>
          <w:rFonts w:hint="eastAsia" w:ascii="Times New Roman" w:hAnsi="Times New Roman" w:eastAsia="仿宋_GB2312" w:cs="仿宋"/>
          <w:b w:val="0"/>
          <w:bCs/>
          <w:spacing w:val="6"/>
          <w:sz w:val="32"/>
          <w:szCs w:val="32"/>
        </w:rPr>
        <w:t>日</w:t>
      </w:r>
      <w:r>
        <w:rPr>
          <w:rFonts w:hint="eastAsia" w:ascii="Times New Roman" w:hAnsi="Times New Roman" w:eastAsia="仿宋_GB2312" w:cs="仿宋"/>
          <w:b w:val="0"/>
          <w:bCs/>
          <w:spacing w:val="6"/>
          <w:sz w:val="32"/>
          <w:szCs w:val="32"/>
          <w:lang w:val="en-US" w:eastAsia="zh-CN"/>
        </w:rPr>
        <w:t>14:</w:t>
      </w:r>
      <w:r>
        <w:rPr>
          <w:rFonts w:hint="eastAsia" w:ascii="Times New Roman" w:eastAsia="仿宋_GB2312" w:cs="仿宋"/>
          <w:b w:val="0"/>
          <w:bCs/>
          <w:spacing w:val="6"/>
          <w:sz w:val="32"/>
          <w:szCs w:val="32"/>
          <w:lang w:val="en-US" w:eastAsia="zh-CN"/>
        </w:rPr>
        <w:t>30</w:t>
      </w:r>
      <w:r>
        <w:rPr>
          <w:rFonts w:hint="eastAsia" w:ascii="Times New Roman" w:hAnsi="Times New Roman" w:eastAsia="仿宋_GB2312" w:cs="仿宋"/>
          <w:b w:val="0"/>
          <w:bCs/>
          <w:spacing w:val="6"/>
          <w:sz w:val="32"/>
          <w:szCs w:val="32"/>
        </w:rPr>
        <w:t>。</w:t>
      </w:r>
    </w:p>
    <w:p w14:paraId="7C36E1B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开标时间</w:t>
      </w:r>
    </w:p>
    <w:p w14:paraId="1B843DD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rPr>
      </w:pPr>
      <w:r>
        <w:rPr>
          <w:rFonts w:hint="eastAsia" w:ascii="Times New Roman" w:hAnsi="Times New Roman" w:eastAsia="仿宋_GB2312" w:cs="仿宋"/>
          <w:b w:val="0"/>
          <w:bCs/>
          <w:spacing w:val="6"/>
          <w:sz w:val="32"/>
          <w:szCs w:val="32"/>
        </w:rPr>
        <w:t>202</w:t>
      </w:r>
      <w:r>
        <w:rPr>
          <w:rFonts w:hint="eastAsia" w:ascii="Times New Roman" w:eastAsia="仿宋_GB2312" w:cs="仿宋"/>
          <w:b w:val="0"/>
          <w:bCs/>
          <w:spacing w:val="6"/>
          <w:sz w:val="32"/>
          <w:szCs w:val="32"/>
          <w:lang w:val="en-US" w:eastAsia="zh-CN"/>
        </w:rPr>
        <w:t>5</w:t>
      </w:r>
      <w:r>
        <w:rPr>
          <w:rFonts w:hint="eastAsia" w:ascii="Times New Roman" w:hAnsi="Times New Roman" w:eastAsia="仿宋_GB2312" w:cs="仿宋"/>
          <w:b w:val="0"/>
          <w:bCs/>
          <w:spacing w:val="6"/>
          <w:sz w:val="32"/>
          <w:szCs w:val="32"/>
        </w:rPr>
        <w:t>年</w:t>
      </w:r>
      <w:r>
        <w:rPr>
          <w:rFonts w:hint="eastAsia" w:ascii="Times New Roman" w:hAnsi="Times New Roman" w:eastAsia="仿宋_GB2312" w:cs="仿宋"/>
          <w:b w:val="0"/>
          <w:bCs/>
          <w:spacing w:val="6"/>
          <w:sz w:val="32"/>
          <w:szCs w:val="32"/>
          <w:lang w:val="en-US" w:eastAsia="zh-CN"/>
        </w:rPr>
        <w:t>8</w:t>
      </w:r>
      <w:r>
        <w:rPr>
          <w:rFonts w:hint="eastAsia" w:ascii="Times New Roman" w:hAnsi="Times New Roman" w:eastAsia="仿宋_GB2312" w:cs="仿宋"/>
          <w:b w:val="0"/>
          <w:bCs/>
          <w:spacing w:val="6"/>
          <w:sz w:val="32"/>
          <w:szCs w:val="32"/>
        </w:rPr>
        <w:t>月</w:t>
      </w:r>
      <w:r>
        <w:rPr>
          <w:rFonts w:hint="eastAsia" w:ascii="Times New Roman" w:hAnsi="Times New Roman" w:eastAsia="仿宋_GB2312" w:cs="仿宋"/>
          <w:b w:val="0"/>
          <w:bCs/>
          <w:spacing w:val="6"/>
          <w:sz w:val="32"/>
          <w:szCs w:val="32"/>
          <w:lang w:val="en-US" w:eastAsia="zh-CN"/>
        </w:rPr>
        <w:t>4</w:t>
      </w:r>
      <w:r>
        <w:rPr>
          <w:rFonts w:hint="eastAsia" w:ascii="Times New Roman" w:hAnsi="Times New Roman" w:eastAsia="仿宋_GB2312" w:cs="仿宋"/>
          <w:b w:val="0"/>
          <w:bCs/>
          <w:spacing w:val="6"/>
          <w:sz w:val="32"/>
          <w:szCs w:val="32"/>
        </w:rPr>
        <w:t>日</w:t>
      </w:r>
      <w:r>
        <w:rPr>
          <w:rFonts w:hint="eastAsia" w:ascii="Times New Roman" w:hAnsi="Times New Roman" w:eastAsia="仿宋_GB2312" w:cs="仿宋"/>
          <w:b w:val="0"/>
          <w:bCs/>
          <w:spacing w:val="6"/>
          <w:sz w:val="32"/>
          <w:szCs w:val="32"/>
          <w:lang w:val="en-US" w:eastAsia="zh-CN"/>
        </w:rPr>
        <w:t>14:</w:t>
      </w:r>
      <w:r>
        <w:rPr>
          <w:rFonts w:hint="eastAsia" w:ascii="Times New Roman" w:hAnsi="Times New Roman" w:eastAsia="仿宋_GB2312" w:cs="仿宋"/>
          <w:b w:val="0"/>
          <w:bCs/>
          <w:spacing w:val="6"/>
          <w:sz w:val="32"/>
          <w:szCs w:val="32"/>
        </w:rPr>
        <w:t>30。</w:t>
      </w:r>
    </w:p>
    <w:p w14:paraId="71319B4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投标文件递交及开标地点</w:t>
      </w:r>
    </w:p>
    <w:p w14:paraId="09308DFD">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2E55BCC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p>
    <w:p w14:paraId="31DB9CA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69A3BA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154332F1">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电子邮箱：huangxj@plhr.cn</w:t>
      </w:r>
    </w:p>
    <w:p w14:paraId="57989B9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0C52333F">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70671145">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2025年7月25日   </w:t>
      </w:r>
    </w:p>
    <w:p w14:paraId="252988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7837C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6EBC64A9">
      <w:pPr>
        <w:pageBreakBefore w:val="0"/>
        <w:kinsoku/>
        <w:overflowPunct/>
        <w:topLinePunct w:val="0"/>
        <w:autoSpaceDE/>
        <w:autoSpaceDN/>
        <w:bidi w:val="0"/>
        <w:spacing w:line="560" w:lineRule="exact"/>
        <w:textAlignment w:val="auto"/>
        <w:rPr>
          <w:rFonts w:hint="default" w:ascii="黑体" w:hAnsi="黑体" w:eastAsia="黑体" w:cs="黑体"/>
          <w:smallCaps w:val="0"/>
          <w:sz w:val="32"/>
          <w:szCs w:val="32"/>
          <w:highlight w:val="none"/>
          <w:lang w:val="en-US" w:eastAsia="zh-CN"/>
        </w:rPr>
      </w:pPr>
      <w:r>
        <w:rPr>
          <w:rFonts w:hint="eastAsia" w:ascii="黑体" w:hAnsi="黑体" w:eastAsia="黑体" w:cs="黑体"/>
          <w:smallCaps w:val="0"/>
          <w:sz w:val="32"/>
          <w:szCs w:val="32"/>
          <w:highlight w:val="none"/>
          <w:lang w:eastAsia="zh-CN"/>
        </w:rPr>
        <w:t>附件</w:t>
      </w:r>
      <w:r>
        <w:rPr>
          <w:rFonts w:hint="eastAsia" w:ascii="黑体" w:hAnsi="黑体" w:eastAsia="黑体" w:cs="黑体"/>
          <w:smallCaps w:val="0"/>
          <w:sz w:val="32"/>
          <w:szCs w:val="32"/>
          <w:highlight w:val="none"/>
          <w:lang w:val="en-US" w:eastAsia="zh-CN"/>
        </w:rPr>
        <w:t>1</w:t>
      </w:r>
      <w:r>
        <w:rPr>
          <w:rFonts w:hint="eastAsia" w:ascii="黑体" w:hAnsi="黑体" w:eastAsia="黑体" w:cs="黑体"/>
          <w:smallCaps w:val="0"/>
          <w:sz w:val="32"/>
          <w:szCs w:val="32"/>
          <w:highlight w:val="none"/>
          <w:lang w:eastAsia="zh-CN"/>
        </w:rPr>
        <w:t>：</w:t>
      </w:r>
      <w:r>
        <w:rPr>
          <w:rFonts w:hint="eastAsia" w:ascii="黑体" w:hAnsi="黑体" w:eastAsia="黑体" w:cs="黑体"/>
          <w:smallCaps w:val="0"/>
          <w:sz w:val="32"/>
          <w:szCs w:val="32"/>
          <w:highlight w:val="none"/>
          <w:lang w:val="en-US" w:eastAsia="zh-CN"/>
        </w:rPr>
        <w:t>报名表</w:t>
      </w:r>
    </w:p>
    <w:p w14:paraId="75744162">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sz w:val="36"/>
          <w:szCs w:val="36"/>
        </w:rPr>
      </w:pPr>
      <w:bookmarkStart w:id="9" w:name="_Toc140285777"/>
      <w:bookmarkStart w:id="10" w:name="_Toc14816"/>
      <w:r>
        <w:rPr>
          <w:rFonts w:hint="eastAsia" w:ascii="方正小标宋简体" w:hAnsi="方正小标宋简体" w:eastAsia="方正小标宋简体" w:cs="方正小标宋简体"/>
          <w:b w:val="0"/>
          <w:bCs w:val="0"/>
          <w:sz w:val="36"/>
          <w:szCs w:val="36"/>
        </w:rPr>
        <w:t>深圳市鹏劳人力资源管理有限公司</w:t>
      </w:r>
      <w:bookmarkEnd w:id="9"/>
      <w:r>
        <w:rPr>
          <w:rFonts w:hint="eastAsia" w:ascii="Times New Roman" w:hAnsi="Times New Roman" w:eastAsia="方正小标宋简体" w:cs="方正小标宋简体"/>
          <w:b w:val="0"/>
          <w:bCs/>
          <w:smallCaps w:val="0"/>
          <w:sz w:val="36"/>
          <w:szCs w:val="36"/>
          <w:highlight w:val="none"/>
          <w:lang w:val="en-US" w:eastAsia="zh-CN"/>
        </w:rPr>
        <w:t>采购招标</w:t>
      </w:r>
      <w:r>
        <w:rPr>
          <w:rFonts w:hint="eastAsia" w:ascii="Times New Roman" w:hAnsi="Times New Roman" w:eastAsia="方正小标宋简体" w:cs="方正小标宋简体"/>
          <w:b w:val="0"/>
          <w:bCs/>
          <w:smallCaps w:val="0"/>
          <w:sz w:val="36"/>
          <w:szCs w:val="36"/>
          <w:highlight w:val="none"/>
        </w:rPr>
        <w:t>报名表</w:t>
      </w:r>
      <w:bookmarkEnd w:id="10"/>
    </w:p>
    <w:p w14:paraId="7AB2D622">
      <w:pPr>
        <w:rPr>
          <w:rFonts w:hint="eastAsia"/>
        </w:rPr>
      </w:pPr>
    </w:p>
    <w:tbl>
      <w:tblPr>
        <w:tblStyle w:val="16"/>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1620"/>
        <w:gridCol w:w="900"/>
        <w:gridCol w:w="720"/>
        <w:gridCol w:w="1980"/>
      </w:tblGrid>
      <w:tr w14:paraId="69C54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980" w:type="dxa"/>
            <w:tcBorders>
              <w:tl2br w:val="nil"/>
              <w:tr2bl w:val="nil"/>
            </w:tcBorders>
            <w:vAlign w:val="center"/>
          </w:tcPr>
          <w:p w14:paraId="0E7A2A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项目名称</w:t>
            </w:r>
          </w:p>
        </w:tc>
        <w:tc>
          <w:tcPr>
            <w:tcW w:w="7020" w:type="dxa"/>
            <w:gridSpan w:val="5"/>
            <w:tcBorders>
              <w:tl2br w:val="nil"/>
              <w:tr2bl w:val="nil"/>
            </w:tcBorders>
            <w:vAlign w:val="center"/>
          </w:tcPr>
          <w:p w14:paraId="7F73B1CE">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480" w:firstLineChars="200"/>
              <w:jc w:val="center"/>
              <w:textAlignment w:val="auto"/>
              <w:rPr>
                <w:rFonts w:hint="default" w:ascii="Times New Roman" w:hAnsi="Times New Roman" w:eastAsia="宋体" w:cs="宋体"/>
                <w:b/>
                <w:sz w:val="24"/>
                <w:szCs w:val="24"/>
                <w:lang w:val="en-US" w:eastAsia="zh-CN"/>
              </w:rPr>
            </w:pPr>
            <w:r>
              <w:rPr>
                <w:rFonts w:hint="eastAsia" w:ascii="Times New Roman" w:hAnsi="Times New Roman" w:eastAsia="宋体" w:cs="宋体"/>
                <w:b w:val="0"/>
                <w:sz w:val="24"/>
                <w:szCs w:val="24"/>
              </w:rPr>
              <w:t>深圳市鹏劳人力资源管理有限公司202</w:t>
            </w:r>
            <w:r>
              <w:rPr>
                <w:rFonts w:hint="eastAsia" w:ascii="Times New Roman" w:hAnsi="Times New Roman" w:eastAsia="宋体" w:cs="宋体"/>
                <w:b w:val="0"/>
                <w:sz w:val="24"/>
                <w:szCs w:val="24"/>
                <w:lang w:val="en-US" w:eastAsia="zh-CN"/>
              </w:rPr>
              <w:t>5</w:t>
            </w:r>
            <w:r>
              <w:rPr>
                <w:rFonts w:hint="eastAsia" w:ascii="Times New Roman" w:hAnsi="Times New Roman" w:eastAsia="宋体" w:cs="宋体"/>
                <w:b w:val="0"/>
                <w:sz w:val="24"/>
                <w:szCs w:val="24"/>
              </w:rPr>
              <w:t>-202</w:t>
            </w:r>
            <w:r>
              <w:rPr>
                <w:rFonts w:hint="eastAsia" w:ascii="Times New Roman" w:hAnsi="Times New Roman" w:eastAsia="宋体" w:cs="宋体"/>
                <w:b w:val="0"/>
                <w:sz w:val="24"/>
                <w:szCs w:val="24"/>
                <w:lang w:val="en-US" w:eastAsia="zh-CN"/>
              </w:rPr>
              <w:t>7</w:t>
            </w:r>
            <w:r>
              <w:rPr>
                <w:rFonts w:hint="eastAsia" w:ascii="Times New Roman" w:hAnsi="Times New Roman" w:eastAsia="宋体" w:cs="宋体"/>
                <w:b w:val="0"/>
                <w:sz w:val="24"/>
                <w:szCs w:val="24"/>
              </w:rPr>
              <w:t>年度质量、环境及职业健康安全管理体系认证服务项目</w:t>
            </w:r>
            <w:r>
              <w:rPr>
                <w:rFonts w:hint="eastAsia" w:ascii="Times New Roman" w:hAnsi="Times New Roman" w:eastAsia="宋体" w:cs="宋体"/>
                <w:b w:val="0"/>
                <w:sz w:val="24"/>
                <w:szCs w:val="24"/>
                <w:lang w:eastAsia="zh-CN"/>
              </w:rPr>
              <w:t>（</w:t>
            </w:r>
            <w:r>
              <w:rPr>
                <w:rFonts w:hint="eastAsia" w:ascii="Times New Roman" w:hAnsi="Times New Roman" w:eastAsia="宋体" w:cs="宋体"/>
                <w:b w:val="0"/>
                <w:sz w:val="24"/>
                <w:szCs w:val="24"/>
                <w:lang w:val="en-US" w:eastAsia="zh-CN"/>
              </w:rPr>
              <w:t>二次）</w:t>
            </w:r>
          </w:p>
        </w:tc>
      </w:tr>
      <w:tr w14:paraId="0821E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0" w:type="dxa"/>
            <w:tcBorders>
              <w:tl2br w:val="nil"/>
              <w:tr2bl w:val="nil"/>
            </w:tcBorders>
            <w:vAlign w:val="center"/>
          </w:tcPr>
          <w:p w14:paraId="4FB0FB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项目编号</w:t>
            </w:r>
          </w:p>
        </w:tc>
        <w:tc>
          <w:tcPr>
            <w:tcW w:w="3420" w:type="dxa"/>
            <w:gridSpan w:val="2"/>
            <w:tcBorders>
              <w:tl2br w:val="nil"/>
              <w:tr2bl w:val="nil"/>
            </w:tcBorders>
            <w:vAlign w:val="center"/>
          </w:tcPr>
          <w:p w14:paraId="4106074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宋体" w:cs="宋体"/>
                <w:b/>
                <w:sz w:val="24"/>
                <w:szCs w:val="24"/>
                <w:lang w:val="en-US"/>
              </w:rPr>
            </w:pPr>
            <w:r>
              <w:rPr>
                <w:rFonts w:hint="default" w:ascii="Times New Roman" w:hAnsi="Times New Roman" w:eastAsia="宋体" w:cs="宋体"/>
                <w:b w:val="0"/>
                <w:bCs/>
                <w:sz w:val="24"/>
                <w:szCs w:val="24"/>
                <w:lang w:val="en-US" w:eastAsia="zh-CN"/>
              </w:rPr>
              <w:t>PLHR-ZB-FW-202504</w:t>
            </w:r>
            <w:r>
              <w:rPr>
                <w:rFonts w:hint="eastAsia" w:ascii="Times New Roman" w:hAnsi="Times New Roman" w:eastAsia="宋体" w:cs="宋体"/>
                <w:b w:val="0"/>
                <w:bCs/>
                <w:sz w:val="24"/>
                <w:szCs w:val="24"/>
                <w:lang w:val="en-US" w:eastAsia="zh-CN"/>
              </w:rPr>
              <w:t>01</w:t>
            </w:r>
          </w:p>
        </w:tc>
        <w:tc>
          <w:tcPr>
            <w:tcW w:w="1620" w:type="dxa"/>
            <w:gridSpan w:val="2"/>
            <w:tcBorders>
              <w:tl2br w:val="nil"/>
              <w:tr2bl w:val="nil"/>
            </w:tcBorders>
            <w:vAlign w:val="center"/>
          </w:tcPr>
          <w:p w14:paraId="1DBD6153">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　所投包号</w:t>
            </w:r>
          </w:p>
        </w:tc>
        <w:tc>
          <w:tcPr>
            <w:tcW w:w="1980" w:type="dxa"/>
            <w:tcBorders>
              <w:tl2br w:val="nil"/>
              <w:tr2bl w:val="nil"/>
            </w:tcBorders>
            <w:vAlign w:val="center"/>
          </w:tcPr>
          <w:p w14:paraId="7A07A3F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w:t>
            </w:r>
          </w:p>
        </w:tc>
      </w:tr>
      <w:tr w14:paraId="2D870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0" w:type="dxa"/>
            <w:tcBorders>
              <w:tl2br w:val="nil"/>
              <w:tr2bl w:val="nil"/>
            </w:tcBorders>
            <w:vAlign w:val="center"/>
          </w:tcPr>
          <w:p w14:paraId="745D65E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lang w:val="en-US" w:eastAsia="zh-CN"/>
              </w:rPr>
              <w:t>供应商</w:t>
            </w:r>
            <w:r>
              <w:rPr>
                <w:rFonts w:hint="eastAsia" w:ascii="Times New Roman" w:hAnsi="Times New Roman" w:eastAsia="宋体" w:cs="宋体"/>
                <w:bCs/>
                <w:sz w:val="24"/>
                <w:szCs w:val="24"/>
              </w:rPr>
              <w:t>全称</w:t>
            </w:r>
          </w:p>
          <w:p w14:paraId="4D8F6F1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（加盖公章）</w:t>
            </w:r>
          </w:p>
        </w:tc>
        <w:tc>
          <w:tcPr>
            <w:tcW w:w="7020" w:type="dxa"/>
            <w:gridSpan w:val="5"/>
            <w:tcBorders>
              <w:tl2br w:val="nil"/>
              <w:tr2bl w:val="nil"/>
            </w:tcBorders>
            <w:vAlign w:val="center"/>
          </w:tcPr>
          <w:p w14:paraId="0E8A8192">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43A61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l2br w:val="nil"/>
              <w:tr2bl w:val="nil"/>
            </w:tcBorders>
            <w:vAlign w:val="center"/>
          </w:tcPr>
          <w:p w14:paraId="7B0BD29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详细地址</w:t>
            </w:r>
          </w:p>
        </w:tc>
        <w:tc>
          <w:tcPr>
            <w:tcW w:w="3420" w:type="dxa"/>
            <w:gridSpan w:val="2"/>
            <w:tcBorders>
              <w:tl2br w:val="nil"/>
              <w:tr2bl w:val="nil"/>
            </w:tcBorders>
            <w:vAlign w:val="center"/>
          </w:tcPr>
          <w:p w14:paraId="7656EE3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c>
          <w:tcPr>
            <w:tcW w:w="1620" w:type="dxa"/>
            <w:gridSpan w:val="2"/>
            <w:tcBorders>
              <w:tl2br w:val="nil"/>
              <w:tr2bl w:val="nil"/>
            </w:tcBorders>
            <w:vAlign w:val="center"/>
          </w:tcPr>
          <w:p w14:paraId="06FF97A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邮政编码</w:t>
            </w:r>
          </w:p>
        </w:tc>
        <w:tc>
          <w:tcPr>
            <w:tcW w:w="1980" w:type="dxa"/>
            <w:tcBorders>
              <w:tl2br w:val="nil"/>
              <w:tr2bl w:val="nil"/>
            </w:tcBorders>
            <w:vAlign w:val="center"/>
          </w:tcPr>
          <w:p w14:paraId="23B3FCC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163B0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0" w:type="dxa"/>
            <w:tcBorders>
              <w:tl2br w:val="nil"/>
              <w:tr2bl w:val="nil"/>
            </w:tcBorders>
            <w:vAlign w:val="center"/>
          </w:tcPr>
          <w:p w14:paraId="540932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法定代表人</w:t>
            </w:r>
          </w:p>
          <w:p w14:paraId="564466D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（负责人）</w:t>
            </w:r>
          </w:p>
        </w:tc>
        <w:tc>
          <w:tcPr>
            <w:tcW w:w="3420" w:type="dxa"/>
            <w:gridSpan w:val="2"/>
            <w:tcBorders>
              <w:tl2br w:val="nil"/>
              <w:tr2bl w:val="nil"/>
            </w:tcBorders>
            <w:vAlign w:val="center"/>
          </w:tcPr>
          <w:p w14:paraId="2319E304">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c>
          <w:tcPr>
            <w:tcW w:w="1620" w:type="dxa"/>
            <w:gridSpan w:val="2"/>
            <w:tcBorders>
              <w:tl2br w:val="nil"/>
              <w:tr2bl w:val="nil"/>
            </w:tcBorders>
            <w:vAlign w:val="center"/>
          </w:tcPr>
          <w:p w14:paraId="6D74956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注册资金</w:t>
            </w:r>
          </w:p>
        </w:tc>
        <w:tc>
          <w:tcPr>
            <w:tcW w:w="1980" w:type="dxa"/>
            <w:tcBorders>
              <w:tl2br w:val="nil"/>
              <w:tr2bl w:val="nil"/>
            </w:tcBorders>
            <w:vAlign w:val="center"/>
          </w:tcPr>
          <w:p w14:paraId="4827BFEE">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2C9F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0" w:type="dxa"/>
            <w:tcBorders>
              <w:tl2br w:val="nil"/>
              <w:tr2bl w:val="nil"/>
            </w:tcBorders>
            <w:vAlign w:val="center"/>
          </w:tcPr>
          <w:p w14:paraId="1FB43D4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联系电话</w:t>
            </w:r>
          </w:p>
        </w:tc>
        <w:tc>
          <w:tcPr>
            <w:tcW w:w="3420" w:type="dxa"/>
            <w:gridSpan w:val="2"/>
            <w:tcBorders>
              <w:tl2br w:val="nil"/>
              <w:tr2bl w:val="nil"/>
            </w:tcBorders>
            <w:vAlign w:val="center"/>
          </w:tcPr>
          <w:p w14:paraId="0AD9BD0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c>
          <w:tcPr>
            <w:tcW w:w="1620" w:type="dxa"/>
            <w:gridSpan w:val="2"/>
            <w:tcBorders>
              <w:tl2br w:val="nil"/>
              <w:tr2bl w:val="nil"/>
            </w:tcBorders>
            <w:vAlign w:val="center"/>
          </w:tcPr>
          <w:p w14:paraId="0899990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传真</w:t>
            </w:r>
          </w:p>
        </w:tc>
        <w:tc>
          <w:tcPr>
            <w:tcW w:w="1980" w:type="dxa"/>
            <w:tcBorders>
              <w:tl2br w:val="nil"/>
              <w:tr2bl w:val="nil"/>
            </w:tcBorders>
            <w:vAlign w:val="center"/>
          </w:tcPr>
          <w:p w14:paraId="7C346276">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r w14:paraId="1ED55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0" w:type="dxa"/>
            <w:vMerge w:val="restart"/>
            <w:tcBorders>
              <w:tl2br w:val="nil"/>
              <w:tr2bl w:val="nil"/>
            </w:tcBorders>
            <w:vAlign w:val="center"/>
          </w:tcPr>
          <w:p w14:paraId="6B34F3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宋体" w:cs="宋体"/>
                <w:bCs/>
                <w:sz w:val="24"/>
                <w:szCs w:val="24"/>
              </w:rPr>
            </w:pPr>
            <w:r>
              <w:rPr>
                <w:rFonts w:hint="eastAsia" w:ascii="Times New Roman" w:hAnsi="Times New Roman" w:eastAsia="宋体" w:cs="宋体"/>
                <w:bCs/>
                <w:sz w:val="24"/>
                <w:szCs w:val="24"/>
                <w:lang w:val="en-US" w:eastAsia="zh-CN"/>
              </w:rPr>
              <w:t>供应商</w:t>
            </w:r>
            <w:r>
              <w:rPr>
                <w:rFonts w:hint="eastAsia" w:ascii="Times New Roman" w:hAnsi="Times New Roman" w:eastAsia="宋体" w:cs="宋体"/>
                <w:bCs/>
                <w:sz w:val="24"/>
                <w:szCs w:val="24"/>
              </w:rPr>
              <w:t>联系人</w:t>
            </w:r>
          </w:p>
          <w:p w14:paraId="6206F6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w:t>
            </w:r>
            <w:r>
              <w:rPr>
                <w:rFonts w:hint="eastAsia" w:ascii="Times New Roman" w:hAnsi="Times New Roman" w:eastAsia="宋体" w:cs="宋体"/>
                <w:bCs/>
                <w:sz w:val="24"/>
                <w:szCs w:val="24"/>
                <w:lang w:eastAsia="zh-CN"/>
              </w:rPr>
              <w:t>投标</w:t>
            </w:r>
            <w:r>
              <w:rPr>
                <w:rFonts w:hint="eastAsia" w:ascii="Times New Roman" w:hAnsi="Times New Roman" w:eastAsia="宋体" w:cs="宋体"/>
                <w:bCs/>
                <w:sz w:val="24"/>
                <w:szCs w:val="24"/>
              </w:rPr>
              <w:t>代表）</w:t>
            </w:r>
          </w:p>
        </w:tc>
        <w:tc>
          <w:tcPr>
            <w:tcW w:w="1800" w:type="dxa"/>
            <w:tcBorders>
              <w:tl2br w:val="nil"/>
              <w:tr2bl w:val="nil"/>
            </w:tcBorders>
            <w:vAlign w:val="center"/>
          </w:tcPr>
          <w:p w14:paraId="1395D85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姓名</w:t>
            </w:r>
          </w:p>
        </w:tc>
        <w:tc>
          <w:tcPr>
            <w:tcW w:w="2520" w:type="dxa"/>
            <w:gridSpan w:val="2"/>
            <w:tcBorders>
              <w:tl2br w:val="nil"/>
              <w:tr2bl w:val="nil"/>
            </w:tcBorders>
            <w:vAlign w:val="center"/>
          </w:tcPr>
          <w:p w14:paraId="3049F1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电话号码（手机）</w:t>
            </w:r>
          </w:p>
        </w:tc>
        <w:tc>
          <w:tcPr>
            <w:tcW w:w="2700" w:type="dxa"/>
            <w:gridSpan w:val="2"/>
            <w:tcBorders>
              <w:tl2br w:val="nil"/>
              <w:tr2bl w:val="nil"/>
            </w:tcBorders>
            <w:vAlign w:val="center"/>
          </w:tcPr>
          <w:p w14:paraId="65ADB71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E-mail</w:t>
            </w:r>
          </w:p>
        </w:tc>
      </w:tr>
      <w:tr w14:paraId="0FD96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80" w:type="dxa"/>
            <w:vMerge w:val="continue"/>
            <w:tcBorders>
              <w:tl2br w:val="nil"/>
              <w:tr2bl w:val="nil"/>
            </w:tcBorders>
            <w:vAlign w:val="center"/>
          </w:tcPr>
          <w:p w14:paraId="0820236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c>
          <w:tcPr>
            <w:tcW w:w="1800" w:type="dxa"/>
            <w:tcBorders>
              <w:tl2br w:val="nil"/>
              <w:tr2bl w:val="nil"/>
            </w:tcBorders>
            <w:vAlign w:val="center"/>
          </w:tcPr>
          <w:p w14:paraId="5543C8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c>
          <w:tcPr>
            <w:tcW w:w="2520" w:type="dxa"/>
            <w:gridSpan w:val="2"/>
            <w:tcBorders>
              <w:tl2br w:val="nil"/>
              <w:tr2bl w:val="nil"/>
            </w:tcBorders>
            <w:vAlign w:val="center"/>
          </w:tcPr>
          <w:p w14:paraId="62ECD3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c>
          <w:tcPr>
            <w:tcW w:w="2700" w:type="dxa"/>
            <w:gridSpan w:val="2"/>
            <w:tcBorders>
              <w:tl2br w:val="nil"/>
              <w:tr2bl w:val="nil"/>
            </w:tcBorders>
            <w:vAlign w:val="center"/>
          </w:tcPr>
          <w:p w14:paraId="6C2541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p>
        </w:tc>
      </w:tr>
      <w:tr w14:paraId="32C7F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0" w:type="dxa"/>
            <w:tcBorders>
              <w:tl2br w:val="nil"/>
              <w:tr2bl w:val="nil"/>
            </w:tcBorders>
            <w:vAlign w:val="center"/>
          </w:tcPr>
          <w:p w14:paraId="4925373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报名供应商资质文件清单</w:t>
            </w:r>
          </w:p>
        </w:tc>
        <w:tc>
          <w:tcPr>
            <w:tcW w:w="7020" w:type="dxa"/>
            <w:gridSpan w:val="5"/>
            <w:tcBorders>
              <w:tl2br w:val="nil"/>
              <w:tr2bl w:val="nil"/>
            </w:tcBorders>
            <w:vAlign w:val="center"/>
          </w:tcPr>
          <w:p w14:paraId="1A54F6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1.《统一社会信用代码营业执照》副本或组织机构代码证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B0FEDF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2.法定代表人身份证明书及法人身份证复印件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C07C1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3.法定代表人授权委托书及被委托人身份证复印件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ACD21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4.体系认证资格文件</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2998578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Times New Roman" w:hAnsi="Times New Roman" w:eastAsia="宋体" w:cs="宋体"/>
                <w:b/>
                <w:sz w:val="24"/>
                <w:szCs w:val="24"/>
              </w:rPr>
            </w:pPr>
            <w:r>
              <w:rPr>
                <w:rFonts w:hint="eastAsia" w:ascii="Times New Roman" w:hAnsi="Times New Roman" w:cstheme="minorEastAsia"/>
                <w:b w:val="0"/>
                <w:bCs/>
                <w:smallCaps w:val="0"/>
                <w:sz w:val="22"/>
                <w:szCs w:val="22"/>
                <w:highlight w:val="none"/>
                <w:lang w:val="en-US" w:eastAsia="zh-CN"/>
              </w:rPr>
              <w:t>5.</w:t>
            </w:r>
            <w:r>
              <w:rPr>
                <w:rFonts w:hint="eastAsia" w:ascii="Times New Roman" w:hAnsi="Times New Roman" w:eastAsiaTheme="minorEastAsia" w:cstheme="minorEastAsia"/>
                <w:b w:val="0"/>
                <w:bCs/>
                <w:smallCaps w:val="0"/>
                <w:sz w:val="22"/>
                <w:szCs w:val="22"/>
                <w:highlight w:val="none"/>
                <w:lang w:val="en-US" w:eastAsia="zh-CN"/>
              </w:rPr>
              <w:t>中国合格评定国家认可委员会官网查询截图</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42EFE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80" w:type="dxa"/>
            <w:tcBorders>
              <w:tl2br w:val="nil"/>
              <w:tr2bl w:val="nil"/>
            </w:tcBorders>
            <w:vAlign w:val="center"/>
          </w:tcPr>
          <w:p w14:paraId="67CAE6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rPr>
            </w:pPr>
            <w:r>
              <w:rPr>
                <w:rFonts w:hint="eastAsia" w:ascii="Times New Roman" w:hAnsi="Times New Roman" w:eastAsia="宋体" w:cs="宋体"/>
                <w:bCs/>
                <w:sz w:val="24"/>
                <w:szCs w:val="24"/>
              </w:rPr>
              <w:t>备注</w:t>
            </w:r>
          </w:p>
        </w:tc>
        <w:tc>
          <w:tcPr>
            <w:tcW w:w="7020" w:type="dxa"/>
            <w:gridSpan w:val="5"/>
            <w:tcBorders>
              <w:tl2br w:val="nil"/>
              <w:tr2bl w:val="nil"/>
            </w:tcBorders>
            <w:vAlign w:val="bottom"/>
          </w:tcPr>
          <w:p w14:paraId="61EB8E8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p w14:paraId="3AB2C02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p w14:paraId="78D2D227">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p w14:paraId="70DA846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rPr>
            </w:pPr>
          </w:p>
        </w:tc>
      </w:tr>
    </w:tbl>
    <w:p w14:paraId="7AFED985">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rPr>
      </w:pPr>
      <w:r>
        <w:rPr>
          <w:rFonts w:hint="eastAsia" w:ascii="Times New Roman" w:hAnsi="Times New Roman" w:eastAsia="仿宋_GB2312" w:cs="宋体"/>
          <w:bCs/>
          <w:sz w:val="21"/>
          <w:szCs w:val="21"/>
        </w:rPr>
        <w:t>填报说明</w:t>
      </w:r>
      <w:r>
        <w:rPr>
          <w:rFonts w:hint="eastAsia" w:ascii="Times New Roman" w:hAnsi="Times New Roman" w:eastAsia="仿宋_GB2312" w:cs="宋体"/>
          <w:bCs/>
          <w:sz w:val="21"/>
          <w:szCs w:val="21"/>
          <w:lang w:eastAsia="zh-CN"/>
        </w:rPr>
        <w:t>：</w:t>
      </w:r>
      <w:r>
        <w:rPr>
          <w:rFonts w:hint="eastAsia" w:ascii="Times New Roman" w:hAnsi="Times New Roman" w:eastAsia="仿宋_GB2312" w:cs="宋体"/>
          <w:bCs/>
          <w:sz w:val="21"/>
          <w:szCs w:val="21"/>
        </w:rPr>
        <w:t>本表为</w:t>
      </w:r>
      <w:r>
        <w:rPr>
          <w:rFonts w:hint="eastAsia" w:ascii="Times New Roman" w:hAnsi="Times New Roman" w:eastAsia="仿宋_GB2312" w:cs="宋体"/>
          <w:bCs/>
          <w:sz w:val="21"/>
          <w:szCs w:val="21"/>
          <w:lang w:val="en-US" w:eastAsia="zh-CN"/>
        </w:rPr>
        <w:t>招标</w:t>
      </w:r>
      <w:r>
        <w:rPr>
          <w:rFonts w:hint="eastAsia" w:ascii="Times New Roman" w:hAnsi="Times New Roman" w:eastAsia="仿宋_GB2312" w:cs="宋体"/>
          <w:bCs/>
          <w:sz w:val="21"/>
          <w:szCs w:val="21"/>
        </w:rPr>
        <w:t>公告附件，请有意向参与</w:t>
      </w:r>
      <w:r>
        <w:rPr>
          <w:rFonts w:hint="eastAsia" w:ascii="Times New Roman" w:hAnsi="Times New Roman" w:eastAsia="仿宋_GB2312" w:cs="宋体"/>
          <w:bCs/>
          <w:sz w:val="21"/>
          <w:szCs w:val="21"/>
          <w:lang w:val="en-US" w:eastAsia="zh-CN"/>
        </w:rPr>
        <w:t>报名</w:t>
      </w:r>
      <w:r>
        <w:rPr>
          <w:rFonts w:hint="eastAsia" w:ascii="Times New Roman" w:hAnsi="Times New Roman" w:eastAsia="仿宋_GB2312" w:cs="宋体"/>
          <w:bCs/>
          <w:sz w:val="21"/>
          <w:szCs w:val="21"/>
        </w:rPr>
        <w:t>的</w:t>
      </w:r>
      <w:r>
        <w:rPr>
          <w:rFonts w:hint="eastAsia" w:ascii="Times New Roman" w:hAnsi="Times New Roman" w:eastAsia="仿宋_GB2312" w:cs="宋体"/>
          <w:bCs/>
          <w:sz w:val="21"/>
          <w:szCs w:val="21"/>
          <w:lang w:val="en-US" w:eastAsia="zh-CN"/>
        </w:rPr>
        <w:t>投标人</w:t>
      </w:r>
      <w:r>
        <w:rPr>
          <w:rFonts w:hint="eastAsia" w:ascii="Times New Roman" w:hAnsi="Times New Roman" w:eastAsia="仿宋_GB2312" w:cs="宋体"/>
          <w:bCs/>
          <w:sz w:val="21"/>
          <w:szCs w:val="21"/>
        </w:rPr>
        <w:t>填报本表，并</w:t>
      </w:r>
      <w:r>
        <w:rPr>
          <w:rFonts w:hint="eastAsia" w:ascii="Times New Roman" w:hAnsi="Times New Roman" w:eastAsia="仿宋_GB2312" w:cs="宋体"/>
          <w:b/>
          <w:bCs/>
          <w:sz w:val="21"/>
          <w:szCs w:val="21"/>
        </w:rPr>
        <w:t>按序</w:t>
      </w:r>
      <w:r>
        <w:rPr>
          <w:rFonts w:hint="eastAsia" w:ascii="Times New Roman" w:hAnsi="Times New Roman" w:eastAsia="仿宋_GB2312" w:cs="宋体"/>
          <w:bCs/>
          <w:sz w:val="21"/>
          <w:szCs w:val="21"/>
        </w:rPr>
        <w:t>提交资格预审文件电子版（</w:t>
      </w:r>
      <w:r>
        <w:rPr>
          <w:rFonts w:hint="eastAsia" w:ascii="Times New Roman" w:hAnsi="Times New Roman" w:eastAsia="仿宋_GB2312" w:cs="宋体"/>
          <w:b/>
          <w:bCs w:val="0"/>
          <w:sz w:val="21"/>
          <w:szCs w:val="21"/>
        </w:rPr>
        <w:t>加盖公章扫描PDF格式</w:t>
      </w:r>
      <w:r>
        <w:rPr>
          <w:rFonts w:hint="eastAsia" w:ascii="Times New Roman" w:hAnsi="Times New Roman" w:eastAsia="仿宋_GB2312" w:cs="宋体"/>
          <w:bCs/>
          <w:sz w:val="21"/>
          <w:szCs w:val="21"/>
        </w:rPr>
        <w:t>，与本表压缩至文件包，以“</w:t>
      </w:r>
      <w:r>
        <w:rPr>
          <w:rFonts w:hint="eastAsia" w:ascii="Times New Roman" w:hAnsi="Times New Roman" w:eastAsia="仿宋_GB2312" w:cs="宋体"/>
          <w:bCs/>
          <w:sz w:val="21"/>
          <w:szCs w:val="21"/>
          <w:lang w:val="en-US" w:eastAsia="zh-CN"/>
        </w:rPr>
        <w:t>投标人</w:t>
      </w:r>
      <w:r>
        <w:rPr>
          <w:rFonts w:hint="eastAsia" w:ascii="Times New Roman" w:hAnsi="Times New Roman" w:eastAsia="仿宋_GB2312" w:cs="宋体"/>
          <w:bCs/>
          <w:sz w:val="21"/>
          <w:szCs w:val="21"/>
        </w:rPr>
        <w:t>全称-</w:t>
      </w:r>
      <w:r>
        <w:rPr>
          <w:rFonts w:hint="eastAsia" w:ascii="Times New Roman" w:hAnsi="Times New Roman" w:eastAsia="仿宋_GB2312" w:cs="宋体"/>
          <w:bCs/>
          <w:sz w:val="21"/>
          <w:szCs w:val="21"/>
          <w:lang w:val="en-US" w:eastAsia="zh-CN"/>
        </w:rPr>
        <w:t>响应</w:t>
      </w:r>
      <w:r>
        <w:rPr>
          <w:rFonts w:hint="eastAsia" w:ascii="Times New Roman" w:hAnsi="Times New Roman" w:eastAsia="仿宋_GB2312" w:cs="宋体"/>
          <w:bCs/>
          <w:sz w:val="21"/>
          <w:szCs w:val="21"/>
          <w:lang w:eastAsia="zh-CN"/>
        </w:rPr>
        <w:t>文件</w:t>
      </w:r>
      <w:r>
        <w:rPr>
          <w:rFonts w:hint="eastAsia" w:ascii="Times New Roman" w:hAnsi="Times New Roman" w:eastAsia="仿宋_GB2312" w:cs="宋体"/>
          <w:bCs/>
          <w:sz w:val="21"/>
          <w:szCs w:val="21"/>
        </w:rPr>
        <w:t>”为格式,于</w:t>
      </w:r>
      <w:r>
        <w:rPr>
          <w:rFonts w:hint="eastAsia" w:ascii="Times New Roman" w:hAnsi="Times New Roman" w:eastAsia="仿宋_GB2312" w:cs="宋体"/>
          <w:bCs/>
          <w:sz w:val="21"/>
          <w:szCs w:val="21"/>
          <w:highlight w:val="none"/>
        </w:rPr>
        <w:t>202</w:t>
      </w:r>
      <w:r>
        <w:rPr>
          <w:rFonts w:hint="eastAsia" w:ascii="Times New Roman" w:hAnsi="Times New Roman" w:eastAsia="仿宋_GB2312" w:cs="宋体"/>
          <w:bCs/>
          <w:sz w:val="21"/>
          <w:szCs w:val="21"/>
          <w:highlight w:val="none"/>
          <w:lang w:val="en-US" w:eastAsia="zh-CN"/>
        </w:rPr>
        <w:t>5</w:t>
      </w:r>
      <w:r>
        <w:rPr>
          <w:rFonts w:hint="eastAsia" w:ascii="Times New Roman" w:hAnsi="Times New Roman" w:eastAsia="仿宋_GB2312" w:cs="宋体"/>
          <w:bCs/>
          <w:sz w:val="21"/>
          <w:szCs w:val="21"/>
          <w:highlight w:val="none"/>
        </w:rPr>
        <w:t>年</w:t>
      </w:r>
      <w:r>
        <w:rPr>
          <w:rFonts w:hint="eastAsia" w:ascii="Times New Roman" w:hAnsi="Times New Roman" w:eastAsia="仿宋_GB2312" w:cs="宋体"/>
          <w:bCs/>
          <w:sz w:val="21"/>
          <w:szCs w:val="21"/>
          <w:highlight w:val="none"/>
          <w:lang w:val="en-US" w:eastAsia="zh-CN"/>
        </w:rPr>
        <w:t>7</w:t>
      </w:r>
      <w:r>
        <w:rPr>
          <w:rFonts w:hint="eastAsia" w:ascii="Times New Roman" w:hAnsi="Times New Roman" w:eastAsia="仿宋_GB2312" w:cs="宋体"/>
          <w:bCs/>
          <w:sz w:val="21"/>
          <w:szCs w:val="21"/>
          <w:highlight w:val="none"/>
        </w:rPr>
        <w:t>月</w:t>
      </w:r>
      <w:r>
        <w:rPr>
          <w:rFonts w:hint="eastAsia" w:ascii="Times New Roman" w:hAnsi="Times New Roman" w:eastAsia="仿宋_GB2312" w:cs="宋体"/>
          <w:bCs/>
          <w:sz w:val="21"/>
          <w:szCs w:val="21"/>
          <w:highlight w:val="none"/>
          <w:lang w:val="en-US" w:eastAsia="zh-CN"/>
        </w:rPr>
        <w:t>30</w:t>
      </w:r>
      <w:r>
        <w:rPr>
          <w:rFonts w:hint="eastAsia" w:ascii="Times New Roman" w:hAnsi="Times New Roman" w:eastAsia="仿宋_GB2312" w:cs="宋体"/>
          <w:bCs/>
          <w:sz w:val="21"/>
          <w:szCs w:val="21"/>
          <w:highlight w:val="none"/>
        </w:rPr>
        <w:t>日</w:t>
      </w:r>
      <w:r>
        <w:rPr>
          <w:rFonts w:hint="eastAsia" w:ascii="Times New Roman" w:hAnsi="Times New Roman" w:eastAsia="仿宋_GB2312" w:cs="宋体"/>
          <w:bCs/>
          <w:sz w:val="21"/>
          <w:szCs w:val="21"/>
          <w:highlight w:val="none"/>
          <w:lang w:val="en-US" w:eastAsia="zh-CN"/>
        </w:rPr>
        <w:t>12</w:t>
      </w:r>
      <w:r>
        <w:rPr>
          <w:rFonts w:hint="eastAsia" w:ascii="Times New Roman" w:hAnsi="Times New Roman" w:eastAsia="仿宋_GB2312" w:cs="宋体"/>
          <w:bCs/>
          <w:sz w:val="21"/>
          <w:szCs w:val="21"/>
        </w:rPr>
        <w:t xml:space="preserve">时前发送至 </w:t>
      </w:r>
      <w:r>
        <w:rPr>
          <w:rFonts w:hint="eastAsia" w:ascii="Times New Roman" w:hAnsi="Times New Roman" w:eastAsia="仿宋_GB2312" w:cs="宋体"/>
          <w:bCs/>
          <w:sz w:val="21"/>
          <w:szCs w:val="21"/>
          <w:lang w:val="en-US" w:eastAsia="zh-CN"/>
        </w:rPr>
        <w:t>huangxj</w:t>
      </w:r>
      <w:r>
        <w:rPr>
          <w:rFonts w:hint="eastAsia" w:ascii="Times New Roman" w:hAnsi="Times New Roman" w:eastAsia="仿宋_GB2312" w:cs="宋体"/>
          <w:bCs/>
          <w:sz w:val="21"/>
          <w:szCs w:val="21"/>
        </w:rPr>
        <w:t>@plhr.cn）</w:t>
      </w:r>
    </w:p>
    <w:p w14:paraId="0B7D10E3">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rPr>
      </w:pPr>
    </w:p>
    <w:p w14:paraId="1E7D14D0">
      <w:pPr>
        <w:rPr>
          <w:rFonts w:ascii="Times New Roman" w:hAnsi="Times New Roman"/>
          <w:smallCaps w:val="0"/>
          <w:highlight w:val="none"/>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1" w:name="_Toc16144"/>
      <w:r>
        <w:rPr>
          <w:rFonts w:hint="eastAsia" w:ascii="Times New Roman" w:hAnsi="Times New Roman" w:cs="黑体"/>
          <w:b w:val="0"/>
          <w:bCs/>
          <w:smallCaps w:val="0"/>
          <w:sz w:val="32"/>
          <w:szCs w:val="32"/>
          <w:highlight w:val="none"/>
          <w:lang w:val="en-US" w:eastAsia="zh-CN"/>
        </w:rPr>
        <w:t>第二部分 招标文件</w:t>
      </w:r>
      <w:bookmarkEnd w:id="11"/>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2" w:name="_Toc22715"/>
      <w:r>
        <w:rPr>
          <w:rFonts w:hint="eastAsia" w:ascii="Times New Roman" w:hAnsi="Times New Roman" w:eastAsia="黑体" w:cs="黑体"/>
          <w:b w:val="0"/>
          <w:bCs/>
          <w:smallCaps w:val="0"/>
          <w:sz w:val="32"/>
          <w:szCs w:val="32"/>
          <w:highlight w:val="none"/>
        </w:rPr>
        <w:t>第一章 项目概况及招标程序</w:t>
      </w:r>
      <w:bookmarkEnd w:id="8"/>
      <w:bookmarkEnd w:id="12"/>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3" w:name="_Toc18041"/>
      <w:r>
        <w:rPr>
          <w:rFonts w:hint="eastAsia" w:ascii="Times New Roman" w:hAnsi="Times New Roman" w:eastAsia="黑体" w:cs="黑体"/>
          <w:b w:val="0"/>
          <w:smallCaps w:val="0"/>
          <w:sz w:val="32"/>
          <w:szCs w:val="32"/>
          <w:highlight w:val="none"/>
          <w:lang w:val="zh-CN"/>
        </w:rPr>
        <w:t>一、项目名称</w:t>
      </w:r>
      <w:bookmarkEnd w:id="13"/>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仿宋_GB2312"/>
          <w:bCs/>
          <w:smallCaps w:val="0"/>
          <w:kern w:val="2"/>
          <w:sz w:val="32"/>
          <w:szCs w:val="32"/>
          <w:highlight w:val="none"/>
          <w:lang w:val="en-US"/>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hAnsi="Times New Roman" w:eastAsia="仿宋_GB2312" w:cs="仿宋_GB2312"/>
          <w:bCs/>
          <w:smallCaps w:val="0"/>
          <w:kern w:val="2"/>
          <w:sz w:val="32"/>
          <w:szCs w:val="32"/>
          <w:highlight w:val="none"/>
          <w:lang w:val="en-US" w:eastAsia="zh-CN"/>
        </w:rPr>
        <w:t>2025-2027年度质量、环境及职业健康安全管理体系认证服务</w:t>
      </w:r>
      <w:r>
        <w:rPr>
          <w:rFonts w:hint="eastAsia" w:ascii="Times New Roman" w:hAnsi="Times New Roman" w:eastAsia="仿宋_GB2312" w:cs="仿宋_GB2312"/>
          <w:bCs/>
          <w:smallCaps w:val="0"/>
          <w:kern w:val="2"/>
          <w:sz w:val="32"/>
          <w:szCs w:val="32"/>
          <w:highlight w:val="none"/>
          <w:lang w:val="zh-CN" w:eastAsia="zh-CN"/>
        </w:rPr>
        <w:t>项目（</w:t>
      </w:r>
      <w:r>
        <w:rPr>
          <w:rFonts w:hint="eastAsia" w:ascii="Times New Roman" w:hAnsi="Times New Roman" w:eastAsia="仿宋_GB2312" w:cs="仿宋_GB2312"/>
          <w:bCs/>
          <w:smallCaps w:val="0"/>
          <w:kern w:val="2"/>
          <w:sz w:val="32"/>
          <w:szCs w:val="32"/>
          <w:highlight w:val="none"/>
          <w:lang w:val="en-US" w:eastAsia="zh-CN"/>
        </w:rPr>
        <w:t>二次）</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4" w:name="_Toc27055"/>
      <w:r>
        <w:rPr>
          <w:rFonts w:hint="eastAsia" w:ascii="Times New Roman" w:hAnsi="Times New Roman" w:eastAsia="黑体" w:cs="黑体"/>
          <w:b w:val="0"/>
          <w:smallCaps w:val="0"/>
          <w:sz w:val="32"/>
          <w:szCs w:val="32"/>
          <w:highlight w:val="none"/>
          <w:lang w:val="zh-CN"/>
        </w:rPr>
        <w:t>二、招标编号</w:t>
      </w:r>
      <w:bookmarkEnd w:id="14"/>
    </w:p>
    <w:p w14:paraId="373D8D07">
      <w:pPr>
        <w:pStyle w:val="4"/>
        <w:pageBreakBefore w:val="0"/>
        <w:kinsoku/>
        <w:overflowPunct/>
        <w:topLinePunct w:val="0"/>
        <w:autoSpaceDE/>
        <w:autoSpaceDN/>
        <w:bidi w:val="0"/>
        <w:spacing w:before="0" w:after="0" w:line="560" w:lineRule="exact"/>
        <w:ind w:firstLine="640" w:firstLineChars="200"/>
        <w:textAlignment w:val="auto"/>
        <w:rPr>
          <w:rFonts w:hint="default" w:ascii="Times New Roman" w:hAnsi="Times New Roman" w:eastAsia="仿宋_GB2312" w:cs="仿宋_GB2312"/>
          <w:b w:val="0"/>
          <w:bCs/>
          <w:smallCaps w:val="0"/>
          <w:kern w:val="2"/>
          <w:sz w:val="32"/>
          <w:szCs w:val="32"/>
          <w:highlight w:val="none"/>
          <w:lang w:val="en-US" w:eastAsia="zh-CN" w:bidi="ar-SA"/>
        </w:rPr>
      </w:pPr>
      <w:bookmarkStart w:id="15" w:name="_Toc9384"/>
      <w:r>
        <w:rPr>
          <w:rFonts w:hint="eastAsia" w:ascii="Times New Roman" w:hAnsi="Times New Roman" w:eastAsia="仿宋_GB2312" w:cs="仿宋_GB2312"/>
          <w:b w:val="0"/>
          <w:bCs/>
          <w:smallCaps w:val="0"/>
          <w:kern w:val="2"/>
          <w:sz w:val="32"/>
          <w:szCs w:val="32"/>
          <w:highlight w:val="none"/>
          <w:lang w:val="en-US" w:eastAsia="zh-CN" w:bidi="ar-SA"/>
        </w:rPr>
        <w:t>PLHR-ZB-FW-202504</w:t>
      </w:r>
      <w:bookmarkEnd w:id="15"/>
      <w:r>
        <w:rPr>
          <w:rFonts w:hint="eastAsia" w:ascii="Times New Roman" w:eastAsia="仿宋_GB2312" w:cs="仿宋_GB2312"/>
          <w:b w:val="0"/>
          <w:bCs/>
          <w:smallCaps w:val="0"/>
          <w:kern w:val="2"/>
          <w:sz w:val="32"/>
          <w:szCs w:val="32"/>
          <w:highlight w:val="none"/>
          <w:lang w:val="en-US" w:eastAsia="zh-CN" w:bidi="ar-SA"/>
        </w:rPr>
        <w:t>01</w:t>
      </w:r>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16" w:name="_Toc2077"/>
      <w:r>
        <w:rPr>
          <w:rFonts w:hint="eastAsia" w:ascii="Times New Roman" w:hAnsi="Times New Roman" w:eastAsia="黑体" w:cs="黑体"/>
          <w:b w:val="0"/>
          <w:smallCaps w:val="0"/>
          <w:sz w:val="32"/>
          <w:szCs w:val="32"/>
          <w:highlight w:val="none"/>
        </w:rPr>
        <w:t>三、投标人资质要求</w:t>
      </w:r>
      <w:bookmarkEnd w:id="16"/>
    </w:p>
    <w:p w14:paraId="24AD0F32">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bookmarkStart w:id="17"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4751702F">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E788BFA">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投标人至少取得国家认证认可监督管理委员会ISO9001、ISO14001、ISO45001管理体系认证批准书（提供体系认证资格文件扫描件加盖公章）；</w:t>
      </w:r>
    </w:p>
    <w:p w14:paraId="701995A6">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7A323C8D">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等渠道列入失信被执行人、重大税收违法案件当事人名单、政府采购严重违法失信行为记录名单、网络行贿行为记录的情况；</w:t>
      </w:r>
    </w:p>
    <w:p w14:paraId="6DBDD5EA">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投标人如为与招标人既往合作的供应商，需满足招标人关于供应商的管理规定，且2022年1月1日至本项目确定中标人之日前投标人无重大事故、服务投诉或质量不符合记录；</w:t>
      </w:r>
    </w:p>
    <w:p w14:paraId="13852448">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2B91AF00">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0A0D197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18" w:name="_Toc23056"/>
      <w:r>
        <w:rPr>
          <w:rFonts w:hint="eastAsia" w:ascii="Times New Roman" w:hAnsi="Times New Roman" w:eastAsia="黑体" w:cs="黑体"/>
          <w:b w:val="0"/>
          <w:smallCaps w:val="0"/>
          <w:sz w:val="32"/>
          <w:szCs w:val="32"/>
          <w:highlight w:val="none"/>
          <w:lang w:val="zh-CN"/>
        </w:rPr>
        <w:t>四、项目内容及需求</w:t>
      </w:r>
      <w:bookmarkEnd w:id="17"/>
      <w:bookmarkEnd w:id="18"/>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3D0482F3">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rPr>
        <w:t>为</w:t>
      </w:r>
      <w:r>
        <w:rPr>
          <w:rFonts w:hint="eastAsia" w:ascii="Times New Roman" w:hAnsi="Times New Roman" w:eastAsia="仿宋_GB2312" w:cs="仿宋_GB2312"/>
          <w:b w:val="0"/>
          <w:bCs w:val="0"/>
          <w:spacing w:val="0"/>
          <w:sz w:val="32"/>
          <w:szCs w:val="32"/>
          <w:lang w:val="en-US" w:eastAsia="zh-CN"/>
        </w:rPr>
        <w:t>招标人</w:t>
      </w:r>
      <w:r>
        <w:rPr>
          <w:rFonts w:hint="eastAsia" w:ascii="Times New Roman" w:hAnsi="Times New Roman" w:eastAsia="仿宋_GB2312" w:cs="仿宋_GB2312"/>
          <w:b w:val="0"/>
          <w:bCs w:val="0"/>
          <w:spacing w:val="0"/>
          <w:sz w:val="32"/>
          <w:szCs w:val="32"/>
        </w:rPr>
        <w:t>提供</w:t>
      </w:r>
      <w:r>
        <w:rPr>
          <w:rFonts w:hint="eastAsia" w:ascii="Times New Roman" w:hAnsi="Times New Roman" w:eastAsia="仿宋_GB2312" w:cs="仿宋_GB2312"/>
          <w:b w:val="0"/>
          <w:bCs w:val="0"/>
          <w:spacing w:val="0"/>
          <w:sz w:val="32"/>
          <w:szCs w:val="32"/>
          <w:lang w:val="en-US" w:eastAsia="zh-CN"/>
        </w:rPr>
        <w:t>2025-2027年度</w:t>
      </w:r>
      <w:r>
        <w:rPr>
          <w:rFonts w:hint="eastAsia" w:ascii="Times New Roman" w:hAnsi="Times New Roman" w:eastAsia="仿宋_GB2312" w:cs="仿宋_GB2312"/>
          <w:b w:val="0"/>
          <w:bCs w:val="0"/>
          <w:spacing w:val="0"/>
          <w:sz w:val="32"/>
          <w:szCs w:val="32"/>
        </w:rPr>
        <w:t>ISO9001质量管理体系、ISO45001职业健康安全管理体系和IS014001环境管理体系的</w:t>
      </w:r>
      <w:r>
        <w:rPr>
          <w:rFonts w:hint="eastAsia" w:ascii="Times New Roman" w:eastAsia="仿宋_GB2312" w:cs="仿宋_GB2312"/>
          <w:b w:val="0"/>
          <w:bCs w:val="0"/>
          <w:spacing w:val="0"/>
          <w:sz w:val="32"/>
          <w:szCs w:val="32"/>
          <w:lang w:val="en-US" w:eastAsia="zh-CN"/>
        </w:rPr>
        <w:t>监督及</w:t>
      </w:r>
      <w:r>
        <w:rPr>
          <w:rFonts w:hint="eastAsia" w:ascii="Times New Roman" w:hAnsi="Times New Roman" w:eastAsia="仿宋_GB2312" w:cs="仿宋_GB2312"/>
          <w:b w:val="0"/>
          <w:bCs w:val="0"/>
          <w:spacing w:val="0"/>
          <w:sz w:val="32"/>
          <w:szCs w:val="32"/>
        </w:rPr>
        <w:t>再认证审核</w:t>
      </w:r>
      <w:r>
        <w:rPr>
          <w:rFonts w:hint="eastAsia" w:ascii="Times New Roman" w:eastAsia="仿宋_GB2312" w:cs="仿宋_GB2312"/>
          <w:b w:val="0"/>
          <w:bCs w:val="0"/>
          <w:spacing w:val="0"/>
          <w:sz w:val="32"/>
          <w:szCs w:val="32"/>
          <w:lang w:val="en-US" w:eastAsia="zh-CN"/>
        </w:rPr>
        <w:t>服务、</w:t>
      </w:r>
      <w:r>
        <w:rPr>
          <w:rFonts w:hint="eastAsia" w:ascii="Times New Roman" w:eastAsia="仿宋_GB2312" w:cs="仿宋_GB2312"/>
          <w:b w:val="0"/>
          <w:bCs w:val="0"/>
          <w:spacing w:val="0"/>
          <w:sz w:val="32"/>
          <w:szCs w:val="32"/>
          <w:highlight w:val="none"/>
          <w:lang w:val="en-US" w:eastAsia="zh-CN"/>
        </w:rPr>
        <w:t>现有体系文件的整合指导</w:t>
      </w:r>
      <w:r>
        <w:rPr>
          <w:rFonts w:hint="eastAsia" w:ascii="Times New Roman" w:hAnsi="Times New Roman" w:eastAsia="仿宋_GB2312" w:cs="仿宋_GB2312"/>
          <w:b w:val="0"/>
          <w:bCs w:val="0"/>
          <w:spacing w:val="0"/>
          <w:sz w:val="32"/>
          <w:szCs w:val="32"/>
          <w:highlight w:val="none"/>
          <w:lang w:val="en-US" w:eastAsia="zh-CN"/>
        </w:rPr>
        <w:t>，</w:t>
      </w:r>
      <w:r>
        <w:rPr>
          <w:rFonts w:hint="eastAsia" w:ascii="Times New Roman" w:hAnsi="Times New Roman" w:eastAsia="仿宋_GB2312" w:cs="仿宋_GB2312"/>
          <w:b w:val="0"/>
          <w:bCs w:val="0"/>
          <w:spacing w:val="0"/>
          <w:sz w:val="32"/>
          <w:szCs w:val="32"/>
          <w:lang w:val="en-US" w:eastAsia="zh-CN"/>
        </w:rPr>
        <w:t>认证范围为人力资源服务外包、劳务派遣、职业介绍和劳动事务代理及相关管理活动。</w:t>
      </w:r>
    </w:p>
    <w:p w14:paraId="77C45AC6">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lang w:val="en-US" w:eastAsia="zh-CN"/>
        </w:rPr>
      </w:pPr>
      <w:r>
        <w:rPr>
          <w:rFonts w:hint="eastAsia" w:ascii="Times New Roman" w:hAnsi="Times New Roman" w:eastAsia="仿宋_GB2312" w:cs="仿宋_GB2312"/>
          <w:b w:val="0"/>
          <w:bCs w:val="0"/>
          <w:spacing w:val="0"/>
          <w:sz w:val="32"/>
          <w:szCs w:val="32"/>
          <w:lang w:val="en-US" w:eastAsia="zh-CN"/>
        </w:rPr>
        <w:t>按需为招标人提供内审培训，内审培训包含在本次项目采购中，由招标人与中标人根据中标价格另行订立补充协议约定。</w:t>
      </w:r>
    </w:p>
    <w:p w14:paraId="635B5EF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75799E2">
      <w:pPr>
        <w:keepNext w:val="0"/>
        <w:keepLines w:val="0"/>
        <w:pageBreakBefore w:val="0"/>
        <w:widowControl/>
        <w:numPr>
          <w:ilvl w:val="0"/>
          <w:numId w:val="4"/>
        </w:numPr>
        <w:shd w:val="clear" w:color="auto" w:fill="FFFFFF"/>
        <w:kinsoku/>
        <w:wordWrap w:val="0"/>
        <w:overflowPunct/>
        <w:topLinePunct/>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w:t>
      </w:r>
      <w:r>
        <w:rPr>
          <w:rFonts w:hint="eastAsia" w:ascii="仿宋_GB2312" w:hAnsi="仿宋_GB2312" w:eastAsia="仿宋_GB2312" w:cs="仿宋_GB2312"/>
          <w:sz w:val="32"/>
          <w:szCs w:val="32"/>
          <w:highlight w:val="none"/>
        </w:rPr>
        <w:t>质量、环境及职业健康安全管理体系</w:t>
      </w:r>
      <w:r>
        <w:rPr>
          <w:rFonts w:hint="eastAsia" w:ascii="仿宋_GB2312" w:hAnsi="仿宋_GB2312" w:eastAsia="仿宋_GB2312" w:cs="仿宋_GB2312"/>
          <w:sz w:val="32"/>
          <w:szCs w:val="32"/>
          <w:highlight w:val="none"/>
          <w:lang w:val="en-US" w:eastAsia="zh-CN"/>
        </w:rPr>
        <w:t>内审员培训；</w:t>
      </w:r>
    </w:p>
    <w:p w14:paraId="0447C711">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w:t>
      </w:r>
      <w:r>
        <w:rPr>
          <w:rFonts w:hint="eastAsia" w:ascii="仿宋_GB2312" w:hAnsi="仿宋_GB2312" w:eastAsia="仿宋_GB2312" w:cs="仿宋_GB2312"/>
          <w:sz w:val="32"/>
          <w:szCs w:val="32"/>
          <w:highlight w:val="none"/>
        </w:rPr>
        <w:t>质量、环境及职业健康安全管理体系</w:t>
      </w:r>
      <w:r>
        <w:rPr>
          <w:rFonts w:hint="eastAsia" w:ascii="仿宋_GB2312" w:hAnsi="仿宋_GB2312" w:eastAsia="仿宋_GB2312" w:cs="仿宋_GB2312"/>
          <w:sz w:val="32"/>
          <w:szCs w:val="32"/>
          <w:highlight w:val="none"/>
          <w:lang w:val="en-US" w:eastAsia="zh-CN"/>
        </w:rPr>
        <w:t>咨询支撑以确保招标人顺利通过认证；</w:t>
      </w:r>
    </w:p>
    <w:p w14:paraId="016AE3E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需为招标人提供以上体系的认证服务；</w:t>
      </w:r>
    </w:p>
    <w:p w14:paraId="69E8742E">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需为招标人提供改进</w:t>
      </w:r>
      <w:r>
        <w:rPr>
          <w:rFonts w:hint="eastAsia" w:ascii="仿宋_GB2312" w:hAnsi="仿宋_GB2312" w:eastAsia="仿宋_GB2312" w:cs="仿宋_GB2312"/>
          <w:sz w:val="32"/>
          <w:szCs w:val="32"/>
          <w:highlight w:val="none"/>
        </w:rPr>
        <w:t>质量、环境及职业健康安全管理体系</w:t>
      </w:r>
      <w:r>
        <w:rPr>
          <w:rFonts w:hint="eastAsia" w:ascii="仿宋_GB2312" w:hAnsi="仿宋_GB2312" w:eastAsia="仿宋_GB2312" w:cs="仿宋_GB2312"/>
          <w:sz w:val="32"/>
          <w:szCs w:val="32"/>
          <w:highlight w:val="none"/>
          <w:lang w:val="en-US" w:eastAsia="zh-CN"/>
        </w:rPr>
        <w:t>等合理化建议以及意见；</w:t>
      </w:r>
    </w:p>
    <w:p w14:paraId="69EE4578">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需为招标人提供现有体系文件的整合指导。</w:t>
      </w:r>
    </w:p>
    <w:p w14:paraId="1187D164">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19" w:name="_Toc755"/>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w:t>
      </w:r>
      <w:r>
        <w:rPr>
          <w:rFonts w:hint="eastAsia" w:ascii="Times New Roman" w:eastAsia="黑体" w:cs="黑体"/>
          <w:b w:val="0"/>
          <w:bCs/>
          <w:smallCaps w:val="0"/>
          <w:sz w:val="32"/>
          <w:szCs w:val="32"/>
          <w:highlight w:val="none"/>
          <w:lang w:val="en-US" w:eastAsia="zh-CN"/>
        </w:rPr>
        <w:t>服务周期</w:t>
      </w:r>
      <w:bookmarkEnd w:id="19"/>
    </w:p>
    <w:tbl>
      <w:tblPr>
        <w:tblStyle w:val="16"/>
        <w:tblW w:w="827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1204"/>
        <w:gridCol w:w="5454"/>
      </w:tblGrid>
      <w:tr w14:paraId="55ABBB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16" w:type="dxa"/>
            <w:tcBorders>
              <w:tl2br w:val="nil"/>
              <w:tr2bl w:val="nil"/>
            </w:tcBorders>
            <w:noWrap/>
            <w:vAlign w:val="center"/>
          </w:tcPr>
          <w:p w14:paraId="2CC06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000000"/>
                <w:kern w:val="0"/>
                <w:sz w:val="21"/>
                <w:szCs w:val="21"/>
                <w:highlight w:val="none"/>
                <w:lang w:val="en-US" w:eastAsia="zh-CN" w:bidi="ar"/>
              </w:rPr>
            </w:pPr>
            <w:r>
              <w:rPr>
                <w:rFonts w:hint="eastAsia" w:ascii="Times New Roman" w:hAnsi="Times New Roman" w:eastAsia="宋体" w:cs="宋体"/>
                <w:b/>
                <w:bCs/>
                <w:color w:val="000000"/>
                <w:kern w:val="0"/>
                <w:sz w:val="21"/>
                <w:szCs w:val="21"/>
                <w:highlight w:val="none"/>
                <w:lang w:val="en-US" w:eastAsia="zh-CN" w:bidi="ar"/>
              </w:rPr>
              <w:t>服务周期</w:t>
            </w:r>
          </w:p>
        </w:tc>
        <w:tc>
          <w:tcPr>
            <w:tcW w:w="1204" w:type="dxa"/>
            <w:tcBorders>
              <w:tl2br w:val="nil"/>
              <w:tr2bl w:val="nil"/>
            </w:tcBorders>
            <w:noWrap/>
            <w:vAlign w:val="center"/>
          </w:tcPr>
          <w:p w14:paraId="2091E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bCs/>
                <w:color w:val="000000"/>
                <w:kern w:val="0"/>
                <w:sz w:val="21"/>
                <w:szCs w:val="21"/>
                <w:highlight w:val="none"/>
                <w:lang w:val="en-US"/>
              </w:rPr>
            </w:pPr>
            <w:r>
              <w:rPr>
                <w:rFonts w:hint="eastAsia" w:ascii="Times New Roman" w:hAnsi="Times New Roman" w:eastAsia="宋体" w:cs="宋体"/>
                <w:b/>
                <w:bCs/>
                <w:color w:val="000000"/>
                <w:kern w:val="0"/>
                <w:sz w:val="21"/>
                <w:szCs w:val="21"/>
                <w:highlight w:val="none"/>
                <w:lang w:val="en-US" w:eastAsia="zh-CN" w:bidi="ar"/>
              </w:rPr>
              <w:t>认证年度</w:t>
            </w:r>
          </w:p>
        </w:tc>
        <w:tc>
          <w:tcPr>
            <w:tcW w:w="5454" w:type="dxa"/>
            <w:tcBorders>
              <w:tl2br w:val="nil"/>
              <w:tr2bl w:val="nil"/>
            </w:tcBorders>
            <w:noWrap/>
            <w:vAlign w:val="center"/>
          </w:tcPr>
          <w:p w14:paraId="65415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bCs/>
                <w:color w:val="000000"/>
                <w:kern w:val="0"/>
                <w:sz w:val="21"/>
                <w:szCs w:val="21"/>
                <w:highlight w:val="none"/>
                <w:lang w:val="en-US"/>
              </w:rPr>
            </w:pPr>
            <w:r>
              <w:rPr>
                <w:rFonts w:hint="eastAsia" w:ascii="Times New Roman" w:hAnsi="Times New Roman" w:eastAsia="宋体" w:cs="宋体"/>
                <w:b/>
                <w:bCs/>
                <w:color w:val="000000"/>
                <w:kern w:val="0"/>
                <w:sz w:val="21"/>
                <w:szCs w:val="21"/>
                <w:highlight w:val="none"/>
                <w:lang w:val="en-US" w:eastAsia="zh-CN" w:bidi="ar"/>
              </w:rPr>
              <w:t>认证周期名称</w:t>
            </w:r>
          </w:p>
        </w:tc>
      </w:tr>
      <w:tr w14:paraId="6DF22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6" w:type="dxa"/>
            <w:vMerge w:val="restart"/>
            <w:tcBorders>
              <w:tl2br w:val="nil"/>
              <w:tr2bl w:val="nil"/>
            </w:tcBorders>
            <w:noWrap/>
            <w:vAlign w:val="center"/>
          </w:tcPr>
          <w:p w14:paraId="27DFE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2025年度</w:t>
            </w:r>
          </w:p>
          <w:p w14:paraId="10E76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至</w:t>
            </w:r>
          </w:p>
          <w:p w14:paraId="77C16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2027年度</w:t>
            </w:r>
          </w:p>
        </w:tc>
        <w:tc>
          <w:tcPr>
            <w:tcW w:w="1204" w:type="dxa"/>
            <w:vMerge w:val="restart"/>
            <w:tcBorders>
              <w:tl2br w:val="nil"/>
              <w:tr2bl w:val="nil"/>
            </w:tcBorders>
            <w:noWrap/>
            <w:vAlign w:val="center"/>
          </w:tcPr>
          <w:p w14:paraId="29D70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2025</w:t>
            </w:r>
          </w:p>
        </w:tc>
        <w:tc>
          <w:tcPr>
            <w:tcW w:w="5454" w:type="dxa"/>
            <w:tcBorders>
              <w:tl2br w:val="nil"/>
              <w:tr2bl w:val="nil"/>
            </w:tcBorders>
            <w:noWrap/>
            <w:vAlign w:val="center"/>
          </w:tcPr>
          <w:p w14:paraId="3E3D1F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质量管理体系监督2阶段审核</w:t>
            </w:r>
          </w:p>
        </w:tc>
      </w:tr>
      <w:tr w14:paraId="0F29B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16" w:type="dxa"/>
            <w:vMerge w:val="continue"/>
            <w:tcBorders>
              <w:tl2br w:val="nil"/>
              <w:tr2bl w:val="nil"/>
            </w:tcBorders>
            <w:noWrap/>
            <w:vAlign w:val="center"/>
          </w:tcPr>
          <w:p w14:paraId="4CA54FFB">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1204" w:type="dxa"/>
            <w:vMerge w:val="continue"/>
            <w:tcBorders>
              <w:tl2br w:val="nil"/>
              <w:tr2bl w:val="nil"/>
            </w:tcBorders>
            <w:noWrap/>
            <w:vAlign w:val="center"/>
          </w:tcPr>
          <w:p w14:paraId="16DC5318">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5454" w:type="dxa"/>
            <w:tcBorders>
              <w:tl2br w:val="nil"/>
              <w:tr2bl w:val="nil"/>
            </w:tcBorders>
            <w:noWrap/>
            <w:vAlign w:val="center"/>
          </w:tcPr>
          <w:p w14:paraId="03D5A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环境与职业健康体系再认证审核</w:t>
            </w:r>
          </w:p>
        </w:tc>
      </w:tr>
      <w:tr w14:paraId="68642E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6" w:type="dxa"/>
            <w:vMerge w:val="continue"/>
            <w:tcBorders>
              <w:tl2br w:val="nil"/>
              <w:tr2bl w:val="nil"/>
            </w:tcBorders>
            <w:noWrap/>
            <w:vAlign w:val="center"/>
          </w:tcPr>
          <w:p w14:paraId="616CD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p>
        </w:tc>
        <w:tc>
          <w:tcPr>
            <w:tcW w:w="1204" w:type="dxa"/>
            <w:vMerge w:val="restart"/>
            <w:tcBorders>
              <w:tl2br w:val="nil"/>
              <w:tr2bl w:val="nil"/>
            </w:tcBorders>
            <w:noWrap/>
            <w:vAlign w:val="center"/>
          </w:tcPr>
          <w:p w14:paraId="54619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2026</w:t>
            </w:r>
          </w:p>
        </w:tc>
        <w:tc>
          <w:tcPr>
            <w:tcW w:w="5454" w:type="dxa"/>
            <w:tcBorders>
              <w:tl2br w:val="nil"/>
              <w:tr2bl w:val="nil"/>
            </w:tcBorders>
            <w:noWrap/>
            <w:vAlign w:val="center"/>
          </w:tcPr>
          <w:p w14:paraId="5A0978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质量管理体系再认证审核</w:t>
            </w:r>
          </w:p>
        </w:tc>
      </w:tr>
      <w:tr w14:paraId="6D61B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16" w:type="dxa"/>
            <w:vMerge w:val="continue"/>
            <w:tcBorders>
              <w:tl2br w:val="nil"/>
              <w:tr2bl w:val="nil"/>
            </w:tcBorders>
            <w:noWrap/>
            <w:vAlign w:val="center"/>
          </w:tcPr>
          <w:p w14:paraId="4EAC6A12">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1204" w:type="dxa"/>
            <w:vMerge w:val="continue"/>
            <w:tcBorders>
              <w:tl2br w:val="nil"/>
              <w:tr2bl w:val="nil"/>
            </w:tcBorders>
            <w:noWrap/>
            <w:vAlign w:val="center"/>
          </w:tcPr>
          <w:p w14:paraId="65E0CE87">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5454" w:type="dxa"/>
            <w:tcBorders>
              <w:tl2br w:val="nil"/>
              <w:tr2bl w:val="nil"/>
            </w:tcBorders>
            <w:noWrap/>
            <w:vAlign w:val="center"/>
          </w:tcPr>
          <w:p w14:paraId="4AFCB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环境与职业健康体系监督1审核</w:t>
            </w:r>
          </w:p>
        </w:tc>
      </w:tr>
      <w:tr w14:paraId="76416A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616" w:type="dxa"/>
            <w:vMerge w:val="continue"/>
            <w:tcBorders>
              <w:tl2br w:val="nil"/>
              <w:tr2bl w:val="nil"/>
            </w:tcBorders>
            <w:noWrap/>
            <w:vAlign w:val="center"/>
          </w:tcPr>
          <w:p w14:paraId="30C35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000000"/>
                <w:kern w:val="0"/>
                <w:sz w:val="21"/>
                <w:szCs w:val="21"/>
                <w:highlight w:val="none"/>
                <w:lang w:val="en-US" w:eastAsia="zh-CN" w:bidi="ar"/>
              </w:rPr>
            </w:pPr>
          </w:p>
        </w:tc>
        <w:tc>
          <w:tcPr>
            <w:tcW w:w="1204" w:type="dxa"/>
            <w:vMerge w:val="restart"/>
            <w:tcBorders>
              <w:tl2br w:val="nil"/>
              <w:tr2bl w:val="nil"/>
            </w:tcBorders>
            <w:noWrap/>
            <w:vAlign w:val="center"/>
          </w:tcPr>
          <w:p w14:paraId="54CCD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2027</w:t>
            </w:r>
          </w:p>
        </w:tc>
        <w:tc>
          <w:tcPr>
            <w:tcW w:w="5454" w:type="dxa"/>
            <w:tcBorders>
              <w:tl2br w:val="nil"/>
              <w:tr2bl w:val="nil"/>
            </w:tcBorders>
            <w:noWrap/>
            <w:vAlign w:val="center"/>
          </w:tcPr>
          <w:p w14:paraId="696E0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质量管理体系监督1阶段审核</w:t>
            </w:r>
          </w:p>
        </w:tc>
      </w:tr>
      <w:tr w14:paraId="411EA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616" w:type="dxa"/>
            <w:vMerge w:val="continue"/>
            <w:tcBorders>
              <w:tl2br w:val="nil"/>
              <w:tr2bl w:val="nil"/>
            </w:tcBorders>
            <w:noWrap/>
            <w:vAlign w:val="center"/>
          </w:tcPr>
          <w:p w14:paraId="196184FB">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1204" w:type="dxa"/>
            <w:vMerge w:val="continue"/>
            <w:tcBorders>
              <w:tl2br w:val="nil"/>
              <w:tr2bl w:val="nil"/>
            </w:tcBorders>
            <w:noWrap/>
            <w:vAlign w:val="center"/>
          </w:tcPr>
          <w:p w14:paraId="20106608">
            <w:pPr>
              <w:keepNext w:val="0"/>
              <w:keepLines w:val="0"/>
              <w:pageBreakBefore w:val="0"/>
              <w:kinsoku/>
              <w:wordWrap/>
              <w:overflowPunct/>
              <w:topLinePunct w:val="0"/>
              <w:autoSpaceDE/>
              <w:autoSpaceDN/>
              <w:bidi w:val="0"/>
              <w:adjustRightInd/>
              <w:snapToGrid/>
              <w:spacing w:line="560" w:lineRule="atLeast"/>
              <w:textAlignment w:val="auto"/>
              <w:rPr>
                <w:rFonts w:hint="eastAsia" w:ascii="Times New Roman" w:hAnsi="Times New Roman" w:eastAsia="宋体" w:cs="宋体"/>
                <w:kern w:val="2"/>
                <w:sz w:val="21"/>
                <w:szCs w:val="21"/>
                <w:highlight w:val="none"/>
              </w:rPr>
            </w:pPr>
          </w:p>
        </w:tc>
        <w:tc>
          <w:tcPr>
            <w:tcW w:w="5454" w:type="dxa"/>
            <w:tcBorders>
              <w:tl2br w:val="nil"/>
              <w:tr2bl w:val="nil"/>
            </w:tcBorders>
            <w:noWrap/>
            <w:vAlign w:val="center"/>
          </w:tcPr>
          <w:p w14:paraId="674D7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imes New Roman" w:hAnsi="Times New Roman" w:eastAsia="宋体" w:cs="宋体"/>
                <w:color w:val="000000"/>
                <w:kern w:val="0"/>
                <w:sz w:val="21"/>
                <w:szCs w:val="21"/>
                <w:highlight w:val="none"/>
                <w:lang w:val="en-US"/>
              </w:rPr>
            </w:pPr>
            <w:r>
              <w:rPr>
                <w:rFonts w:hint="eastAsia" w:ascii="Times New Roman" w:hAnsi="Times New Roman" w:eastAsia="宋体" w:cs="宋体"/>
                <w:color w:val="000000"/>
                <w:kern w:val="0"/>
                <w:sz w:val="21"/>
                <w:szCs w:val="21"/>
                <w:highlight w:val="none"/>
                <w:lang w:val="en-US" w:eastAsia="zh-CN" w:bidi="ar"/>
              </w:rPr>
              <w:t>环境与职业健康体系监督2审核</w:t>
            </w:r>
          </w:p>
        </w:tc>
      </w:tr>
      <w:tr w14:paraId="6FAE3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74" w:type="dxa"/>
            <w:gridSpan w:val="3"/>
            <w:tcBorders>
              <w:tl2br w:val="nil"/>
              <w:tr2bl w:val="nil"/>
            </w:tcBorders>
            <w:noWrap/>
            <w:vAlign w:val="center"/>
          </w:tcPr>
          <w:p w14:paraId="60DD0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cs="宋体"/>
                <w:color w:val="000000"/>
                <w:kern w:val="0"/>
                <w:sz w:val="21"/>
                <w:szCs w:val="21"/>
                <w:highlight w:val="none"/>
                <w:lang w:val="en-US" w:eastAsia="zh-CN" w:bidi="ar"/>
              </w:rPr>
            </w:pPr>
            <w:r>
              <w:rPr>
                <w:rFonts w:hint="eastAsia" w:ascii="Times New Roman" w:hAnsi="Times New Roman" w:eastAsia="宋体" w:cs="宋体"/>
                <w:color w:val="000000"/>
                <w:kern w:val="0"/>
                <w:sz w:val="21"/>
                <w:szCs w:val="21"/>
                <w:highlight w:val="none"/>
                <w:lang w:val="en-US" w:eastAsia="zh-CN" w:bidi="ar"/>
              </w:rPr>
              <w:t>说明：在服务周期内，中标人按需为招标人根据提供内审员培训及现有体系文件的整合指导。</w:t>
            </w:r>
          </w:p>
        </w:tc>
      </w:tr>
    </w:tbl>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20" w:name="_Toc12549"/>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20"/>
    </w:p>
    <w:p w14:paraId="6F265C6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总预算价为66000元（含增值税）。</w:t>
      </w:r>
    </w:p>
    <w:p w14:paraId="4A8BFD0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1" w:name="_Toc24016"/>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w:t>
      </w:r>
      <w:r>
        <w:rPr>
          <w:rFonts w:hint="eastAsia" w:ascii="Times New Roman" w:hAnsi="Times New Roman" w:eastAsia="黑体" w:cs="黑体"/>
          <w:b w:val="0"/>
          <w:smallCaps w:val="0"/>
          <w:sz w:val="32"/>
          <w:szCs w:val="32"/>
          <w:highlight w:val="none"/>
        </w:rPr>
        <w:t>文件要求</w:t>
      </w:r>
      <w:bookmarkEnd w:id="21"/>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w:t>
      </w:r>
      <w:r>
        <w:rPr>
          <w:rFonts w:hint="eastAsia" w:ascii="Times New Roman" w:hAnsi="Times New Roman" w:eastAsia="楷体_GB2312" w:cs="楷体_GB2312"/>
          <w:bCs/>
          <w:smallCaps w:val="0"/>
          <w:sz w:val="32"/>
          <w:szCs w:val="32"/>
          <w:highlight w:val="none"/>
          <w:lang w:val="en-US" w:eastAsia="zh-CN"/>
        </w:rPr>
        <w:t>投标</w:t>
      </w:r>
      <w:r>
        <w:rPr>
          <w:rFonts w:hint="eastAsia" w:ascii="Times New Roman" w:hAnsi="Times New Roman" w:eastAsia="楷体_GB2312" w:cs="楷体_GB2312"/>
          <w:bCs/>
          <w:smallCaps w:val="0"/>
          <w:sz w:val="32"/>
          <w:szCs w:val="32"/>
          <w:highlight w:val="none"/>
        </w:rPr>
        <w:t>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 xml:space="preserve">用以密封开标一览表，信封格式见本文件“第二部分 </w:t>
      </w:r>
      <w:r>
        <w:rPr>
          <w:rFonts w:hint="eastAsia" w:ascii="仿宋_GB2312" w:hAnsi="仿宋_GB2312" w:eastAsia="仿宋_GB2312" w:cs="仿宋_GB2312"/>
          <w:bCs/>
          <w:smallCaps w:val="0"/>
          <w:sz w:val="32"/>
          <w:szCs w:val="32"/>
          <w:highlight w:val="none"/>
          <w:lang w:val="en-US" w:eastAsia="zh-CN"/>
        </w:rPr>
        <w:t>招标</w:t>
      </w:r>
      <w:r>
        <w:rPr>
          <w:rFonts w:hint="eastAsia" w:ascii="仿宋_GB2312" w:hAnsi="仿宋_GB2312" w:eastAsia="仿宋_GB2312" w:cs="仿宋_GB2312"/>
          <w:bCs/>
          <w:smallCaps w:val="0"/>
          <w:sz w:val="32"/>
          <w:szCs w:val="32"/>
          <w:highlight w:val="none"/>
        </w:rPr>
        <w:t xml:space="preserve">文件 第四章 </w:t>
      </w:r>
      <w:r>
        <w:rPr>
          <w:rFonts w:hint="eastAsia" w:ascii="仿宋_GB2312" w:hAnsi="仿宋_GB2312" w:eastAsia="仿宋_GB2312" w:cs="仿宋_GB2312"/>
          <w:bCs/>
          <w:smallCaps w:val="0"/>
          <w:sz w:val="32"/>
          <w:szCs w:val="32"/>
          <w:highlight w:val="none"/>
          <w:lang w:val="en-US" w:eastAsia="zh-CN"/>
        </w:rPr>
        <w:t>投标</w:t>
      </w:r>
      <w:r>
        <w:rPr>
          <w:rFonts w:hint="eastAsia" w:ascii="仿宋_GB2312" w:hAnsi="仿宋_GB2312" w:eastAsia="仿宋_GB2312" w:cs="仿宋_GB2312"/>
          <w:bCs/>
          <w:smallCaps w:val="0"/>
          <w:sz w:val="32"/>
          <w:szCs w:val="32"/>
          <w:highlight w:val="none"/>
        </w:rPr>
        <w:t>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一并递交，</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 xml:space="preserve">一览表指定格式见“第四章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仿宋_GB2312" w:hAnsi="仿宋_GB2312" w:eastAsia="仿宋_GB2312" w:cs="仿宋_GB2312"/>
          <w:b/>
          <w:bCs w:val="0"/>
          <w:smallCaps w:val="0"/>
          <w:sz w:val="32"/>
          <w:szCs w:val="32"/>
          <w:highlight w:val="none"/>
          <w:lang w:val="en-US" w:eastAsia="zh-CN"/>
        </w:rPr>
        <w:t>投标</w:t>
      </w:r>
      <w:r>
        <w:rPr>
          <w:rFonts w:hint="eastAsia" w:ascii="Times New Roman" w:hAnsi="Times New Roman" w:eastAsia="仿宋_GB2312" w:cs="仿宋_GB2312"/>
          <w:b/>
          <w:bCs w:val="0"/>
          <w:smallCaps w:val="0"/>
          <w:sz w:val="32"/>
          <w:szCs w:val="32"/>
          <w:highlight w:val="none"/>
        </w:rPr>
        <w:t>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资质证明文件应按以下顺序排序</w:t>
      </w:r>
      <w:r>
        <w:rPr>
          <w:rFonts w:hint="eastAsia" w:ascii="Times New Roman" w:hAnsi="Times New Roman" w:eastAsia="仿宋_GB2312" w:cs="仿宋_GB2312"/>
          <w:bCs/>
          <w:smallCaps w:val="0"/>
          <w:sz w:val="32"/>
          <w:szCs w:val="32"/>
          <w:highlight w:val="none"/>
          <w:lang w:val="en-US" w:eastAsia="zh-CN"/>
        </w:rPr>
        <w:t>并加盖公章</w:t>
      </w:r>
      <w:r>
        <w:rPr>
          <w:rFonts w:hint="eastAsia" w:ascii="Times New Roman" w:hAnsi="Times New Roman" w:eastAsia="仿宋_GB2312" w:cs="仿宋_GB2312"/>
          <w:bCs/>
          <w:smallCaps w:val="0"/>
          <w:sz w:val="32"/>
          <w:szCs w:val="32"/>
          <w:highlight w:val="none"/>
        </w:rPr>
        <w:t>：</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w:t>
      </w:r>
      <w:r>
        <w:rPr>
          <w:rFonts w:hint="eastAsia" w:ascii="仿宋_GB2312" w:hAnsi="仿宋_GB2312" w:eastAsia="仿宋_GB2312" w:cs="仿宋_GB2312"/>
          <w:bCs/>
          <w:smallCaps w:val="0"/>
          <w:sz w:val="32"/>
          <w:szCs w:val="32"/>
          <w:highlight w:val="none"/>
          <w:lang w:val="en-US"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w:t>
      </w:r>
    </w:p>
    <w:p w14:paraId="5F69B76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4）体系认证资格文件；</w:t>
      </w:r>
    </w:p>
    <w:p w14:paraId="1BC65F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lang w:val="en-US" w:eastAsia="zh-CN"/>
        </w:rPr>
        <w:t>提供中国合格评定国家认可委员会官网查询截图；</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w:t>
      </w:r>
      <w:r>
        <w:rPr>
          <w:rFonts w:hint="eastAsia" w:ascii="仿宋_GB2312" w:hAnsi="仿宋_GB2312" w:eastAsia="仿宋_GB2312" w:cs="仿宋_GB2312"/>
          <w:bCs/>
          <w:smallCaps w:val="0"/>
          <w:sz w:val="32"/>
          <w:szCs w:val="32"/>
          <w:highlight w:val="none"/>
          <w:lang w:val="en-US" w:eastAsia="zh-CN"/>
        </w:rPr>
        <w:t>价格部分</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1）根据综合评分</w:t>
      </w:r>
      <w:r>
        <w:rPr>
          <w:rFonts w:hint="eastAsia" w:ascii="仿宋_GB2312" w:hAnsi="仿宋_GB2312" w:eastAsia="仿宋_GB2312" w:cs="仿宋_GB2312"/>
          <w:bCs/>
          <w:smallCaps w:val="0"/>
          <w:sz w:val="32"/>
          <w:szCs w:val="32"/>
          <w:highlight w:val="none"/>
        </w:rPr>
        <w:t xml:space="preserve">标准要求提供的证明文件（按本文件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评标标准”内各评分项</w:t>
      </w:r>
      <w:r>
        <w:rPr>
          <w:rFonts w:hint="eastAsia" w:ascii="仿宋_GB2312" w:hAnsi="仿宋_GB2312" w:eastAsia="仿宋_GB2312" w:cs="仿宋_GB2312"/>
          <w:bCs/>
          <w:smallCaps w:val="0"/>
          <w:sz w:val="32"/>
          <w:szCs w:val="32"/>
          <w:highlight w:val="none"/>
          <w:lang w:val="en-US" w:eastAsia="zh-CN"/>
        </w:rPr>
        <w:t>要求</w:t>
      </w:r>
      <w:r>
        <w:rPr>
          <w:rFonts w:hint="eastAsia" w:ascii="仿宋_GB2312" w:hAnsi="仿宋_GB2312" w:eastAsia="仿宋_GB2312" w:cs="仿宋_GB2312"/>
          <w:bCs/>
          <w:smallCaps w:val="0"/>
          <w:sz w:val="32"/>
          <w:szCs w:val="32"/>
          <w:highlight w:val="none"/>
        </w:rPr>
        <w:t>列示顺序排序并加盖公章）；</w:t>
      </w:r>
    </w:p>
    <w:p w14:paraId="240C8763">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2）除招标文件要求外，投标人另行承诺的随附服务；</w:t>
      </w:r>
    </w:p>
    <w:p w14:paraId="282AB7C0">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3）其他投标人认为需要说明的事项。</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（3）廉洁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 xml:space="preserve">承诺函格式参见本文件“第四章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w:t>
      </w:r>
      <w:r>
        <w:rPr>
          <w:rFonts w:hint="eastAsia" w:ascii="Times New Roman" w:hAnsi="Times New Roman" w:eastAsia="仿宋_GB2312" w:cs="仿宋_GB2312"/>
          <w:bCs/>
          <w:smallCaps w:val="0"/>
          <w:sz w:val="32"/>
          <w:szCs w:val="32"/>
          <w:highlight w:val="none"/>
          <w:lang w:val="en-US" w:eastAsia="zh-CN"/>
        </w:rPr>
        <w:t>6</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lang w:val="en-US" w:eastAsia="zh-CN"/>
        </w:rPr>
        <w:t>投标文件</w:t>
      </w:r>
      <w:r>
        <w:rPr>
          <w:rFonts w:hint="eastAsia" w:ascii="Times New Roman" w:hAnsi="Times New Roman" w:eastAsia="楷体_GB2312" w:cs="楷体_GB2312"/>
          <w:b w:val="0"/>
          <w:bCs/>
          <w:smallCaps w:val="0"/>
          <w:sz w:val="32"/>
          <w:szCs w:val="32"/>
          <w:highlight w:val="none"/>
        </w:rPr>
        <w:t>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应将</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编制具有目录页的投标</w:t>
      </w:r>
      <w:r>
        <w:rPr>
          <w:rFonts w:hint="eastAsia" w:ascii="仿宋_GB2312" w:hAnsi="仿宋_GB2312" w:eastAsia="仿宋_GB2312" w:cs="仿宋_GB2312"/>
          <w:b w:val="0"/>
          <w:bCs/>
          <w:smallCaps w:val="0"/>
          <w:sz w:val="32"/>
          <w:szCs w:val="32"/>
          <w:highlight w:val="none"/>
        </w:rPr>
        <w:t>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w:t>
      </w:r>
      <w:r>
        <w:rPr>
          <w:rFonts w:hint="eastAsia" w:ascii="Times New Roman" w:hAnsi="Times New Roman"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仿宋_GB2312" w:hAnsi="仿宋_GB2312"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w:t>
      </w:r>
      <w:r>
        <w:rPr>
          <w:rFonts w:hint="eastAsia" w:ascii="仿宋_GB2312" w:hAnsi="仿宋_GB2312" w:eastAsia="仿宋_GB2312" w:cs="仿宋_GB2312"/>
          <w:b w:val="0"/>
          <w:bCs/>
          <w:smallCaps w:val="0"/>
          <w:sz w:val="32"/>
          <w:szCs w:val="32"/>
          <w:highlight w:val="none"/>
          <w:lang w:val="en-US" w:eastAsia="zh-CN"/>
        </w:rPr>
        <w:t>招标</w:t>
      </w:r>
      <w:r>
        <w:rPr>
          <w:rFonts w:hint="eastAsia" w:ascii="仿宋_GB2312" w:hAnsi="仿宋_GB2312" w:eastAsia="仿宋_GB2312" w:cs="仿宋_GB2312"/>
          <w:b w:val="0"/>
          <w:bCs/>
          <w:smallCaps w:val="0"/>
          <w:sz w:val="32"/>
          <w:szCs w:val="32"/>
          <w:highlight w:val="none"/>
        </w:rPr>
        <w:t>编码、</w:t>
      </w:r>
      <w:r>
        <w:rPr>
          <w:rFonts w:hint="eastAsia" w:ascii="仿宋_GB2312" w:hAnsi="仿宋_GB2312" w:eastAsia="仿宋_GB2312" w:cs="仿宋_GB2312"/>
          <w:b w:val="0"/>
          <w:bCs/>
          <w:smallCaps w:val="0"/>
          <w:sz w:val="32"/>
          <w:szCs w:val="32"/>
          <w:highlight w:val="none"/>
          <w:lang w:val="en-US" w:eastAsia="zh-CN"/>
        </w:rPr>
        <w:t>投标人</w:t>
      </w:r>
      <w:r>
        <w:rPr>
          <w:rFonts w:hint="eastAsia" w:ascii="仿宋_GB2312" w:hAnsi="仿宋_GB2312" w:eastAsia="仿宋_GB2312" w:cs="仿宋_GB2312"/>
          <w:b w:val="0"/>
          <w:bCs/>
          <w:smallCaps w:val="0"/>
          <w:sz w:val="32"/>
          <w:szCs w:val="32"/>
          <w:highlight w:val="none"/>
        </w:rPr>
        <w:t>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未按照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要求进行排序、标注或封装导致</w:t>
      </w:r>
      <w:r>
        <w:rPr>
          <w:rFonts w:hint="eastAsia" w:ascii="Times New Roman" w:hAnsi="Times New Roman" w:eastAsia="仿宋_GB2312" w:cs="仿宋_GB2312"/>
          <w:b w:val="0"/>
          <w:bCs/>
          <w:smallCaps w:val="0"/>
          <w:sz w:val="32"/>
          <w:szCs w:val="32"/>
          <w:highlight w:val="none"/>
          <w:lang w:val="en-US" w:eastAsia="zh-CN"/>
        </w:rPr>
        <w:t>招标人</w:t>
      </w:r>
      <w:r>
        <w:rPr>
          <w:rFonts w:hint="eastAsia" w:ascii="Times New Roman" w:hAnsi="Times New Roman" w:eastAsia="仿宋_GB2312" w:cs="仿宋_GB2312"/>
          <w:b w:val="0"/>
          <w:bCs/>
          <w:smallCaps w:val="0"/>
          <w:sz w:val="32"/>
          <w:szCs w:val="32"/>
          <w:highlight w:val="none"/>
        </w:rPr>
        <w:t>提前拆开或错误拆开</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造成废标的，由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自行承担不利后果。</w:t>
      </w:r>
    </w:p>
    <w:p w14:paraId="434E380E">
      <w:pPr>
        <w:pStyle w:val="4"/>
        <w:pageBreakBefore w:val="0"/>
        <w:widowControl w:val="0"/>
        <w:kinsoku/>
        <w:wordWrap w:val="0"/>
        <w:overflowPunct/>
        <w:topLinePunct w:val="0"/>
        <w:autoSpaceDE/>
        <w:autoSpaceDN/>
        <w:bidi w:val="0"/>
        <w:adjustRightInd/>
        <w:spacing w:before="0" w:after="0" w:line="560" w:lineRule="exact"/>
        <w:ind w:firstLine="640" w:firstLineChars="200"/>
        <w:jc w:val="both"/>
        <w:textAlignment w:val="auto"/>
        <w:rPr>
          <w:rFonts w:hint="eastAsia" w:ascii="Times New Roman" w:hAnsi="Times New Roman" w:eastAsia="黑体" w:cs="黑体"/>
          <w:b w:val="0"/>
          <w:smallCaps w:val="0"/>
          <w:sz w:val="32"/>
          <w:szCs w:val="32"/>
          <w:highlight w:val="none"/>
        </w:rPr>
      </w:pPr>
      <w:bookmarkStart w:id="22" w:name="_Toc24285"/>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投标人</w:t>
      </w:r>
      <w:r>
        <w:rPr>
          <w:rFonts w:hint="eastAsia" w:ascii="Times New Roman" w:hAnsi="Times New Roman" w:eastAsia="黑体" w:cs="黑体"/>
          <w:b w:val="0"/>
          <w:smallCaps w:val="0"/>
          <w:sz w:val="32"/>
          <w:szCs w:val="32"/>
          <w:highlight w:val="none"/>
        </w:rPr>
        <w:t>须知</w:t>
      </w:r>
      <w:bookmarkEnd w:id="22"/>
    </w:p>
    <w:p w14:paraId="76A5D4F4">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因故不能参加</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的，须在</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会议至少前2个工作日内以书面形式通知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。如未按本条要求通知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而造成</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工作受到阻碍或不良影响的，三年内不得参与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采购项目投标。</w:t>
      </w:r>
    </w:p>
    <w:p w14:paraId="33BDF0E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文件有任何疑问的，可在</w:t>
      </w:r>
      <w:r>
        <w:rPr>
          <w:rFonts w:hint="eastAsia" w:ascii="Times New Roman" w:hAnsi="Times New Roman" w:eastAsia="仿宋_GB2312" w:cs="仿宋_GB2312"/>
          <w:bCs/>
          <w:smallCaps w:val="0"/>
          <w:sz w:val="32"/>
          <w:szCs w:val="32"/>
          <w:highlight w:val="none"/>
          <w:lang w:val="en-US" w:eastAsia="zh-CN"/>
        </w:rPr>
        <w:t>2025年7月28日17时</w:t>
      </w:r>
      <w:r>
        <w:rPr>
          <w:rFonts w:hint="eastAsia" w:ascii="Times New Roman" w:hAnsi="Times New Roman" w:eastAsia="仿宋_GB2312" w:cs="仿宋_GB2312"/>
          <w:bCs/>
          <w:smallCaps w:val="0"/>
          <w:sz w:val="32"/>
          <w:szCs w:val="32"/>
          <w:highlight w:val="none"/>
        </w:rPr>
        <w:t xml:space="preserve">前内向本文件“第一部分 </w:t>
      </w:r>
      <w:r>
        <w:rPr>
          <w:rFonts w:hint="eastAsia" w:ascii="Times New Roman" w:hAnsi="Times New Roman" w:eastAsia="仿宋_GB2312" w:cs="仿宋_GB2312"/>
          <w:bCs/>
          <w:smallCaps w:val="0"/>
          <w:sz w:val="32"/>
          <w:szCs w:val="32"/>
          <w:highlight w:val="none"/>
          <w:lang w:val="en-US" w:eastAsia="zh-CN"/>
        </w:rPr>
        <w:t>采购公告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十二</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及程序的认可，不得再以任何理由要求修改或提出质疑。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将于</w:t>
      </w:r>
      <w:r>
        <w:rPr>
          <w:rFonts w:hint="eastAsia" w:ascii="Times New Roman" w:hAnsi="Times New Roman" w:eastAsia="仿宋_GB2312" w:cs="仿宋_GB2312"/>
          <w:bCs/>
          <w:smallCaps w:val="0"/>
          <w:sz w:val="32"/>
          <w:szCs w:val="32"/>
          <w:highlight w:val="none"/>
          <w:lang w:val="en-US" w:eastAsia="zh-CN"/>
        </w:rPr>
        <w:t>2025年7月29日17时</w:t>
      </w:r>
      <w:r>
        <w:rPr>
          <w:rFonts w:hint="eastAsia" w:ascii="Times New Roman" w:hAnsi="Times New Roman" w:eastAsia="仿宋_GB2312" w:cs="仿宋_GB2312"/>
          <w:bCs/>
          <w:smallCaps w:val="0"/>
          <w:sz w:val="32"/>
          <w:szCs w:val="32"/>
          <w:highlight w:val="none"/>
        </w:rPr>
        <w:t>前进行统一答疑。</w:t>
      </w:r>
    </w:p>
    <w:p w14:paraId="52FBD495">
      <w:pPr>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60D2616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在开标现场递交加盖</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以人民币为报价单位的报价表，报价应是本</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所确定的全部工作内容的价格体现</w:t>
      </w:r>
      <w:r>
        <w:rPr>
          <w:rFonts w:hint="eastAsia" w:ascii="Times New Roman" w:hAnsi="Times New Roman" w:eastAsia="仿宋_GB2312" w:cs="仿宋_GB2312"/>
          <w:bCs/>
          <w:smallCaps w:val="0"/>
          <w:sz w:val="32"/>
          <w:szCs w:val="32"/>
          <w:highlight w:val="none"/>
          <w:lang w:val="en-US" w:eastAsia="zh-CN"/>
        </w:rPr>
        <w:t>。投标人提出的报价应严格按照本文件“第四章 投标文件格式 格式5 服务项目报价单”。</w:t>
      </w:r>
    </w:p>
    <w:p w14:paraId="6E0EA675">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定标完成后，</w:t>
      </w:r>
      <w:r>
        <w:rPr>
          <w:rFonts w:hint="eastAsia" w:ascii="Times New Roman" w:hAnsi="Times New Roman" w:eastAsia="仿宋_GB2312" w:cs="仿宋_GB2312"/>
          <w:bCs/>
          <w:smallCaps w:val="0"/>
          <w:sz w:val="32"/>
          <w:szCs w:val="32"/>
          <w:highlight w:val="none"/>
          <w:lang w:val="en-US" w:eastAsia="zh-CN"/>
        </w:rPr>
        <w:t>招标人在深圳阳光采购平台</w:t>
      </w:r>
      <w:r>
        <w:rPr>
          <w:rFonts w:hint="eastAsia" w:ascii="Times New Roman" w:hAnsi="Times New Roman" w:eastAsia="仿宋_GB2312" w:cs="仿宋_GB2312"/>
          <w:bCs/>
          <w:smallCaps w:val="0"/>
          <w:sz w:val="32"/>
          <w:szCs w:val="32"/>
          <w:highlight w:val="none"/>
        </w:rPr>
        <w:t>发布</w:t>
      </w:r>
      <w:r>
        <w:rPr>
          <w:rFonts w:hint="eastAsia" w:ascii="Times New Roman" w:hAnsi="Times New Roman" w:eastAsia="仿宋_GB2312" w:cs="仿宋_GB2312"/>
          <w:bCs/>
          <w:smallCaps w:val="0"/>
          <w:sz w:val="32"/>
          <w:szCs w:val="32"/>
          <w:highlight w:val="none"/>
          <w:lang w:val="en-US" w:eastAsia="zh-CN"/>
        </w:rPr>
        <w:t>成交候选人</w:t>
      </w:r>
      <w:r>
        <w:rPr>
          <w:rFonts w:hint="eastAsia" w:ascii="Times New Roman" w:hAnsi="Times New Roman" w:eastAsia="仿宋_GB2312" w:cs="仿宋_GB2312"/>
          <w:bCs/>
          <w:smallCaps w:val="0"/>
          <w:sz w:val="32"/>
          <w:szCs w:val="32"/>
          <w:highlight w:val="none"/>
        </w:rPr>
        <w:t>公示，公示期为3个</w:t>
      </w:r>
      <w:r>
        <w:rPr>
          <w:rFonts w:hint="eastAsia" w:ascii="Times New Roman" w:hAnsi="Times New Roman" w:eastAsia="仿宋_GB2312" w:cs="仿宋_GB2312"/>
          <w:bCs/>
          <w:smallCaps w:val="0"/>
          <w:sz w:val="32"/>
          <w:szCs w:val="32"/>
          <w:highlight w:val="none"/>
          <w:lang w:val="en-US" w:eastAsia="zh-CN"/>
        </w:rPr>
        <w:t>工作</w:t>
      </w:r>
      <w:r>
        <w:rPr>
          <w:rFonts w:hint="eastAsia" w:ascii="Times New Roman" w:hAnsi="Times New Roman" w:eastAsia="仿宋_GB2312" w:cs="仿宋_GB2312"/>
          <w:bCs/>
          <w:smallCaps w:val="0"/>
          <w:sz w:val="32"/>
          <w:szCs w:val="32"/>
          <w:highlight w:val="none"/>
        </w:rPr>
        <w:t>日。公示期结束无异议的，</w:t>
      </w:r>
      <w:r>
        <w:rPr>
          <w:rFonts w:hint="eastAsia" w:ascii="Times New Roman" w:hAnsi="Times New Roman" w:eastAsia="仿宋_GB2312" w:cs="仿宋_GB2312"/>
          <w:bCs/>
          <w:smallCaps w:val="0"/>
          <w:sz w:val="32"/>
          <w:szCs w:val="32"/>
          <w:highlight w:val="none"/>
          <w:lang w:val="en-US" w:eastAsia="zh-CN"/>
        </w:rPr>
        <w:t>在阳光采购平台发布中标结果公示，并</w:t>
      </w:r>
      <w:r>
        <w:rPr>
          <w:rFonts w:hint="eastAsia" w:ascii="Times New Roman" w:hAnsi="Times New Roman" w:eastAsia="仿宋_GB2312" w:cs="仿宋_GB2312"/>
          <w:bCs/>
          <w:smallCaps w:val="0"/>
          <w:sz w:val="32"/>
          <w:szCs w:val="32"/>
          <w:highlight w:val="none"/>
        </w:rPr>
        <w:t>向</w:t>
      </w:r>
      <w:r>
        <w:rPr>
          <w:rFonts w:hint="eastAsia" w:ascii="Times New Roman" w:hAnsi="Times New Roman" w:eastAsia="仿宋_GB2312" w:cs="仿宋_GB2312"/>
          <w:bCs/>
          <w:smallCaps w:val="0"/>
          <w:sz w:val="32"/>
          <w:szCs w:val="32"/>
          <w:highlight w:val="none"/>
          <w:lang w:val="en-US" w:eastAsia="zh-CN"/>
        </w:rPr>
        <w:t>中标人</w:t>
      </w:r>
      <w:r>
        <w:rPr>
          <w:rFonts w:hint="eastAsia" w:ascii="Times New Roman" w:hAnsi="Times New Roman" w:eastAsia="仿宋_GB2312" w:cs="仿宋_GB2312"/>
          <w:bCs/>
          <w:smallCaps w:val="0"/>
          <w:sz w:val="32"/>
          <w:szCs w:val="32"/>
          <w:highlight w:val="none"/>
        </w:rPr>
        <w:t>发放《</w:t>
      </w:r>
      <w:r>
        <w:rPr>
          <w:rFonts w:hint="eastAsia" w:ascii="Times New Roman" w:hAnsi="Times New Roman" w:eastAsia="仿宋_GB2312" w:cs="仿宋_GB2312"/>
          <w:bCs/>
          <w:smallCaps w:val="0"/>
          <w:sz w:val="32"/>
          <w:szCs w:val="32"/>
          <w:highlight w:val="none"/>
          <w:lang w:val="en-US" w:eastAsia="zh-CN"/>
        </w:rPr>
        <w:t>中标</w:t>
      </w:r>
      <w:r>
        <w:rPr>
          <w:rFonts w:hint="eastAsia" w:ascii="Times New Roman" w:hAnsi="Times New Roman" w:eastAsia="仿宋_GB2312" w:cs="仿宋_GB2312"/>
          <w:bCs/>
          <w:smallCaps w:val="0"/>
          <w:sz w:val="32"/>
          <w:szCs w:val="32"/>
          <w:highlight w:val="none"/>
        </w:rPr>
        <w:t>通知书》。公示期内如有质疑，需书面实名向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提出并提交随附证据。</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对电子邮件、口头形式提出或无实际证据的质疑不予受理。经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审定存在恶意质疑或投诉的，三年内不得参与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项目</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招标。</w:t>
      </w:r>
    </w:p>
    <w:p w14:paraId="59FA452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若接受邀请、递交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或</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符合性审查阶段中任一阶段的有效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数量不足3家，</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有权根据经营管理需要面向不特定社会公众实施</w:t>
      </w:r>
      <w:r>
        <w:rPr>
          <w:rFonts w:hint="eastAsia" w:ascii="Times New Roman" w:hAnsi="Times New Roman" w:eastAsia="仿宋_GB2312" w:cs="仿宋_GB2312"/>
          <w:bCs/>
          <w:smallCaps w:val="0"/>
          <w:sz w:val="32"/>
          <w:szCs w:val="32"/>
          <w:highlight w:val="none"/>
          <w:lang w:val="en-US" w:eastAsia="zh-CN"/>
        </w:rPr>
        <w:t>二次公告</w:t>
      </w:r>
      <w:r>
        <w:rPr>
          <w:rFonts w:hint="eastAsia" w:ascii="Times New Roman" w:hAnsi="Times New Roman" w:eastAsia="仿宋_GB2312" w:cs="仿宋_GB2312"/>
          <w:bCs/>
          <w:smallCaps w:val="0"/>
          <w:sz w:val="32"/>
          <w:szCs w:val="32"/>
          <w:highlight w:val="none"/>
        </w:rPr>
        <w:t>，如二次</w:t>
      </w:r>
      <w:r>
        <w:rPr>
          <w:rFonts w:hint="eastAsia" w:ascii="Times New Roman" w:hAnsi="Times New Roman" w:eastAsia="仿宋_GB2312" w:cs="仿宋_GB2312"/>
          <w:bCs/>
          <w:smallCaps w:val="0"/>
          <w:sz w:val="32"/>
          <w:szCs w:val="32"/>
          <w:highlight w:val="none"/>
          <w:lang w:val="en-US" w:eastAsia="zh-CN"/>
        </w:rPr>
        <w:t>公告</w:t>
      </w:r>
      <w:r>
        <w:rPr>
          <w:rFonts w:hint="eastAsia" w:ascii="Times New Roman" w:hAnsi="Times New Roman" w:eastAsia="仿宋_GB2312" w:cs="仿宋_GB2312"/>
          <w:bCs/>
          <w:smallCaps w:val="0"/>
          <w:sz w:val="32"/>
          <w:szCs w:val="32"/>
          <w:highlight w:val="none"/>
        </w:rPr>
        <w:t>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仍不足3家的，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单一来源/竞争性采购谈判</w:t>
      </w:r>
      <w:r>
        <w:rPr>
          <w:rFonts w:hint="eastAsia" w:ascii="Times New Roman" w:hAnsi="Times New Roman" w:eastAsia="仿宋_GB2312" w:cs="仿宋_GB2312"/>
          <w:bCs/>
          <w:smallCaps w:val="0"/>
          <w:sz w:val="32"/>
          <w:szCs w:val="32"/>
          <w:highlight w:val="none"/>
        </w:rPr>
        <w:t>。</w:t>
      </w:r>
    </w:p>
    <w:p w14:paraId="14DDECC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不承担因招标失败给</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造成的损失。</w:t>
      </w:r>
    </w:p>
    <w:p w14:paraId="1D4B008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w:t>
      </w:r>
      <w:r>
        <w:rPr>
          <w:rFonts w:hint="eastAsia" w:ascii="Times New Roman" w:hAnsi="Times New Roman" w:eastAsia="仿宋_GB2312" w:cs="仿宋_GB2312"/>
          <w:bCs/>
          <w:smallCaps w:val="0"/>
          <w:sz w:val="32"/>
          <w:szCs w:val="32"/>
          <w:highlight w:val="none"/>
          <w:lang w:val="en-US" w:eastAsia="zh-CN"/>
        </w:rPr>
        <w:t>评价</w:t>
      </w:r>
      <w:r>
        <w:rPr>
          <w:rFonts w:hint="eastAsia" w:ascii="Times New Roman" w:hAnsi="Times New Roman" w:eastAsia="仿宋_GB2312" w:cs="仿宋_GB2312"/>
          <w:bCs/>
          <w:smallCaps w:val="0"/>
          <w:sz w:val="32"/>
          <w:szCs w:val="32"/>
          <w:highlight w:val="none"/>
        </w:rPr>
        <w:t>，</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不承诺</w:t>
      </w:r>
      <w:r>
        <w:rPr>
          <w:rFonts w:hint="eastAsia" w:ascii="Times New Roman" w:hAnsi="Times New Roman" w:eastAsia="仿宋_GB2312" w:cs="仿宋_GB2312"/>
          <w:bCs/>
          <w:smallCaps w:val="0"/>
          <w:sz w:val="32"/>
          <w:szCs w:val="32"/>
          <w:highlight w:val="none"/>
          <w:lang w:val="en-US" w:eastAsia="zh-CN"/>
        </w:rPr>
        <w:t>报价</w:t>
      </w:r>
      <w:r>
        <w:rPr>
          <w:rFonts w:hint="eastAsia" w:ascii="Times New Roman" w:hAnsi="Times New Roman" w:eastAsia="仿宋_GB2312" w:cs="仿宋_GB2312"/>
          <w:bCs/>
          <w:smallCaps w:val="0"/>
          <w:sz w:val="32"/>
          <w:szCs w:val="32"/>
          <w:highlight w:val="none"/>
        </w:rPr>
        <w:t>最低的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中标。</w:t>
      </w:r>
    </w:p>
    <w:p w14:paraId="324352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必须接受</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对本项目的全部</w:t>
      </w:r>
      <w:r>
        <w:rPr>
          <w:rFonts w:hint="eastAsia" w:ascii="Times New Roman" w:hAnsi="Times New Roman" w:eastAsia="仿宋_GB2312" w:cs="仿宋_GB2312"/>
          <w:bCs/>
          <w:smallCaps w:val="0"/>
          <w:sz w:val="32"/>
          <w:szCs w:val="32"/>
          <w:highlight w:val="none"/>
          <w:lang w:val="en-US" w:eastAsia="zh-CN"/>
        </w:rPr>
        <w:t>招标、谈判</w:t>
      </w:r>
      <w:r>
        <w:rPr>
          <w:rFonts w:hint="eastAsia" w:ascii="Times New Roman" w:hAnsi="Times New Roman" w:eastAsia="仿宋_GB2312" w:cs="仿宋_GB2312"/>
          <w:bCs/>
          <w:smallCaps w:val="0"/>
          <w:sz w:val="32"/>
          <w:szCs w:val="32"/>
          <w:highlight w:val="none"/>
        </w:rPr>
        <w:t>方法。</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未中标的结果不负有解释义务，不退还</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，且不承担</w:t>
      </w:r>
      <w:r>
        <w:rPr>
          <w:rFonts w:hint="eastAsia" w:ascii="Times New Roman" w:hAnsi="Times New Roman" w:eastAsia="仿宋_GB2312" w:cs="仿宋_GB2312"/>
          <w:bCs/>
          <w:smallCaps w:val="0"/>
          <w:sz w:val="32"/>
          <w:szCs w:val="32"/>
          <w:highlight w:val="none"/>
          <w:lang w:val="en-US" w:eastAsia="zh-CN"/>
        </w:rPr>
        <w:t>供应商</w:t>
      </w:r>
      <w:r>
        <w:rPr>
          <w:rFonts w:hint="eastAsia" w:ascii="Times New Roman" w:hAnsi="Times New Roman" w:eastAsia="仿宋_GB2312" w:cs="仿宋_GB2312"/>
          <w:bCs/>
          <w:smallCaps w:val="0"/>
          <w:sz w:val="32"/>
          <w:szCs w:val="32"/>
          <w:highlight w:val="none"/>
        </w:rPr>
        <w:t>因</w:t>
      </w:r>
      <w:r>
        <w:rPr>
          <w:rFonts w:hint="eastAsia" w:ascii="Times New Roman" w:hAnsi="Times New Roman" w:eastAsia="仿宋_GB2312" w:cs="仿宋_GB2312"/>
          <w:bCs/>
          <w:smallCaps w:val="0"/>
          <w:sz w:val="32"/>
          <w:szCs w:val="32"/>
          <w:highlight w:val="none"/>
          <w:lang w:val="en-US" w:eastAsia="zh-CN"/>
        </w:rPr>
        <w:t>响应项目</w:t>
      </w:r>
      <w:r>
        <w:rPr>
          <w:rFonts w:hint="eastAsia" w:ascii="Times New Roman" w:hAnsi="Times New Roman" w:eastAsia="仿宋_GB2312" w:cs="仿宋_GB2312"/>
          <w:bCs/>
          <w:smallCaps w:val="0"/>
          <w:sz w:val="32"/>
          <w:szCs w:val="32"/>
          <w:highlight w:val="none"/>
        </w:rPr>
        <w:t>产生的任何费用或损失。</w:t>
      </w:r>
    </w:p>
    <w:p w14:paraId="4E60260A">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不得相互串通报价，不得排挤其他</w:t>
      </w:r>
      <w:r>
        <w:rPr>
          <w:rFonts w:hint="eastAsia" w:ascii="Times New Roman" w:hAnsi="Times New Roman" w:eastAsia="仿宋_GB2312" w:cs="仿宋_GB2312"/>
          <w:bCs/>
          <w:smallCaps w:val="0"/>
          <w:sz w:val="32"/>
          <w:szCs w:val="32"/>
          <w:highlight w:val="none"/>
          <w:lang w:eastAsia="zh-CN"/>
        </w:rPr>
        <w:t>供应商</w:t>
      </w:r>
      <w:r>
        <w:rPr>
          <w:rFonts w:hint="eastAsia" w:ascii="Times New Roman" w:hAnsi="Times New Roman" w:eastAsia="仿宋_GB2312" w:cs="仿宋_GB2312"/>
          <w:bCs/>
          <w:smallCaps w:val="0"/>
          <w:sz w:val="32"/>
          <w:szCs w:val="32"/>
          <w:highlight w:val="none"/>
        </w:rPr>
        <w:t>的公平竞争。一经发现违规行为，</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有权立即终止采购活动并取消违反规定的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资格。</w:t>
      </w:r>
    </w:p>
    <w:p w14:paraId="464451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有义务在整个招标工作开展期间自行留意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疏于浏览而导致的不利后果由</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3" w:name="_Toc25"/>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作废</w:t>
      </w:r>
      <w:bookmarkEnd w:id="23"/>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过程中存在以下任一行为的，</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作废，取消投标资格：</w:t>
      </w:r>
    </w:p>
    <w:p w14:paraId="1A37E44D">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要求提交报名表及随附材料</w:t>
      </w:r>
      <w:r>
        <w:rPr>
          <w:rFonts w:hint="eastAsia" w:ascii="Times New Roman" w:hAnsi="Times New Roman" w:eastAsia="仿宋_GB2312" w:cs="仿宋_GB2312"/>
          <w:bCs/>
          <w:smallCaps w:val="0"/>
          <w:sz w:val="32"/>
          <w:szCs w:val="32"/>
          <w:highlight w:val="none"/>
          <w:lang w:eastAsia="zh-CN"/>
        </w:rPr>
        <w:t>；</w:t>
      </w:r>
    </w:p>
    <w:p w14:paraId="213F92BE">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经资格复审不符合</w:t>
      </w:r>
      <w:r>
        <w:rPr>
          <w:rFonts w:hint="eastAsia" w:ascii="Times New Roman" w:hAnsi="Times New Roman" w:eastAsia="仿宋_GB2312" w:cs="仿宋_GB2312"/>
          <w:bCs/>
          <w:smallCaps w:val="0"/>
          <w:sz w:val="32"/>
          <w:szCs w:val="32"/>
          <w:highlight w:val="none"/>
          <w:lang w:eastAsia="zh-CN"/>
        </w:rPr>
        <w:t>招标人</w:t>
      </w:r>
      <w:r>
        <w:rPr>
          <w:rFonts w:hint="eastAsia" w:ascii="Times New Roman" w:hAnsi="Times New Roman" w:eastAsia="仿宋_GB2312" w:cs="仿宋_GB2312"/>
          <w:bCs/>
          <w:smallCaps w:val="0"/>
          <w:sz w:val="32"/>
          <w:szCs w:val="32"/>
          <w:highlight w:val="none"/>
          <w:lang w:val="en-US" w:eastAsia="zh-CN"/>
        </w:rPr>
        <w:t>关于</w:t>
      </w:r>
      <w:r>
        <w:rPr>
          <w:rFonts w:hint="eastAsia" w:ascii="Times New Roman" w:hAnsi="Times New Roman" w:eastAsia="仿宋_GB2312" w:cs="仿宋_GB2312"/>
          <w:bCs/>
          <w:smallCaps w:val="0"/>
          <w:sz w:val="32"/>
          <w:szCs w:val="32"/>
          <w:highlight w:val="none"/>
        </w:rPr>
        <w:t>本项目资质要求的；</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期间存在企图影响</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要求制作</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738D73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同意擅自改动</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内容；</w:t>
      </w:r>
    </w:p>
    <w:p w14:paraId="728A7E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递交超过截止时限或未能递交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4781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及后续</w:t>
      </w:r>
      <w:r>
        <w:rPr>
          <w:rFonts w:hint="eastAsia" w:ascii="Times New Roman" w:hAnsi="Times New Roman" w:eastAsia="仿宋_GB2312" w:cs="仿宋_GB2312"/>
          <w:bCs/>
          <w:smallCaps w:val="0"/>
          <w:sz w:val="32"/>
          <w:szCs w:val="32"/>
          <w:highlight w:val="none"/>
          <w:lang w:val="en-US" w:eastAsia="zh-CN"/>
        </w:rPr>
        <w:t>谈判</w:t>
      </w:r>
      <w:r>
        <w:rPr>
          <w:rFonts w:hint="eastAsia" w:ascii="Times New Roman" w:hAnsi="Times New Roman" w:eastAsia="仿宋_GB2312" w:cs="仿宋_GB2312"/>
          <w:bCs/>
          <w:smallCaps w:val="0"/>
          <w:sz w:val="32"/>
          <w:szCs w:val="32"/>
          <w:highlight w:val="none"/>
        </w:rPr>
        <w:t>的任意环节中提供虚假材料及信息；</w:t>
      </w:r>
    </w:p>
    <w:p w14:paraId="024C19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八</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本文件中规定的其它按</w:t>
      </w:r>
      <w:r>
        <w:rPr>
          <w:rFonts w:hint="eastAsia" w:ascii="Times New Roman" w:hAnsi="Times New Roman" w:eastAsia="仿宋_GB2312" w:cs="仿宋_GB2312"/>
          <w:bCs/>
          <w:smallCaps w:val="0"/>
          <w:sz w:val="32"/>
          <w:szCs w:val="32"/>
          <w:highlight w:val="none"/>
          <w:lang w:val="en-US" w:eastAsia="zh-CN"/>
        </w:rPr>
        <w:t>作废</w:t>
      </w:r>
      <w:r>
        <w:rPr>
          <w:rFonts w:hint="eastAsia" w:ascii="Times New Roman" w:hAnsi="Times New Roman" w:eastAsia="仿宋_GB2312" w:cs="仿宋_GB2312"/>
          <w:bCs/>
          <w:smallCaps w:val="0"/>
          <w:sz w:val="32"/>
          <w:szCs w:val="32"/>
          <w:highlight w:val="none"/>
        </w:rPr>
        <w:t>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4" w:name="_Toc16170"/>
      <w:bookmarkStart w:id="25" w:name="_Toc5207"/>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24"/>
      <w:bookmarkEnd w:id="25"/>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对恶意投标、中标后不能按照本招标文件“第二部分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不论投标结果如何，投标人的投标文件均不退回，且不对未中标单位作任何解释。投标人因投标产生的一切费用不管投标结果如何，均由投标人承担。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投标人不得相互串通投标报价，不得排挤其他投标人的公平竞争。一经发现违规行为，招标人有权立即终止采购活动并取消违反规定的投标人资格。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6" w:name="_Toc1070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递交</w:t>
      </w:r>
      <w:bookmarkEnd w:id="26"/>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2025年8月4日14：30。</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w:t>
      </w:r>
      <w:r>
        <w:rPr>
          <w:rFonts w:hint="eastAsia" w:ascii="Times New Roman" w:hAnsi="Times New Roman" w:eastAsia="仿宋_GB2312" w:cs="仿宋_GB2312"/>
          <w:b w:val="0"/>
          <w:bCs/>
          <w:smallCaps w:val="0"/>
          <w:sz w:val="32"/>
          <w:szCs w:val="32"/>
          <w:highlight w:val="none"/>
          <w:lang w:val="en-US" w:eastAsia="zh-CN"/>
        </w:rPr>
        <w:t>深圳市鹏劳人力资源管理有限公司。</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en-US" w:eastAsia="zh-CN"/>
        </w:rPr>
      </w:pPr>
      <w:bookmarkStart w:id="27" w:name="_Toc42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开标</w:t>
      </w:r>
      <w:bookmarkEnd w:id="27"/>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开标方式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w:t>
      </w:r>
      <w:r>
        <w:rPr>
          <w:rFonts w:hint="eastAsia" w:ascii="Times New Roman" w:hAnsi="Times New Roman" w:eastAsia="仿宋_GB2312" w:cs="仿宋_GB2312"/>
          <w:b w:val="0"/>
          <w:bCs/>
          <w:smallCaps w:val="0"/>
          <w:sz w:val="32"/>
          <w:szCs w:val="32"/>
          <w:highlight w:val="none"/>
          <w:lang w:val="en-US" w:eastAsia="zh-CN"/>
        </w:rPr>
        <w:t>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二）开标时间</w:t>
      </w:r>
    </w:p>
    <w:p w14:paraId="4565722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2025年8月4日14：30。</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三）开标</w:t>
      </w:r>
      <w:r>
        <w:rPr>
          <w:rFonts w:hint="eastAsia" w:ascii="Times New Roman" w:hAnsi="Times New Roman" w:eastAsia="楷体_GB2312" w:cs="楷体_GB2312"/>
          <w:b w:val="0"/>
          <w:bCs/>
          <w:smallCaps w:val="0"/>
          <w:sz w:val="32"/>
          <w:szCs w:val="32"/>
          <w:highlight w:val="none"/>
          <w:lang w:eastAsia="zh-CN"/>
        </w:rPr>
        <w:t>地点</w:t>
      </w:r>
    </w:p>
    <w:p w14:paraId="6FF0C2AF">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四）开标</w:t>
      </w:r>
      <w:r>
        <w:rPr>
          <w:rFonts w:hint="eastAsia" w:ascii="Times New Roman" w:hAnsi="Times New Roman" w:eastAsia="楷体_GB2312" w:cs="楷体_GB2312"/>
          <w:b w:val="0"/>
          <w:bCs/>
          <w:smallCaps w:val="0"/>
          <w:sz w:val="32"/>
          <w:szCs w:val="32"/>
          <w:highlight w:val="none"/>
          <w:lang w:eastAsia="zh-CN"/>
        </w:rPr>
        <w:t>程序</w:t>
      </w:r>
    </w:p>
    <w:p w14:paraId="144FFF7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6C921B8F">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4B67FB3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56FFD1E8">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540F76C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r>
        <w:rPr>
          <w:rFonts w:hint="eastAsia" w:ascii="仿宋_GB2312" w:hAnsi="仿宋_GB2312" w:eastAsia="仿宋_GB2312" w:cs="仿宋_GB2312"/>
          <w:b w:val="0"/>
          <w:bCs/>
          <w:smallCaps w:val="0"/>
          <w:sz w:val="32"/>
          <w:szCs w:val="32"/>
          <w:highlight w:val="none"/>
          <w:lang w:eastAsia="zh-CN"/>
        </w:rPr>
        <w:t>。</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028CB8F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8" w:name="_Toc15191"/>
      <w:bookmarkStart w:id="29" w:name="_Toc17483"/>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28"/>
      <w:bookmarkEnd w:id="29"/>
    </w:p>
    <w:p w14:paraId="5F27131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5117DB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0DD1FA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0F97460B">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D3737E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0" w:name="_Toc2490"/>
      <w:bookmarkStart w:id="31" w:name="_Toc10479"/>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30"/>
      <w:bookmarkEnd w:id="31"/>
    </w:p>
    <w:p w14:paraId="37E40EB8">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bookmarkStart w:id="32" w:name="_Toc5305"/>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32"/>
    </w:p>
    <w:p w14:paraId="1D8C580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3" w:name="_Toc13978"/>
      <w:bookmarkStart w:id="34" w:name="_Toc2628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33"/>
      <w:bookmarkEnd w:id="34"/>
    </w:p>
    <w:p w14:paraId="5A0F78DC">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35" w:name="_Toc32616"/>
      <w:bookmarkStart w:id="36" w:name="_Toc18847"/>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35"/>
      <w:bookmarkEnd w:id="36"/>
    </w:p>
    <w:p w14:paraId="6738A1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527D4CB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3C61DE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E0DE59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25A7BC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D137E7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801C2F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7205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67AD14">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21CBF6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F6249B4">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5058C6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E661D74">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F00A21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6DFE63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FAE167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B8ED8B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07B97A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151FD70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287B251">
      <w:pPr>
        <w:pStyle w:val="3"/>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37" w:name="_Toc29843"/>
      <w:bookmarkStart w:id="38" w:name="_Toc3167"/>
      <w:bookmarkStart w:id="39" w:name="_Toc25565"/>
      <w:r>
        <w:rPr>
          <w:rFonts w:hint="eastAsia" w:ascii="Times New Roman" w:hAnsi="Times New Roman" w:eastAsia="黑体" w:cs="黑体"/>
          <w:b w:val="0"/>
          <w:bCs/>
          <w:smallCaps w:val="0"/>
          <w:sz w:val="32"/>
          <w:szCs w:val="32"/>
          <w:highlight w:val="none"/>
        </w:rPr>
        <w:t>第二章 评标程序及标准</w:t>
      </w:r>
      <w:bookmarkEnd w:id="37"/>
      <w:bookmarkEnd w:id="38"/>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40" w:name="_Toc40445480"/>
      <w:bookmarkStart w:id="41" w:name="_Toc532127158"/>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40"/>
      <w:bookmarkEnd w:id="41"/>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2" w:name="_bookmark89"/>
      <w:bookmarkEnd w:id="42"/>
      <w:bookmarkStart w:id="43" w:name="_Toc40445481"/>
      <w:bookmarkStart w:id="44" w:name="_Toc532127159"/>
      <w:r>
        <w:rPr>
          <w:rFonts w:hint="eastAsia" w:ascii="Times New Roman" w:hAnsi="Times New Roman" w:eastAsia="黑体" w:cs="黑体"/>
          <w:bCs/>
          <w:smallCaps w:val="0"/>
          <w:sz w:val="32"/>
          <w:szCs w:val="32"/>
          <w:highlight w:val="none"/>
          <w:lang w:val="en-US" w:eastAsia="zh-CN"/>
        </w:rPr>
        <w:t>二、详细评审</w:t>
      </w:r>
      <w:bookmarkEnd w:id="43"/>
      <w:bookmarkEnd w:id="44"/>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5" w:name="_Toc532127160"/>
      <w:bookmarkStart w:id="46" w:name="_Toc40445482"/>
      <w:r>
        <w:rPr>
          <w:rFonts w:hint="eastAsia" w:ascii="Times New Roman" w:hAnsi="Times New Roman" w:eastAsia="黑体" w:cs="黑体"/>
          <w:bCs/>
          <w:smallCaps w:val="0"/>
          <w:sz w:val="32"/>
          <w:szCs w:val="32"/>
          <w:highlight w:val="none"/>
          <w:lang w:val="en-US" w:eastAsia="zh-CN"/>
        </w:rPr>
        <w:t>三、投标文件的澄清</w:t>
      </w:r>
      <w:bookmarkEnd w:id="45"/>
      <w:bookmarkEnd w:id="46"/>
    </w:p>
    <w:p w14:paraId="7E62D9F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作必要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47"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48" w:name="_Toc40445483"/>
      <w:r>
        <w:rPr>
          <w:rFonts w:hint="eastAsia" w:ascii="Times New Roman" w:hAnsi="Times New Roman" w:eastAsia="黑体" w:cs="黑体"/>
          <w:bCs/>
          <w:smallCaps w:val="0"/>
          <w:sz w:val="32"/>
          <w:szCs w:val="32"/>
          <w:highlight w:val="none"/>
          <w:lang w:val="en-US" w:eastAsia="zh-CN"/>
        </w:rPr>
        <w:t>四、评标结果</w:t>
      </w:r>
      <w:bookmarkEnd w:id="47"/>
      <w:bookmarkEnd w:id="48"/>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49" w:name="_Toc532127162"/>
      <w:r>
        <w:rPr>
          <w:rFonts w:hint="eastAsia" w:ascii="Times New Roman" w:hAnsi="Times New Roman" w:eastAsia="仿宋_GB2312" w:cs="仿宋_GB2312"/>
          <w:bCs/>
          <w:smallCaps w:val="0"/>
          <w:sz w:val="32"/>
          <w:szCs w:val="32"/>
          <w:highlight w:val="none"/>
        </w:rPr>
        <w:t>具体程序如下:</w:t>
      </w:r>
    </w:p>
    <w:bookmarkEnd w:id="49"/>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50" w:name="_Toc40445485"/>
      <w:bookmarkStart w:id="51" w:name="_Toc532127163"/>
      <w:r>
        <w:rPr>
          <w:rFonts w:hint="eastAsia" w:ascii="Times New Roman" w:hAnsi="Times New Roman" w:eastAsia="黑体" w:cs="黑体"/>
          <w:bCs/>
          <w:smallCaps w:val="0"/>
          <w:sz w:val="32"/>
          <w:szCs w:val="32"/>
          <w:highlight w:val="none"/>
          <w:lang w:val="en-US" w:eastAsia="zh-CN"/>
        </w:rPr>
        <w:t>六、附表</w:t>
      </w:r>
      <w:bookmarkEnd w:id="50"/>
      <w:bookmarkEnd w:id="51"/>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7DDF0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07E50D23">
      <w:pPr>
        <w:pStyle w:val="3"/>
        <w:pageBreakBefore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p>
    <w:p w14:paraId="550331E0">
      <w:pPr>
        <w:rPr>
          <w:rFonts w:hint="eastAsia" w:ascii="Times New Roman" w:hAnsi="Times New Roman" w:eastAsia="黑体" w:cs="黑体"/>
          <w:b w:val="0"/>
          <w:bCs/>
          <w:smallCaps w:val="0"/>
          <w:sz w:val="32"/>
          <w:szCs w:val="32"/>
          <w:highlight w:val="none"/>
        </w:rPr>
      </w:pPr>
    </w:p>
    <w:p w14:paraId="716C8E37">
      <w:pPr>
        <w:rPr>
          <w:rFonts w:hint="eastAsia" w:ascii="Times New Roman" w:hAnsi="Times New Roman" w:eastAsia="黑体" w:cs="黑体"/>
          <w:b w:val="0"/>
          <w:bCs/>
          <w:smallCaps w:val="0"/>
          <w:sz w:val="32"/>
          <w:szCs w:val="32"/>
          <w:highlight w:val="none"/>
        </w:rPr>
      </w:pPr>
    </w:p>
    <w:p w14:paraId="2B8D8B62">
      <w:pPr>
        <w:rPr>
          <w:rFonts w:hint="eastAsia" w:ascii="Times New Roman" w:hAnsi="Times New Roman" w:eastAsia="黑体" w:cs="黑体"/>
          <w:b w:val="0"/>
          <w:bCs/>
          <w:smallCaps w:val="0"/>
          <w:sz w:val="32"/>
          <w:szCs w:val="32"/>
          <w:highlight w:val="none"/>
        </w:rPr>
      </w:pPr>
      <w:r>
        <w:rPr>
          <w:rFonts w:hint="eastAsia" w:ascii="Times New Roman" w:hAnsi="Times New Roman" w:eastAsia="仿宋" w:cs="仿宋"/>
          <w:b/>
          <w:smallCaps w:val="0"/>
          <w:sz w:val="21"/>
          <w:szCs w:val="21"/>
          <w:highlight w:val="none"/>
        </w:rPr>
        <w:t>附</w:t>
      </w:r>
      <w:r>
        <w:rPr>
          <w:rFonts w:hint="eastAsia" w:ascii="仿宋_GB2312" w:hAnsi="仿宋_GB2312" w:eastAsia="仿宋_GB2312" w:cs="仿宋_GB2312"/>
          <w:b/>
          <w:smallCaps w:val="0"/>
          <w:sz w:val="21"/>
          <w:szCs w:val="21"/>
          <w:highlight w:val="none"/>
        </w:rPr>
        <w:t>表1-1</w:t>
      </w:r>
      <w:r>
        <w:rPr>
          <w:rFonts w:hint="eastAsia" w:ascii="Times New Roman" w:hAnsi="Times New Roman" w:eastAsia="仿宋" w:cs="仿宋"/>
          <w:b/>
          <w:smallCaps w:val="0"/>
          <w:sz w:val="21"/>
          <w:szCs w:val="21"/>
          <w:highlight w:val="none"/>
        </w:rPr>
        <w:t xml:space="preserve"> 商务技术标评审标准</w:t>
      </w:r>
    </w:p>
    <w:bookmarkEnd w:id="39"/>
    <w:p w14:paraId="20D3B863">
      <w:pPr>
        <w:pageBreakBefore w:val="0"/>
        <w:widowControl/>
        <w:kinsoku/>
        <w:overflowPunct/>
        <w:topLinePunct w:val="0"/>
        <w:autoSpaceDE/>
        <w:autoSpaceDN/>
        <w:bidi w:val="0"/>
        <w:adjustRightInd w:val="0"/>
        <w:snapToGrid w:val="0"/>
        <w:spacing w:line="240" w:lineRule="auto"/>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lang w:val="en-US" w:eastAsia="zh-CN"/>
        </w:rPr>
        <w:t>商务技术标评审</w:t>
      </w:r>
      <w:r>
        <w:rPr>
          <w:rFonts w:hint="eastAsia" w:ascii="Times New Roman" w:hAnsi="Times New Roman" w:eastAsia="方正小标宋简体" w:cs="方正小标宋简体"/>
          <w:b w:val="0"/>
          <w:bCs/>
          <w:smallCaps w:val="0"/>
          <w:sz w:val="32"/>
          <w:szCs w:val="32"/>
          <w:highlight w:val="none"/>
        </w:rPr>
        <w:t>标准</w:t>
      </w:r>
    </w:p>
    <w:tbl>
      <w:tblPr>
        <w:tblStyle w:val="16"/>
        <w:tblW w:w="101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91"/>
        <w:gridCol w:w="7495"/>
        <w:gridCol w:w="896"/>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666"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1091"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7495"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评分准则</w:t>
            </w:r>
          </w:p>
        </w:tc>
        <w:tc>
          <w:tcPr>
            <w:tcW w:w="896"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3D53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66" w:type="dxa"/>
            <w:vMerge w:val="restart"/>
            <w:tcBorders>
              <w:tl2br w:val="nil"/>
              <w:tr2bl w:val="nil"/>
            </w:tcBorders>
            <w:vAlign w:val="center"/>
          </w:tcPr>
          <w:p w14:paraId="7157CD1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1091" w:type="dxa"/>
            <w:vMerge w:val="restart"/>
            <w:tcBorders>
              <w:tl2br w:val="nil"/>
              <w:tr2bl w:val="nil"/>
            </w:tcBorders>
            <w:vAlign w:val="center"/>
          </w:tcPr>
          <w:p w14:paraId="4B004A3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投标人</w:t>
            </w:r>
          </w:p>
          <w:p w14:paraId="71910DA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资质</w:t>
            </w:r>
          </w:p>
        </w:tc>
        <w:tc>
          <w:tcPr>
            <w:tcW w:w="7495" w:type="dxa"/>
            <w:tcBorders>
              <w:tl2br w:val="nil"/>
              <w:tr2bl w:val="nil"/>
            </w:tcBorders>
            <w:vAlign w:val="center"/>
          </w:tcPr>
          <w:p w14:paraId="0934FD9F">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val="0"/>
                <w:smallCaps w:val="0"/>
                <w:sz w:val="20"/>
                <w:szCs w:val="20"/>
                <w:highlight w:val="none"/>
                <w:lang w:val="en-US" w:eastAsia="zh-CN"/>
              </w:rPr>
              <w:t>投标人</w:t>
            </w:r>
            <w:r>
              <w:rPr>
                <w:rFonts w:hint="eastAsia" w:ascii="Times New Roman" w:hAnsi="Times New Roman" w:eastAsia="宋体" w:cstheme="minorEastAsia"/>
                <w:b w:val="0"/>
                <w:bCs/>
                <w:smallCaps w:val="0"/>
                <w:sz w:val="20"/>
                <w:szCs w:val="20"/>
                <w:highlight w:val="none"/>
                <w:lang w:val="en-US" w:eastAsia="zh-CN"/>
              </w:rPr>
              <w:t>管理体系认证资格数量：6个及以上的，得10分；5-7个的，得3分；5个（不含）以下的，得不得分。</w:t>
            </w:r>
          </w:p>
          <w:p w14:paraId="0FF369F9">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投标人提供加盖公章的体系认证资格文件扫描件。</w:t>
            </w:r>
          </w:p>
        </w:tc>
        <w:tc>
          <w:tcPr>
            <w:tcW w:w="896" w:type="dxa"/>
            <w:tcBorders>
              <w:tl2br w:val="nil"/>
              <w:tr2bl w:val="nil"/>
            </w:tcBorders>
            <w:vAlign w:val="center"/>
          </w:tcPr>
          <w:p w14:paraId="0B9B077B">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10分</w:t>
            </w:r>
          </w:p>
        </w:tc>
      </w:tr>
      <w:tr w14:paraId="145F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666" w:type="dxa"/>
            <w:vMerge w:val="continue"/>
            <w:tcBorders>
              <w:tl2br w:val="nil"/>
              <w:tr2bl w:val="nil"/>
            </w:tcBorders>
            <w:vAlign w:val="center"/>
          </w:tcPr>
          <w:p w14:paraId="0DAD44C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p>
        </w:tc>
        <w:tc>
          <w:tcPr>
            <w:tcW w:w="1091" w:type="dxa"/>
            <w:vMerge w:val="continue"/>
            <w:tcBorders>
              <w:tl2br w:val="nil"/>
              <w:tr2bl w:val="nil"/>
            </w:tcBorders>
            <w:vAlign w:val="center"/>
          </w:tcPr>
          <w:p w14:paraId="26B6D40D">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p>
        </w:tc>
        <w:tc>
          <w:tcPr>
            <w:tcW w:w="7495" w:type="dxa"/>
            <w:tcBorders>
              <w:tl2br w:val="nil"/>
              <w:tr2bl w:val="nil"/>
            </w:tcBorders>
            <w:vAlign w:val="center"/>
          </w:tcPr>
          <w:p w14:paraId="6FCFC65E">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smallCaps w:val="0"/>
                <w:sz w:val="20"/>
                <w:szCs w:val="20"/>
                <w:highlight w:val="none"/>
                <w:lang w:val="en-US" w:eastAsia="zh-CN"/>
              </w:rPr>
              <w:t>认证机构应有充足的人员储备，具有CCAA注册的主任审核员至少1名并提供相关证明材料（盖公章），保证每个认证项目能够为委托方提供合格的项目审核及评审人员。</w:t>
            </w:r>
          </w:p>
          <w:p w14:paraId="63DB1B94">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投标人提供加盖公章的相关证明文件。</w:t>
            </w:r>
          </w:p>
        </w:tc>
        <w:tc>
          <w:tcPr>
            <w:tcW w:w="896" w:type="dxa"/>
            <w:tcBorders>
              <w:tl2br w:val="nil"/>
              <w:tr2bl w:val="nil"/>
            </w:tcBorders>
            <w:vAlign w:val="center"/>
          </w:tcPr>
          <w:p w14:paraId="386156F1">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5分</w:t>
            </w:r>
          </w:p>
        </w:tc>
      </w:tr>
      <w:tr w14:paraId="2D78D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666" w:type="dxa"/>
            <w:vMerge w:val="continue"/>
            <w:tcBorders>
              <w:tl2br w:val="nil"/>
              <w:tr2bl w:val="nil"/>
            </w:tcBorders>
            <w:vAlign w:val="center"/>
          </w:tcPr>
          <w:p w14:paraId="6B1E2D4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p>
        </w:tc>
        <w:tc>
          <w:tcPr>
            <w:tcW w:w="1091" w:type="dxa"/>
            <w:vMerge w:val="continue"/>
            <w:tcBorders>
              <w:tl2br w:val="nil"/>
              <w:tr2bl w:val="nil"/>
            </w:tcBorders>
            <w:vAlign w:val="center"/>
          </w:tcPr>
          <w:p w14:paraId="0A3F5BC3">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lang w:val="en-US" w:eastAsia="zh-CN"/>
              </w:rPr>
            </w:pPr>
          </w:p>
        </w:tc>
        <w:tc>
          <w:tcPr>
            <w:tcW w:w="7495" w:type="dxa"/>
            <w:tcBorders>
              <w:tl2br w:val="nil"/>
              <w:tr2bl w:val="nil"/>
            </w:tcBorders>
            <w:vAlign w:val="center"/>
          </w:tcPr>
          <w:p w14:paraId="211D9060">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smallCaps w:val="0"/>
                <w:sz w:val="20"/>
                <w:szCs w:val="20"/>
                <w:highlight w:val="none"/>
                <w:lang w:val="en-US" w:eastAsia="zh-CN"/>
              </w:rPr>
              <w:t>投标人签发的体系认证证书含有“IQNet”（国际认证联盟）标志的，得5分，如无不得分。</w:t>
            </w:r>
          </w:p>
          <w:p w14:paraId="64444490">
            <w:pPr>
              <w:keepNext w:val="0"/>
              <w:keepLines w:val="0"/>
              <w:pageBreakBefore w:val="0"/>
              <w:kinsoku/>
              <w:wordWrap/>
              <w:overflowPunct/>
              <w:topLinePunct w:val="0"/>
              <w:autoSpaceDE/>
              <w:autoSpaceDN/>
              <w:bidi w:val="0"/>
              <w:adjustRightInd/>
              <w:snapToGrid w:val="0"/>
              <w:spacing w:line="240" w:lineRule="exact"/>
              <w:ind w:firstLine="402" w:firstLineChars="200"/>
              <w:jc w:val="left"/>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 w:val="0"/>
                <w:bCs/>
                <w:smallCaps w:val="0"/>
                <w:sz w:val="20"/>
                <w:szCs w:val="20"/>
                <w:highlight w:val="none"/>
                <w:lang w:val="en-US" w:eastAsia="zh-CN"/>
              </w:rPr>
              <w:t>投标人提供加盖公章的体系认证证书模板。</w:t>
            </w:r>
          </w:p>
        </w:tc>
        <w:tc>
          <w:tcPr>
            <w:tcW w:w="896" w:type="dxa"/>
            <w:tcBorders>
              <w:tl2br w:val="nil"/>
              <w:tr2bl w:val="nil"/>
            </w:tcBorders>
            <w:vAlign w:val="center"/>
          </w:tcPr>
          <w:p w14:paraId="5FCCC3A7">
            <w:pPr>
              <w:keepNext w:val="0"/>
              <w:keepLines w:val="0"/>
              <w:pageBreakBefore w:val="0"/>
              <w:kinsoku/>
              <w:wordWrap/>
              <w:overflowPunct/>
              <w:topLinePunct w:val="0"/>
              <w:autoSpaceDE/>
              <w:autoSpaceDN/>
              <w:bidi w:val="0"/>
              <w:snapToGrid w:val="0"/>
              <w:spacing w:line="240" w:lineRule="auto"/>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5分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06" w:hRule="atLeast"/>
          <w:jc w:val="center"/>
        </w:trPr>
        <w:tc>
          <w:tcPr>
            <w:tcW w:w="666"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1091"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theme="minorEastAsia"/>
                <w:b/>
                <w:bCs w:val="0"/>
                <w:smallCaps w:val="0"/>
                <w:sz w:val="20"/>
                <w:szCs w:val="20"/>
                <w:highlight w:val="none"/>
              </w:rPr>
            </w:pPr>
            <w:r>
              <w:rPr>
                <w:rFonts w:hint="eastAsia" w:ascii="Times New Roman" w:hAnsi="Times New Roman" w:eastAsia="宋体" w:cstheme="minorEastAsia"/>
                <w:b/>
                <w:bCs w:val="0"/>
                <w:smallCaps w:val="0"/>
                <w:sz w:val="20"/>
                <w:szCs w:val="20"/>
                <w:highlight w:val="none"/>
                <w:lang w:val="en-US" w:eastAsia="zh-CN"/>
              </w:rPr>
              <w:t>投标人荣誉情况</w:t>
            </w:r>
          </w:p>
        </w:tc>
        <w:tc>
          <w:tcPr>
            <w:tcW w:w="7495" w:type="dxa"/>
            <w:tcBorders>
              <w:tl2br w:val="nil"/>
              <w:tr2bl w:val="nil"/>
            </w:tcBorders>
            <w:vAlign w:val="center"/>
          </w:tcPr>
          <w:p w14:paraId="6F266BF8">
            <w:pPr>
              <w:keepNext w:val="0"/>
              <w:keepLines w:val="0"/>
              <w:pageBreakBefore w:val="0"/>
              <w:widowControl/>
              <w:shd w:val="clear" w:color="auto" w:fill="FFFFFF"/>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smallCaps w:val="0"/>
                <w:sz w:val="20"/>
                <w:szCs w:val="20"/>
                <w:highlight w:val="none"/>
                <w:lang w:val="en-US" w:eastAsia="zh-CN"/>
              </w:rPr>
              <w:t>评审标准：</w:t>
            </w:r>
            <w:r>
              <w:rPr>
                <w:rFonts w:hint="eastAsia" w:ascii="Times New Roman" w:hAnsi="Times New Roman" w:eastAsia="宋体" w:cstheme="minorEastAsia"/>
                <w:b w:val="0"/>
                <w:bCs w:val="0"/>
                <w:smallCaps w:val="0"/>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提供三年（2022年1月至投标截止时间）</w:t>
            </w:r>
            <w:r>
              <w:rPr>
                <w:rFonts w:hint="eastAsia" w:ascii="Times New Roman" w:hAnsi="Times New Roman" w:eastAsia="宋体" w:cstheme="minorEastAsia"/>
                <w:smallCaps w:val="0"/>
                <w:sz w:val="20"/>
                <w:szCs w:val="20"/>
                <w:highlight w:val="none"/>
                <w:lang w:val="en-US" w:eastAsia="zh-CN"/>
              </w:rPr>
              <w:t>获监管部门或认证行业协会授予称号或奖项，获省级及以上的，得3分；获市级的，得2分；获区级的，得1分；不同奖项可累计，同一奖项不同年度多次得奖不累计得分，最高不超过12分。</w:t>
            </w:r>
          </w:p>
          <w:p w14:paraId="24605D9B">
            <w:pPr>
              <w:keepNext w:val="0"/>
              <w:keepLines w:val="0"/>
              <w:pageBreakBefore w:val="0"/>
              <w:kinsoku/>
              <w:wordWrap/>
              <w:overflowPunct/>
              <w:topLinePunct w:val="0"/>
              <w:autoSpaceDE/>
              <w:autoSpaceDN/>
              <w:bidi w:val="0"/>
              <w:adjustRightInd/>
              <w:spacing w:line="240" w:lineRule="exact"/>
              <w:ind w:firstLine="402" w:firstLineChars="200"/>
              <w:textAlignment w:val="auto"/>
              <w:rPr>
                <w:rFonts w:hint="eastAsia" w:ascii="Times New Roman" w:hAnsi="Times New Roman" w:eastAsia="宋体" w:cstheme="minorEastAsia"/>
                <w:smallCaps w:val="0"/>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投标人需</w:t>
            </w:r>
            <w:r>
              <w:rPr>
                <w:rFonts w:hint="eastAsia" w:ascii="Times New Roman" w:hAnsi="Times New Roman" w:eastAsia="宋体" w:cstheme="minorEastAsia"/>
                <w:bCs/>
                <w:smallCaps w:val="0"/>
                <w:color w:val="auto"/>
                <w:sz w:val="20"/>
                <w:szCs w:val="20"/>
                <w:highlight w:val="none"/>
                <w:lang w:val="en-US" w:eastAsia="zh-CN"/>
              </w:rPr>
              <w:t>提供</w:t>
            </w:r>
            <w:r>
              <w:rPr>
                <w:rFonts w:hint="eastAsia" w:ascii="Times New Roman" w:hAnsi="Times New Roman" w:eastAsia="宋体" w:cstheme="minorEastAsia"/>
                <w:b w:val="0"/>
                <w:bCs/>
                <w:smallCaps w:val="0"/>
                <w:color w:val="auto"/>
                <w:sz w:val="20"/>
                <w:szCs w:val="20"/>
                <w:highlight w:val="none"/>
                <w:lang w:val="en-US" w:eastAsia="zh-CN"/>
              </w:rPr>
              <w:t>加盖公章的有效权威网站证明信息或荣誉证书复印件。</w:t>
            </w:r>
          </w:p>
        </w:tc>
        <w:tc>
          <w:tcPr>
            <w:tcW w:w="896"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12</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51" w:hRule="atLeast"/>
          <w:jc w:val="center"/>
        </w:trPr>
        <w:tc>
          <w:tcPr>
            <w:tcW w:w="666"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1091"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auto"/>
              <w:jc w:val="center"/>
              <w:textAlignment w:val="auto"/>
              <w:rPr>
                <w:rStyle w:val="21"/>
                <w:rFonts w:hint="eastAsia" w:ascii="Times New Roman" w:hAnsi="Times New Roman" w:eastAsia="宋体" w:cstheme="minorEastAsia"/>
                <w:b/>
                <w:bCs w:val="0"/>
                <w:smallCaps w:val="0"/>
                <w:sz w:val="20"/>
                <w:szCs w:val="20"/>
                <w:highlight w:val="none"/>
                <w:lang w:val="en-US" w:eastAsia="zh-CN"/>
              </w:rPr>
            </w:pPr>
            <w:r>
              <w:rPr>
                <w:rStyle w:val="21"/>
                <w:rFonts w:hint="eastAsia" w:ascii="Times New Roman" w:hAnsi="Times New Roman" w:eastAsia="宋体" w:cstheme="minorEastAsia"/>
                <w:b/>
                <w:bCs w:val="0"/>
                <w:smallCaps w:val="0"/>
                <w:sz w:val="20"/>
                <w:szCs w:val="20"/>
                <w:highlight w:val="none"/>
                <w:lang w:val="en-US" w:eastAsia="zh-CN"/>
              </w:rPr>
              <w:t>业绩证明</w:t>
            </w:r>
          </w:p>
        </w:tc>
        <w:tc>
          <w:tcPr>
            <w:tcW w:w="7495" w:type="dxa"/>
            <w:tcBorders>
              <w:tl2br w:val="nil"/>
              <w:tr2bl w:val="nil"/>
            </w:tcBorders>
            <w:vAlign w:val="center"/>
          </w:tcPr>
          <w:p w14:paraId="785003BD">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 w:val="0"/>
                <w:bCs/>
                <w:smallCaps w:val="0"/>
                <w:color w:val="auto"/>
                <w:sz w:val="20"/>
                <w:szCs w:val="20"/>
                <w:highlight w:val="none"/>
                <w:lang w:val="en-US" w:eastAsia="zh-CN"/>
              </w:rPr>
              <w:t>投标人</w:t>
            </w:r>
            <w:r>
              <w:rPr>
                <w:rFonts w:hint="eastAsia" w:ascii="Times New Roman" w:hAnsi="Times New Roman" w:eastAsia="宋体" w:cstheme="minorEastAsia"/>
                <w:bCs/>
                <w:smallCaps w:val="0"/>
                <w:color w:val="auto"/>
                <w:sz w:val="20"/>
                <w:szCs w:val="20"/>
                <w:highlight w:val="none"/>
                <w:lang w:val="en-US" w:eastAsia="zh-CN"/>
              </w:rPr>
              <w:t>提供在深圳近三年（2022年1月至投标截止时间）</w:t>
            </w:r>
            <w:r>
              <w:rPr>
                <w:rFonts w:hint="eastAsia" w:ascii="Times New Roman" w:hAnsi="Times New Roman" w:eastAsia="宋体" w:cs="宋体"/>
                <w:i w:val="0"/>
                <w:iCs w:val="0"/>
                <w:color w:val="000000"/>
                <w:kern w:val="0"/>
                <w:sz w:val="20"/>
                <w:szCs w:val="20"/>
                <w:highlight w:val="none"/>
                <w:u w:val="none"/>
                <w:lang w:val="en-US" w:eastAsia="zh-CN" w:bidi="ar"/>
              </w:rPr>
              <w:t>为深圳市国有企业提供QES认证项目服务，最多提供三个，每提供一个有效合同业绩加6分，如认证对象为与招标人同一行业的每提供一个有效合同业绩加10分，本项得分最高不超过28分。</w:t>
            </w:r>
          </w:p>
          <w:p w14:paraId="67AC802C">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
                <w:bCs w:val="0"/>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p>
          <w:p w14:paraId="097025CB">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宋体" w:cstheme="minorEastAsia"/>
                <w:b w:val="0"/>
                <w:bCs/>
                <w:smallCaps w:val="0"/>
                <w:color w:val="auto"/>
                <w:sz w:val="20"/>
                <w:szCs w:val="20"/>
                <w:highlight w:val="none"/>
                <w:lang w:val="en-US" w:eastAsia="zh-CN"/>
              </w:rPr>
            </w:pPr>
            <w:r>
              <w:rPr>
                <w:rFonts w:hint="eastAsia" w:ascii="Times New Roman" w:hAnsi="Times New Roman" w:eastAsia="宋体" w:cstheme="minorEastAsia"/>
                <w:b w:val="0"/>
                <w:bCs/>
                <w:smallCaps w:val="0"/>
                <w:color w:val="auto"/>
                <w:sz w:val="20"/>
                <w:szCs w:val="20"/>
                <w:highlight w:val="none"/>
                <w:lang w:val="en-US" w:eastAsia="zh-CN"/>
              </w:rPr>
              <w:t>1.同一个项目不同年度签订的合同为一个业绩。</w:t>
            </w:r>
          </w:p>
          <w:p w14:paraId="191885DA">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 w:val="0"/>
                <w:bCs/>
                <w:smallCaps w:val="0"/>
                <w:color w:val="auto"/>
                <w:sz w:val="20"/>
                <w:szCs w:val="20"/>
                <w:highlight w:val="none"/>
                <w:lang w:val="en-US" w:eastAsia="zh-CN"/>
              </w:rPr>
            </w:pPr>
            <w:r>
              <w:rPr>
                <w:rFonts w:hint="eastAsia" w:ascii="Times New Roman" w:hAnsi="Times New Roman" w:eastAsia="宋体" w:cstheme="minorEastAsia"/>
                <w:b w:val="0"/>
                <w:bCs/>
                <w:smallCaps w:val="0"/>
                <w:color w:val="auto"/>
                <w:sz w:val="20"/>
                <w:szCs w:val="20"/>
                <w:highlight w:val="none"/>
                <w:lang w:val="en-US" w:eastAsia="zh-CN"/>
              </w:rPr>
              <w:t>2.根据投标人提供业绩合同关键页扫描件进行评分（</w:t>
            </w:r>
            <w:r>
              <w:rPr>
                <w:rFonts w:hint="eastAsia" w:ascii="宋体" w:hAnsi="宋体" w:eastAsia="宋体" w:cs="宋体"/>
                <w:i w:val="0"/>
                <w:iCs w:val="0"/>
                <w:color w:val="000000"/>
                <w:kern w:val="0"/>
                <w:sz w:val="21"/>
                <w:szCs w:val="21"/>
                <w:highlight w:val="none"/>
                <w:u w:val="none"/>
                <w:lang w:val="en-US" w:eastAsia="zh-CN" w:bidi="ar"/>
              </w:rPr>
              <w:t>项目名称、服务范围及认证内容、签订日期、双方盖章页</w:t>
            </w:r>
            <w:r>
              <w:rPr>
                <w:rFonts w:hint="eastAsia" w:ascii="Times New Roman" w:hAnsi="Times New Roman" w:eastAsia="宋体" w:cstheme="minorEastAsia"/>
                <w:b w:val="0"/>
                <w:bCs/>
                <w:smallCaps w:val="0"/>
                <w:color w:val="auto"/>
                <w:sz w:val="20"/>
                <w:szCs w:val="20"/>
                <w:highlight w:val="none"/>
                <w:lang w:val="en-US" w:eastAsia="zh-CN"/>
              </w:rPr>
              <w:t>），所有文件均需清晰扫描并加盖公章。</w:t>
            </w:r>
          </w:p>
        </w:tc>
        <w:tc>
          <w:tcPr>
            <w:tcW w:w="896"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28分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4" w:hRule="atLeast"/>
          <w:jc w:val="center"/>
        </w:trPr>
        <w:tc>
          <w:tcPr>
            <w:tcW w:w="666"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4</w:t>
            </w:r>
          </w:p>
        </w:tc>
        <w:tc>
          <w:tcPr>
            <w:tcW w:w="1091"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auto"/>
              <w:jc w:val="center"/>
              <w:textAlignment w:val="auto"/>
              <w:rPr>
                <w:rStyle w:val="21"/>
                <w:rFonts w:hint="eastAsia" w:ascii="Times New Roman" w:hAnsi="Times New Roman" w:eastAsia="宋体" w:cstheme="minorEastAsia"/>
                <w:b/>
                <w:bCs w:val="0"/>
                <w:smallCaps w:val="0"/>
                <w:color w:val="0000FF"/>
                <w:sz w:val="20"/>
                <w:szCs w:val="20"/>
                <w:highlight w:val="none"/>
                <w:lang w:val="en-US" w:eastAsia="zh-CN"/>
              </w:rPr>
            </w:pPr>
            <w:r>
              <w:rPr>
                <w:rStyle w:val="21"/>
                <w:rFonts w:hint="eastAsia" w:ascii="Times New Roman" w:hAnsi="Times New Roman" w:eastAsia="宋体" w:cstheme="minorEastAsia"/>
                <w:b/>
                <w:bCs w:val="0"/>
                <w:smallCaps w:val="0"/>
                <w:sz w:val="20"/>
                <w:szCs w:val="20"/>
                <w:highlight w:val="none"/>
                <w:lang w:val="en-US" w:eastAsia="zh-CN"/>
              </w:rPr>
              <w:t>项目实施服务方案</w:t>
            </w:r>
          </w:p>
        </w:tc>
        <w:tc>
          <w:tcPr>
            <w:tcW w:w="7495" w:type="dxa"/>
            <w:tcBorders>
              <w:tl2br w:val="nil"/>
              <w:tr2bl w:val="nil"/>
            </w:tcBorders>
            <w:vAlign w:val="center"/>
          </w:tcPr>
          <w:p w14:paraId="1B24DBE3">
            <w:pPr>
              <w:keepNext w:val="0"/>
              <w:keepLines w:val="0"/>
              <w:pageBreakBefore w:val="0"/>
              <w:widowControl/>
              <w:kinsoku/>
              <w:wordWrap/>
              <w:overflowPunct/>
              <w:topLinePunct w:val="0"/>
              <w:autoSpaceDE/>
              <w:autoSpaceDN/>
              <w:bidi w:val="0"/>
              <w:adjustRightInd/>
              <w:spacing w:line="240" w:lineRule="exact"/>
              <w:ind w:firstLine="402" w:firstLineChars="200"/>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评审标准：</w:t>
            </w:r>
            <w:r>
              <w:rPr>
                <w:rFonts w:hint="eastAsia" w:ascii="Times New Roman" w:hAnsi="Times New Roman" w:eastAsia="宋体" w:cstheme="minorEastAsia"/>
                <w:bCs/>
                <w:smallCaps w:val="0"/>
                <w:color w:val="auto"/>
                <w:sz w:val="20"/>
                <w:szCs w:val="20"/>
                <w:highlight w:val="none"/>
                <w:lang w:val="en-US" w:eastAsia="zh-CN"/>
              </w:rPr>
              <w:t>根据投标人提供的项目实施服务方案实施评分：</w:t>
            </w:r>
          </w:p>
          <w:p w14:paraId="48B9B469">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宋体" w:hAnsi="宋体" w:eastAsia="宋体" w:cs="Times New Roman"/>
                <w:b w:val="0"/>
                <w:bCs/>
                <w:kern w:val="2"/>
                <w:sz w:val="21"/>
                <w:szCs w:val="21"/>
                <w:highlight w:val="none"/>
                <w:lang w:val="en-US" w:eastAsia="zh-CN" w:bidi="ar-SA"/>
              </w:rPr>
            </w:pPr>
            <w:r>
              <w:rPr>
                <w:rFonts w:hint="eastAsia" w:ascii="Times New Roman" w:hAnsi="Times New Roman" w:eastAsia="宋体" w:cstheme="minorEastAsia"/>
                <w:bCs/>
                <w:smallCaps w:val="0"/>
                <w:color w:val="auto"/>
                <w:sz w:val="20"/>
                <w:szCs w:val="20"/>
                <w:highlight w:val="none"/>
                <w:lang w:val="en-US" w:eastAsia="zh-CN"/>
              </w:rPr>
              <w:t>投标人提供服务方案对服务流程、服务团队、售后服务等是否具备完善性，科学性及对招标人经营管理实际情况的符合程度，实施综合评分。</w:t>
            </w:r>
          </w:p>
          <w:p w14:paraId="334F5063">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服务方案优秀的，得30分；服务方案良好的，得15分，服务方案差的，得5分；无服务方案的，不得分。</w:t>
            </w:r>
          </w:p>
          <w:p w14:paraId="1E3361B9">
            <w:pPr>
              <w:keepNext w:val="0"/>
              <w:keepLines w:val="0"/>
              <w:pageBreakBefore w:val="0"/>
              <w:widowControl/>
              <w:kinsoku/>
              <w:wordWrap/>
              <w:overflowPunct/>
              <w:topLinePunct w:val="0"/>
              <w:autoSpaceDE/>
              <w:autoSpaceDN/>
              <w:bidi w:val="0"/>
              <w:adjustRightInd/>
              <w:spacing w:line="240" w:lineRule="exact"/>
              <w:ind w:firstLine="402" w:firstLineChars="200"/>
              <w:jc w:val="left"/>
              <w:textAlignment w:val="auto"/>
              <w:rPr>
                <w:rFonts w:hint="default" w:ascii="Times New Roman" w:hAnsi="Times New Roman" w:eastAsia="宋体" w:cstheme="minorEastAsia"/>
                <w:bCs/>
                <w:smallCaps w:val="0"/>
                <w:color w:val="0000FF"/>
                <w:sz w:val="20"/>
                <w:szCs w:val="20"/>
                <w:highlight w:val="none"/>
                <w:lang w:val="en-US" w:eastAsia="zh-CN"/>
              </w:rPr>
            </w:pPr>
            <w:r>
              <w:rPr>
                <w:rFonts w:hint="eastAsia" w:ascii="Times New Roman" w:hAnsi="Times New Roman" w:eastAsia="宋体" w:cstheme="minorEastAsia"/>
                <w:b/>
                <w:bCs w:val="0"/>
                <w:smallCaps w:val="0"/>
                <w:color w:val="auto"/>
                <w:sz w:val="20"/>
                <w:szCs w:val="20"/>
                <w:highlight w:val="none"/>
                <w:lang w:val="en-US" w:eastAsia="zh-CN"/>
              </w:rPr>
              <w:t>备注：</w:t>
            </w:r>
            <w:r>
              <w:rPr>
                <w:rFonts w:hint="eastAsia" w:ascii="Times New Roman" w:hAnsi="Times New Roman" w:eastAsia="宋体" w:cstheme="minorEastAsia"/>
                <w:b w:val="0"/>
                <w:bCs/>
                <w:smallCaps w:val="0"/>
                <w:color w:val="auto"/>
                <w:sz w:val="20"/>
                <w:szCs w:val="20"/>
                <w:highlight w:val="none"/>
                <w:lang w:val="en-US" w:eastAsia="zh-CN"/>
              </w:rPr>
              <w:t>投标人需提供拟投入本项目的服务方案，其中</w:t>
            </w:r>
            <w:r>
              <w:rPr>
                <w:rFonts w:hint="eastAsia" w:ascii="Times New Roman" w:hAnsi="Times New Roman" w:eastAsia="宋体" w:cstheme="minorEastAsia"/>
                <w:bCs/>
                <w:smallCaps w:val="0"/>
                <w:color w:val="auto"/>
                <w:sz w:val="20"/>
                <w:szCs w:val="20"/>
                <w:highlight w:val="none"/>
                <w:lang w:val="en-US" w:eastAsia="zh-CN"/>
              </w:rPr>
              <w:t>服务团队</w:t>
            </w:r>
            <w:r>
              <w:rPr>
                <w:rFonts w:hint="eastAsia" w:ascii="Times New Roman" w:hAnsi="Times New Roman" w:eastAsia="宋体" w:cstheme="minorEastAsia"/>
                <w:b w:val="0"/>
                <w:bCs/>
                <w:smallCaps w:val="0"/>
                <w:color w:val="auto"/>
                <w:sz w:val="20"/>
                <w:szCs w:val="20"/>
                <w:highlight w:val="none"/>
                <w:lang w:val="en-US" w:eastAsia="zh-CN"/>
              </w:rPr>
              <w:t>“格式参见本招标文件 第四章 投标文件格式 格式3-2 拟委派的审核人员汇总表”。</w:t>
            </w:r>
          </w:p>
        </w:tc>
        <w:tc>
          <w:tcPr>
            <w:tcW w:w="896"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30分</w:t>
            </w:r>
          </w:p>
        </w:tc>
      </w:tr>
      <w:tr w14:paraId="1640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666" w:type="dxa"/>
            <w:tcBorders>
              <w:tl2br w:val="nil"/>
              <w:tr2bl w:val="nil"/>
            </w:tcBorders>
            <w:vAlign w:val="center"/>
          </w:tcPr>
          <w:p w14:paraId="4E3503E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color w:val="auto"/>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5</w:t>
            </w:r>
          </w:p>
        </w:tc>
        <w:tc>
          <w:tcPr>
            <w:tcW w:w="1091" w:type="dxa"/>
            <w:tcBorders>
              <w:tl2br w:val="nil"/>
              <w:tr2bl w:val="nil"/>
            </w:tcBorders>
            <w:vAlign w:val="center"/>
          </w:tcPr>
          <w:p w14:paraId="4E519AA2">
            <w:pPr>
              <w:keepNext w:val="0"/>
              <w:keepLines w:val="0"/>
              <w:pageBreakBefore w:val="0"/>
              <w:kinsoku/>
              <w:wordWrap/>
              <w:overflowPunct/>
              <w:topLinePunct w:val="0"/>
              <w:autoSpaceDE/>
              <w:autoSpaceDN/>
              <w:bidi w:val="0"/>
              <w:snapToGrid w:val="0"/>
              <w:spacing w:line="240" w:lineRule="auto"/>
              <w:jc w:val="center"/>
              <w:textAlignment w:val="auto"/>
              <w:rPr>
                <w:rStyle w:val="21"/>
                <w:rFonts w:hint="eastAsia" w:ascii="Times New Roman" w:hAnsi="Times New Roman" w:eastAsia="宋体" w:cstheme="minorEastAsia"/>
                <w:b/>
                <w:bCs w:val="0"/>
                <w:smallCaps w:val="0"/>
                <w:color w:val="auto"/>
                <w:sz w:val="20"/>
                <w:szCs w:val="20"/>
                <w:highlight w:val="none"/>
                <w:lang w:val="en-US" w:eastAsia="zh-CN"/>
              </w:rPr>
            </w:pPr>
            <w:r>
              <w:rPr>
                <w:rStyle w:val="21"/>
                <w:rFonts w:hint="eastAsia" w:ascii="Times New Roman" w:hAnsi="Times New Roman" w:eastAsia="宋体" w:cstheme="minorEastAsia"/>
                <w:b/>
                <w:bCs w:val="0"/>
                <w:smallCaps w:val="0"/>
                <w:color w:val="auto"/>
                <w:sz w:val="20"/>
                <w:szCs w:val="20"/>
                <w:highlight w:val="none"/>
                <w:lang w:val="en-US" w:eastAsia="zh-CN"/>
              </w:rPr>
              <w:t>响应偏离情况</w:t>
            </w:r>
          </w:p>
        </w:tc>
        <w:tc>
          <w:tcPr>
            <w:tcW w:w="7495" w:type="dxa"/>
            <w:tcBorders>
              <w:tl2br w:val="nil"/>
              <w:tr2bl w:val="nil"/>
            </w:tcBorders>
            <w:vAlign w:val="center"/>
          </w:tcPr>
          <w:p w14:paraId="0499A2E8">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评审标准：</w:t>
            </w:r>
            <w:r>
              <w:rPr>
                <w:rFonts w:hint="eastAsia" w:ascii="Times New Roman" w:hAnsi="Times New Roman" w:eastAsia="宋体" w:cstheme="minorEastAsia"/>
                <w:bCs/>
                <w:smallCaps w:val="0"/>
                <w:sz w:val="20"/>
                <w:szCs w:val="20"/>
                <w:highlight w:val="none"/>
                <w:lang w:val="en-US" w:eastAsia="zh-CN"/>
              </w:rPr>
              <w:t>根据投标人填制的《招标文件响应偏离表》实施打分，具体如下：</w:t>
            </w:r>
          </w:p>
          <w:p w14:paraId="241E0A18">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1.对招标文件所有内容无偏离，此项得5分；</w:t>
            </w:r>
          </w:p>
          <w:p w14:paraId="69395A55">
            <w:pPr>
              <w:keepNext w:val="0"/>
              <w:keepLines w:val="0"/>
              <w:pageBreakBefore w:val="0"/>
              <w:widowControl/>
              <w:kinsoku/>
              <w:wordWrap/>
              <w:overflowPunct/>
              <w:topLinePunct w:val="0"/>
              <w:autoSpaceDE/>
              <w:autoSpaceDN/>
              <w:bidi w:val="0"/>
              <w:adjustRightInd/>
              <w:snapToGrid/>
              <w:spacing w:line="240" w:lineRule="exact"/>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2.除招标人所示服务要求外，服务方案中每提出一项正偏离（额外增值服务）的加2分，总分不超过10分。</w:t>
            </w:r>
          </w:p>
          <w:p w14:paraId="08C88EC8">
            <w:pPr>
              <w:keepNext w:val="0"/>
              <w:keepLines w:val="0"/>
              <w:pageBreakBefore w:val="0"/>
              <w:widowControl/>
              <w:kinsoku/>
              <w:wordWrap/>
              <w:overflowPunct/>
              <w:topLinePunct w:val="0"/>
              <w:autoSpaceDE/>
              <w:autoSpaceDN/>
              <w:bidi w:val="0"/>
              <w:adjustRightInd/>
              <w:spacing w:line="240" w:lineRule="exact"/>
              <w:ind w:firstLine="400"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3.每出现1项负偏离扣2分，合计出现3项及以上偏离，此项不得分。</w:t>
            </w:r>
          </w:p>
          <w:p w14:paraId="3DCF8510">
            <w:pPr>
              <w:keepNext w:val="0"/>
              <w:keepLines w:val="0"/>
              <w:pageBreakBefore w:val="0"/>
              <w:widowControl/>
              <w:kinsoku/>
              <w:wordWrap/>
              <w:overflowPunct/>
              <w:topLinePunct w:val="0"/>
              <w:autoSpaceDE/>
              <w:autoSpaceDN/>
              <w:bidi w:val="0"/>
              <w:adjustRightInd/>
              <w:snapToGrid/>
              <w:spacing w:line="240" w:lineRule="exact"/>
              <w:ind w:firstLine="402" w:firstLineChars="200"/>
              <w:jc w:val="left"/>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
                <w:bCs w:val="0"/>
                <w:smallCaps w:val="0"/>
                <w:sz w:val="20"/>
                <w:szCs w:val="20"/>
                <w:highlight w:val="none"/>
                <w:lang w:val="en-US" w:eastAsia="zh-CN"/>
              </w:rPr>
              <w:t>备注：</w:t>
            </w:r>
            <w:r>
              <w:rPr>
                <w:rFonts w:hint="eastAsia" w:ascii="Times New Roman" w:hAnsi="Times New Roman" w:eastAsia="宋体" w:cstheme="minorEastAsia"/>
                <w:bCs/>
                <w:smallCaps w:val="0"/>
                <w:sz w:val="20"/>
                <w:szCs w:val="20"/>
                <w:highlight w:val="none"/>
              </w:rPr>
              <w:t>根据投标人</w:t>
            </w:r>
            <w:r>
              <w:rPr>
                <w:rFonts w:hint="eastAsia" w:ascii="Times New Roman" w:hAnsi="Times New Roman" w:eastAsia="宋体" w:cstheme="minorEastAsia"/>
                <w:bCs/>
                <w:smallCaps w:val="0"/>
                <w:sz w:val="20"/>
                <w:szCs w:val="20"/>
                <w:highlight w:val="none"/>
                <w:lang w:val="en-US" w:eastAsia="zh-CN"/>
              </w:rPr>
              <w:t>填制加盖公章</w:t>
            </w:r>
            <w:r>
              <w:rPr>
                <w:rFonts w:hint="eastAsia" w:ascii="Times New Roman" w:hAnsi="Times New Roman" w:eastAsia="宋体" w:cstheme="minorEastAsia"/>
                <w:bCs/>
                <w:smallCaps w:val="0"/>
                <w:sz w:val="20"/>
                <w:szCs w:val="20"/>
                <w:highlight w:val="none"/>
              </w:rPr>
              <w:t>的《</w:t>
            </w:r>
            <w:r>
              <w:rPr>
                <w:rFonts w:hint="eastAsia" w:ascii="Times New Roman" w:hAnsi="Times New Roman" w:eastAsia="宋体" w:cstheme="minorEastAsia"/>
                <w:bCs/>
                <w:smallCaps w:val="0"/>
                <w:sz w:val="20"/>
                <w:szCs w:val="20"/>
                <w:highlight w:val="none"/>
                <w:lang w:val="en-US" w:eastAsia="zh-CN"/>
              </w:rPr>
              <w:t>招标文件</w:t>
            </w:r>
            <w:r>
              <w:rPr>
                <w:rFonts w:hint="eastAsia" w:ascii="Times New Roman" w:hAnsi="Times New Roman" w:eastAsia="宋体" w:cstheme="minorEastAsia"/>
                <w:bCs/>
                <w:smallCaps w:val="0"/>
                <w:sz w:val="20"/>
                <w:szCs w:val="20"/>
                <w:highlight w:val="none"/>
              </w:rPr>
              <w:t>响应偏离表》实施打分</w:t>
            </w:r>
            <w:r>
              <w:rPr>
                <w:rFonts w:hint="eastAsia" w:ascii="Times New Roman" w:hAnsi="Times New Roman" w:eastAsia="宋体" w:cstheme="minorEastAsia"/>
                <w:bCs/>
                <w:smallCaps w:val="0"/>
                <w:sz w:val="20"/>
                <w:szCs w:val="20"/>
                <w:highlight w:val="none"/>
                <w:lang w:eastAsia="zh-CN"/>
              </w:rPr>
              <w:t>。“</w:t>
            </w:r>
            <w:r>
              <w:rPr>
                <w:rFonts w:hint="eastAsia" w:ascii="Times New Roman" w:hAnsi="Times New Roman" w:eastAsia="宋体" w:cstheme="minorEastAsia"/>
                <w:b w:val="0"/>
                <w:bCs/>
                <w:smallCaps w:val="0"/>
                <w:color w:val="auto"/>
                <w:sz w:val="20"/>
                <w:szCs w:val="20"/>
                <w:highlight w:val="none"/>
                <w:lang w:val="en-US" w:eastAsia="zh-CN"/>
              </w:rPr>
              <w:t>格式参见本招标文件“第四章 投标文件格式 格式4 招标文件响应情况偏离表</w:t>
            </w:r>
            <w:r>
              <w:rPr>
                <w:rFonts w:hint="eastAsia" w:ascii="Times New Roman" w:hAnsi="Times New Roman" w:eastAsia="宋体" w:cstheme="minorEastAsia"/>
                <w:bCs/>
                <w:smallCaps w:val="0"/>
                <w:sz w:val="20"/>
                <w:szCs w:val="20"/>
                <w:highlight w:val="none"/>
                <w:lang w:eastAsia="zh-CN"/>
              </w:rPr>
              <w:t>”</w:t>
            </w:r>
          </w:p>
        </w:tc>
        <w:tc>
          <w:tcPr>
            <w:tcW w:w="896" w:type="dxa"/>
            <w:tcBorders>
              <w:tl2br w:val="nil"/>
              <w:tr2bl w:val="nil"/>
            </w:tcBorders>
            <w:vAlign w:val="center"/>
          </w:tcPr>
          <w:p w14:paraId="6F853456">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10分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252"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96"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7F81F2D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说明：</w:t>
      </w:r>
    </w:p>
    <w:p w14:paraId="3834CC8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1.本表评审依据要求的各项证明文件须</w:t>
      </w:r>
      <w:r>
        <w:rPr>
          <w:rFonts w:hint="eastAsia" w:ascii="仿宋_GB2312" w:hAnsi="仿宋_GB2312" w:eastAsia="仿宋_GB2312" w:cs="仿宋_GB2312"/>
          <w:smallCaps w:val="0"/>
          <w:sz w:val="21"/>
          <w:szCs w:val="21"/>
          <w:highlight w:val="none"/>
          <w:lang w:val="en-US" w:eastAsia="zh-CN"/>
        </w:rPr>
        <w:t>按序</w:t>
      </w:r>
      <w:r>
        <w:rPr>
          <w:rFonts w:hint="eastAsia" w:ascii="仿宋_GB2312" w:hAnsi="仿宋_GB2312" w:eastAsia="仿宋_GB2312" w:cs="仿宋_GB2312"/>
          <w:smallCaps w:val="0"/>
          <w:sz w:val="21"/>
          <w:szCs w:val="21"/>
          <w:highlight w:val="none"/>
        </w:rPr>
        <w:t>编入</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，复印件加盖投标人公章。</w:t>
      </w:r>
    </w:p>
    <w:p w14:paraId="709E35B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中须明确加以说明并提供，未按要求提供相关文件或说明不清楚或</w:t>
      </w:r>
      <w:r>
        <w:rPr>
          <w:rFonts w:hint="eastAsia" w:ascii="仿宋_GB2312" w:hAnsi="仿宋_GB2312" w:eastAsia="仿宋_GB2312" w:cs="仿宋_GB2312"/>
          <w:smallCaps w:val="0"/>
          <w:sz w:val="21"/>
          <w:szCs w:val="21"/>
          <w:highlight w:val="none"/>
          <w:lang w:val="en-US" w:eastAsia="zh-CN"/>
        </w:rPr>
        <w:t>评标</w:t>
      </w:r>
      <w:r>
        <w:rPr>
          <w:rFonts w:hint="eastAsia" w:ascii="仿宋_GB2312" w:hAnsi="仿宋_GB2312" w:eastAsia="仿宋_GB2312" w:cs="仿宋_GB2312"/>
          <w:smallCaps w:val="0"/>
          <w:sz w:val="21"/>
          <w:szCs w:val="21"/>
          <w:highlight w:val="none"/>
        </w:rPr>
        <w:t>专家组无法凭所提供的材料判断是否得分的情况，一律作不得分处理。</w:t>
      </w:r>
    </w:p>
    <w:p w14:paraId="0D571F5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4.以上评分项目投标人若虚假提供，若经核查，虚假情况属实，投标人3年内不得参与招标人的其他采购项目，本次投标作废标处理。</w:t>
      </w: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 xml:space="preserve"> 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6"/>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2558"/>
        <w:gridCol w:w="912"/>
        <w:gridCol w:w="3842"/>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2558"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912"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3842"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项目总报价</w:t>
            </w:r>
          </w:p>
        </w:tc>
        <w:tc>
          <w:tcPr>
            <w:tcW w:w="2558"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在商务技术满足基准要求的前提下，项目总报价最低的投标人得满分，第二名得分</w:t>
            </w:r>
            <w:r>
              <w:rPr>
                <w:rFonts w:hint="eastAsia" w:ascii="Times New Roman" w:hAnsi="Times New Roman" w:eastAsia="宋体" w:cs="Times New Roman"/>
                <w:bCs/>
                <w:smallCaps w:val="0"/>
                <w:sz w:val="21"/>
                <w:szCs w:val="21"/>
                <w:highlight w:val="none"/>
                <w:lang w:val="en-US" w:eastAsia="zh-CN"/>
              </w:rPr>
              <w:t>90</w:t>
            </w:r>
            <w:r>
              <w:rPr>
                <w:rFonts w:hint="eastAsia" w:ascii="Times New Roman" w:hAnsi="Times New Roman" w:eastAsia="宋体" w:cs="Times New Roman"/>
                <w:bCs/>
                <w:smallCaps w:val="0"/>
                <w:sz w:val="21"/>
                <w:szCs w:val="21"/>
                <w:highlight w:val="none"/>
              </w:rPr>
              <w:t>分，第三名得分</w:t>
            </w:r>
            <w:r>
              <w:rPr>
                <w:rFonts w:hint="eastAsia" w:ascii="Times New Roman" w:hAnsi="Times New Roman" w:eastAsia="宋体" w:cs="Times New Roman"/>
                <w:bCs/>
                <w:smallCaps w:val="0"/>
                <w:sz w:val="21"/>
                <w:szCs w:val="21"/>
                <w:highlight w:val="none"/>
                <w:lang w:val="en-US" w:eastAsia="zh-CN"/>
              </w:rPr>
              <w:t>80</w:t>
            </w:r>
            <w:r>
              <w:rPr>
                <w:rFonts w:hint="eastAsia" w:ascii="Times New Roman" w:hAnsi="Times New Roman" w:eastAsia="宋体" w:cs="Times New Roman"/>
                <w:bCs/>
                <w:smallCaps w:val="0"/>
                <w:sz w:val="21"/>
                <w:szCs w:val="21"/>
                <w:highlight w:val="none"/>
              </w:rPr>
              <w:t>分，以此类推。</w:t>
            </w:r>
          </w:p>
        </w:tc>
        <w:tc>
          <w:tcPr>
            <w:tcW w:w="912"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3842"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905"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912"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3842"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29483E9F">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rPr>
        <w:t>1</w:t>
      </w: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rPr>
        <w:t>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2</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rPr>
        <w:t>3</w:t>
      </w: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rPr>
        <w:t>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rPr>
        <w:t>评标专家组按附表2-1《价格标评分方法》进行评分。</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经以上算法得出的数值即为投标人的价格得分（计算过程及计算结果四舍五入保留小数点后两位）。价格得分为负数时，</w:t>
      </w:r>
      <w:r>
        <w:rPr>
          <w:rFonts w:hint="eastAsia" w:ascii="Times New Roman" w:hAnsi="Times New Roman" w:eastAsia="仿宋_GB2312" w:cs="仿宋_GB2312"/>
          <w:bCs/>
          <w:smallCaps w:val="0"/>
          <w:sz w:val="21"/>
          <w:szCs w:val="24"/>
          <w:highlight w:val="none"/>
        </w:rPr>
        <w:t>计为0分。</w:t>
      </w:r>
    </w:p>
    <w:p w14:paraId="52F1BDC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18B85B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00F5F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32B2E6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B9F2E2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ED1E1D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FA55D10">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A47786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30BC6F89">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6"/>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5B6F2A9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EE52F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451480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38FF5A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4F197F49">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9C86E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0AC005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57AF155">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AC64B2C">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F15723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2DBB15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BD516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AB465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0F1589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52" w:name="_Toc22811"/>
      <w:bookmarkStart w:id="53" w:name="_Toc24426"/>
      <w:r>
        <w:rPr>
          <w:rFonts w:hint="eastAsia" w:ascii="Times New Roman" w:hAnsi="Times New Roman" w:eastAsia="黑体" w:cs="黑体"/>
          <w:b w:val="0"/>
          <w:bCs/>
          <w:smallCaps w:val="0"/>
          <w:sz w:val="32"/>
          <w:szCs w:val="32"/>
          <w:highlight w:val="none"/>
        </w:rPr>
        <w:t>合同条款</w:t>
      </w:r>
      <w:bookmarkEnd w:id="52"/>
      <w:bookmarkEnd w:id="53"/>
    </w:p>
    <w:p w14:paraId="03F3C3A3">
      <w:pPr>
        <w:rPr>
          <w:rFonts w:hint="eastAsia"/>
        </w:rPr>
      </w:pPr>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bookmarkStart w:id="54" w:name="_Toc27794"/>
      <w:r>
        <w:rPr>
          <w:rFonts w:hint="eastAsia" w:ascii="Times New Roman" w:hAnsi="Times New Roman" w:eastAsia="方正小标宋简体" w:cs="方正小标宋简体"/>
          <w:b w:val="0"/>
          <w:bCs w:val="0"/>
          <w:smallCaps w:val="0"/>
          <w:sz w:val="44"/>
          <w:szCs w:val="44"/>
          <w:highlight w:val="none"/>
          <w:lang w:val="en-US" w:eastAsia="zh-CN"/>
        </w:rPr>
        <w:t>2025-2027年度质量、环境及职业健康安全管理体系认证服务项目合同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4A2EC958">
      <w:pPr>
        <w:spacing w:line="240" w:lineRule="exact"/>
        <w:rPr>
          <w:rFonts w:hint="eastAsia" w:ascii="Times New Roman" w:hAnsi="Times New Roman" w:eastAsia="仿宋" w:cs="仿宋"/>
          <w:smallCaps w:val="0"/>
          <w:szCs w:val="21"/>
          <w:highlight w:val="none"/>
          <w:lang w:val="en-US" w:eastAsia="zh-CN"/>
        </w:rPr>
      </w:pPr>
      <w:r>
        <w:rPr>
          <w:rFonts w:hint="eastAsia" w:ascii="Times New Roman" w:hAnsi="Times New Roman" w:eastAsia="仿宋" w:cs="仿宋"/>
          <w:smallCaps w:val="0"/>
          <w:szCs w:val="21"/>
          <w:highlight w:val="none"/>
          <w:lang w:val="en-US" w:eastAsia="zh-CN"/>
        </w:rPr>
        <w:t xml:space="preserve"> </w:t>
      </w:r>
    </w:p>
    <w:p w14:paraId="26917B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甲方：深圳市鹏劳人力资源管理有限公司</w:t>
      </w:r>
    </w:p>
    <w:p w14:paraId="45BD30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统一社会信用代码：914403007084016190</w:t>
      </w:r>
    </w:p>
    <w:p w14:paraId="01E4A2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乙方：</w:t>
      </w:r>
      <w:r>
        <w:rPr>
          <w:rFonts w:hint="eastAsia" w:ascii="Times New Roman" w:hAnsi="Times New Roman" w:eastAsia="仿宋_GB2312" w:cs="仿宋_GB2312"/>
          <w:color w:val="000000"/>
          <w:sz w:val="32"/>
          <w:szCs w:val="24"/>
          <w:highlight w:val="none"/>
          <w:u w:val="single"/>
        </w:rPr>
        <w:t xml:space="preserve">                               </w:t>
      </w:r>
    </w:p>
    <w:p w14:paraId="77489F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u w:val="none"/>
        </w:rPr>
      </w:pPr>
      <w:r>
        <w:rPr>
          <w:rFonts w:hint="eastAsia" w:ascii="Times New Roman" w:hAnsi="Times New Roman" w:eastAsia="仿宋_GB2312" w:cs="仿宋_GB2312"/>
          <w:color w:val="000000"/>
          <w:sz w:val="32"/>
          <w:szCs w:val="24"/>
          <w:highlight w:val="none"/>
        </w:rPr>
        <w:t>统一社会信用代码：</w:t>
      </w:r>
      <w:r>
        <w:rPr>
          <w:rFonts w:hint="eastAsia" w:ascii="Times New Roman" w:hAnsi="Times New Roman" w:eastAsia="仿宋_GB2312" w:cs="仿宋_GB2312"/>
          <w:color w:val="000000"/>
          <w:sz w:val="32"/>
          <w:szCs w:val="24"/>
          <w:highlight w:val="none"/>
          <w:u w:val="single"/>
          <w:lang w:val="en-US" w:eastAsia="zh-CN"/>
        </w:rPr>
        <w:t xml:space="preserve">                   </w:t>
      </w:r>
      <w:r>
        <w:rPr>
          <w:rFonts w:hint="eastAsia" w:ascii="Times New Roman" w:hAnsi="Times New Roman" w:eastAsia="仿宋_GB2312" w:cs="仿宋_GB2312"/>
          <w:color w:val="000000"/>
          <w:sz w:val="32"/>
          <w:szCs w:val="24"/>
          <w:highlight w:val="none"/>
        </w:rPr>
        <w:t xml:space="preserve">                   </w:t>
      </w:r>
    </w:p>
    <w:p w14:paraId="19982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兹有甲方委托乙方提供</w:t>
      </w:r>
      <w:r>
        <w:rPr>
          <w:rFonts w:hint="eastAsia" w:ascii="Times New Roman" w:hAnsi="Times New Roman" w:eastAsia="仿宋_GB2312" w:cs="仿宋_GB2312"/>
          <w:color w:val="000000"/>
          <w:sz w:val="32"/>
          <w:szCs w:val="24"/>
          <w:highlight w:val="none"/>
          <w:u w:val="single"/>
        </w:rPr>
        <w:t>202</w:t>
      </w:r>
      <w:r>
        <w:rPr>
          <w:rFonts w:hint="eastAsia" w:ascii="Times New Roman" w:hAnsi="Times New Roman" w:eastAsia="仿宋_GB2312" w:cs="仿宋_GB2312"/>
          <w:color w:val="000000"/>
          <w:sz w:val="32"/>
          <w:szCs w:val="24"/>
          <w:highlight w:val="none"/>
          <w:u w:val="single"/>
          <w:lang w:val="en-US" w:eastAsia="zh-CN"/>
        </w:rPr>
        <w:t>5</w:t>
      </w:r>
      <w:r>
        <w:rPr>
          <w:rFonts w:hint="eastAsia" w:ascii="Times New Roman" w:hAnsi="Times New Roman" w:eastAsia="仿宋_GB2312" w:cs="仿宋_GB2312"/>
          <w:color w:val="000000"/>
          <w:sz w:val="32"/>
          <w:szCs w:val="24"/>
          <w:highlight w:val="none"/>
          <w:u w:val="single"/>
        </w:rPr>
        <w:t>-202</w:t>
      </w:r>
      <w:r>
        <w:rPr>
          <w:rFonts w:hint="eastAsia" w:ascii="Times New Roman" w:hAnsi="Times New Roman" w:eastAsia="仿宋_GB2312" w:cs="仿宋_GB2312"/>
          <w:color w:val="000000"/>
          <w:sz w:val="32"/>
          <w:szCs w:val="24"/>
          <w:highlight w:val="none"/>
          <w:u w:val="single"/>
          <w:lang w:val="en-US" w:eastAsia="zh-CN"/>
        </w:rPr>
        <w:t>7</w:t>
      </w:r>
      <w:r>
        <w:rPr>
          <w:rFonts w:hint="eastAsia" w:ascii="Times New Roman" w:hAnsi="Times New Roman" w:eastAsia="仿宋_GB2312" w:cs="仿宋_GB2312"/>
          <w:color w:val="000000"/>
          <w:sz w:val="32"/>
          <w:szCs w:val="24"/>
          <w:highlight w:val="none"/>
          <w:u w:val="single"/>
        </w:rPr>
        <w:t>年度质量、环境及职业健康安全管理体系认证</w:t>
      </w:r>
      <w:r>
        <w:rPr>
          <w:rFonts w:hint="eastAsia" w:ascii="Times New Roman" w:hAnsi="Times New Roman" w:eastAsia="仿宋_GB2312" w:cs="仿宋_GB2312"/>
          <w:color w:val="000000"/>
          <w:sz w:val="32"/>
          <w:szCs w:val="24"/>
          <w:highlight w:val="none"/>
          <w:u w:val="single"/>
          <w:lang w:val="en-US" w:eastAsia="zh-CN"/>
        </w:rPr>
        <w:t>服务</w:t>
      </w:r>
      <w:r>
        <w:rPr>
          <w:rFonts w:hint="eastAsia" w:ascii="Times New Roman" w:hAnsi="Times New Roman" w:eastAsia="仿宋_GB2312" w:cs="仿宋_GB2312"/>
          <w:color w:val="000000"/>
          <w:sz w:val="32"/>
          <w:szCs w:val="24"/>
          <w:highlight w:val="none"/>
        </w:rPr>
        <w:t>，依据《中华人民共和国民法典》及相关法律法规的规定，经双方协商，达成以下约定：</w:t>
      </w:r>
    </w:p>
    <w:p w14:paraId="20230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lang w:val="en-US" w:eastAsia="zh-CN"/>
        </w:rPr>
        <w:t xml:space="preserve">第一条 </w:t>
      </w:r>
      <w:r>
        <w:rPr>
          <w:rFonts w:hint="eastAsia" w:ascii="Times New Roman" w:hAnsi="Times New Roman" w:eastAsia="仿宋_GB2312" w:cs="仿宋_GB2312"/>
          <w:color w:val="000000"/>
          <w:sz w:val="32"/>
          <w:szCs w:val="24"/>
          <w:highlight w:val="none"/>
        </w:rPr>
        <w:t>委托事项</w:t>
      </w:r>
    </w:p>
    <w:p w14:paraId="262B43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（一）委托业务：202</w:t>
      </w:r>
      <w:r>
        <w:rPr>
          <w:rFonts w:hint="eastAsia" w:ascii="Times New Roman" w:hAnsi="Times New Roman" w:eastAsia="仿宋_GB2312" w:cs="仿宋_GB2312"/>
          <w:color w:val="000000"/>
          <w:sz w:val="32"/>
          <w:szCs w:val="24"/>
          <w:highlight w:val="none"/>
          <w:lang w:val="en-US" w:eastAsia="zh-CN"/>
        </w:rPr>
        <w:t>5</w:t>
      </w:r>
      <w:r>
        <w:rPr>
          <w:rFonts w:hint="eastAsia" w:ascii="Times New Roman" w:hAnsi="Times New Roman" w:eastAsia="仿宋_GB2312" w:cs="仿宋_GB2312"/>
          <w:color w:val="000000"/>
          <w:sz w:val="32"/>
          <w:szCs w:val="24"/>
          <w:highlight w:val="none"/>
        </w:rPr>
        <w:t>-202</w:t>
      </w:r>
      <w:r>
        <w:rPr>
          <w:rFonts w:hint="eastAsia" w:ascii="Times New Roman" w:hAnsi="Times New Roman" w:eastAsia="仿宋_GB2312" w:cs="仿宋_GB2312"/>
          <w:color w:val="000000"/>
          <w:sz w:val="32"/>
          <w:szCs w:val="24"/>
          <w:highlight w:val="none"/>
          <w:lang w:val="en-US" w:eastAsia="zh-CN"/>
        </w:rPr>
        <w:t>7</w:t>
      </w:r>
      <w:r>
        <w:rPr>
          <w:rFonts w:hint="eastAsia" w:ascii="Times New Roman" w:hAnsi="Times New Roman" w:eastAsia="仿宋_GB2312" w:cs="仿宋_GB2312"/>
          <w:color w:val="000000"/>
          <w:sz w:val="32"/>
          <w:szCs w:val="24"/>
          <w:highlight w:val="none"/>
        </w:rPr>
        <w:t>年度质量、环境及职业健康安全管理体系认证。</w:t>
      </w:r>
    </w:p>
    <w:p w14:paraId="277B8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（二）委托目的：审核202</w:t>
      </w:r>
      <w:r>
        <w:rPr>
          <w:rFonts w:hint="eastAsia" w:ascii="Times New Roman" w:hAnsi="Times New Roman" w:eastAsia="仿宋_GB2312" w:cs="仿宋_GB2312"/>
          <w:color w:val="000000"/>
          <w:sz w:val="32"/>
          <w:szCs w:val="24"/>
          <w:highlight w:val="none"/>
          <w:lang w:val="en-US" w:eastAsia="zh-CN"/>
        </w:rPr>
        <w:t>5</w:t>
      </w:r>
      <w:r>
        <w:rPr>
          <w:rFonts w:hint="eastAsia" w:ascii="Times New Roman" w:hAnsi="Times New Roman" w:eastAsia="仿宋_GB2312" w:cs="仿宋_GB2312"/>
          <w:color w:val="000000"/>
          <w:sz w:val="32"/>
          <w:szCs w:val="24"/>
          <w:highlight w:val="none"/>
        </w:rPr>
        <w:t>-202</w:t>
      </w:r>
      <w:r>
        <w:rPr>
          <w:rFonts w:hint="eastAsia" w:ascii="Times New Roman" w:hAnsi="Times New Roman" w:eastAsia="仿宋_GB2312" w:cs="仿宋_GB2312"/>
          <w:color w:val="000000"/>
          <w:sz w:val="32"/>
          <w:szCs w:val="24"/>
          <w:highlight w:val="none"/>
          <w:lang w:val="en-US" w:eastAsia="zh-CN"/>
        </w:rPr>
        <w:t>7</w:t>
      </w:r>
      <w:r>
        <w:rPr>
          <w:rFonts w:hint="eastAsia" w:ascii="Times New Roman" w:hAnsi="Times New Roman" w:eastAsia="仿宋_GB2312" w:cs="仿宋_GB2312"/>
          <w:color w:val="000000"/>
          <w:sz w:val="32"/>
          <w:szCs w:val="24"/>
          <w:highlight w:val="none"/>
        </w:rPr>
        <w:t>年度质量、环境及职业健康安全管理体系，出具审核认证报告，颁发管理体系认证证书。</w:t>
      </w:r>
    </w:p>
    <w:p w14:paraId="39360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sz w:val="32"/>
          <w:szCs w:val="24"/>
          <w:highlight w:val="none"/>
          <w:lang w:eastAsia="zh-CN"/>
        </w:rPr>
        <w:t>第二条</w:t>
      </w:r>
      <w:r>
        <w:rPr>
          <w:rFonts w:hint="eastAsia" w:ascii="Times New Roman" w:hAnsi="Times New Roman" w:eastAsia="仿宋_GB2312" w:cs="仿宋_GB2312"/>
          <w:sz w:val="32"/>
          <w:szCs w:val="24"/>
          <w:highlight w:val="none"/>
          <w:lang w:val="en-US" w:eastAsia="zh-CN"/>
        </w:rPr>
        <w:t xml:space="preserve"> </w:t>
      </w:r>
      <w:r>
        <w:rPr>
          <w:rFonts w:hint="eastAsia" w:ascii="Times New Roman" w:hAnsi="Times New Roman" w:eastAsia="仿宋_GB2312" w:cs="仿宋_GB2312"/>
          <w:sz w:val="32"/>
          <w:szCs w:val="24"/>
          <w:highlight w:val="none"/>
          <w:lang w:eastAsia="zh-CN"/>
        </w:rPr>
        <w:t>经双方商定本合同所覆盖的认证范围是</w:t>
      </w:r>
      <w:r>
        <w:rPr>
          <w:rFonts w:hint="eastAsia" w:ascii="Times New Roman" w:hAnsi="Times New Roman" w:eastAsia="仿宋_GB2312" w:cs="仿宋_GB2312"/>
          <w:sz w:val="32"/>
          <w:szCs w:val="24"/>
          <w:highlight w:val="none"/>
          <w:lang w:val="en-US" w:eastAsia="zh-CN"/>
        </w:rPr>
        <w:t>资质范围内</w:t>
      </w:r>
      <w:r>
        <w:rPr>
          <w:rFonts w:hint="eastAsia" w:ascii="Times New Roman" w:hAnsi="Times New Roman" w:eastAsia="仿宋_GB2312" w:cs="仿宋_GB2312"/>
          <w:sz w:val="32"/>
          <w:szCs w:val="24"/>
          <w:highlight w:val="none"/>
          <w:u w:val="single"/>
          <w:lang w:val="en-US" w:eastAsia="zh-CN"/>
        </w:rPr>
        <w:t>人力资源服务外包、劳务派遣、职业介绍和劳动事务代理及相关管理活动</w:t>
      </w:r>
      <w:r>
        <w:rPr>
          <w:rFonts w:hint="eastAsia" w:ascii="Times New Roman" w:hAnsi="Times New Roman" w:eastAsia="仿宋_GB2312" w:cs="仿宋_GB2312"/>
          <w:sz w:val="32"/>
          <w:szCs w:val="24"/>
          <w:highlight w:val="none"/>
          <w:lang w:val="en-US" w:eastAsia="zh-CN"/>
        </w:rPr>
        <w:t>。</w:t>
      </w:r>
    </w:p>
    <w:p w14:paraId="40F33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第三条 经双方约定的认证依据是：</w:t>
      </w:r>
    </w:p>
    <w:p w14:paraId="753C46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□GB/T 19001-         □GB/T 24001-</w:t>
      </w:r>
    </w:p>
    <w:p w14:paraId="3F37A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sz w:val="32"/>
          <w:szCs w:val="24"/>
          <w:highlight w:val="none"/>
          <w:u w:val="single"/>
          <w:lang w:val="en-US"/>
        </w:rPr>
      </w:pPr>
      <w:r>
        <w:rPr>
          <w:rFonts w:hint="eastAsia" w:ascii="Times New Roman" w:hAnsi="Times New Roman" w:eastAsia="仿宋_GB2312" w:cs="仿宋_GB2312"/>
          <w:kern w:val="2"/>
          <w:sz w:val="32"/>
          <w:szCs w:val="24"/>
          <w:highlight w:val="none"/>
          <w:lang w:val="en-US" w:eastAsia="zh-CN" w:bidi="ar"/>
        </w:rPr>
        <w:t xml:space="preserve">□GB/T45001 -     </w:t>
      </w:r>
    </w:p>
    <w:p w14:paraId="225E648D">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第四条 本合同涉及费用的详细内容见本合同附件——经双方确认的《管理体系认证费用明细表》，明细表与本合同约定不一致的以本合同为准。</w:t>
      </w:r>
    </w:p>
    <w:p w14:paraId="22C4B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 w:cs="仿宋"/>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第五条 合同费用及支付方式：</w:t>
      </w:r>
    </w:p>
    <w:p w14:paraId="2F8A2C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kern w:val="0"/>
          <w:sz w:val="32"/>
          <w:szCs w:val="24"/>
          <w:highlight w:val="none"/>
          <w:u w:val="none"/>
          <w:lang w:bidi="ar"/>
        </w:rPr>
      </w:pPr>
      <w:r>
        <w:rPr>
          <w:rFonts w:hint="eastAsia" w:ascii="Times New Roman" w:hAnsi="Times New Roman" w:eastAsia="仿宋_GB2312" w:cs="仿宋_GB2312"/>
          <w:kern w:val="2"/>
          <w:sz w:val="32"/>
          <w:szCs w:val="24"/>
          <w:highlight w:val="none"/>
          <w:lang w:val="en-US" w:eastAsia="zh-CN" w:bidi="ar"/>
        </w:rPr>
        <w:t xml:space="preserve">1. </w:t>
      </w:r>
      <w:r>
        <w:rPr>
          <w:rFonts w:hint="eastAsia" w:ascii="Times New Roman" w:hAnsi="Times New Roman" w:eastAsia="仿宋_GB2312" w:cs="仿宋_GB2312"/>
          <w:color w:val="000000"/>
          <w:kern w:val="0"/>
          <w:sz w:val="32"/>
          <w:szCs w:val="24"/>
          <w:highlight w:val="none"/>
          <w:lang w:bidi="ar"/>
        </w:rPr>
        <w:t>202</w:t>
      </w:r>
      <w:r>
        <w:rPr>
          <w:rFonts w:hint="eastAsia" w:ascii="Times New Roman" w:hAnsi="Times New Roman" w:eastAsia="仿宋_GB2312" w:cs="仿宋_GB2312"/>
          <w:color w:val="000000"/>
          <w:kern w:val="0"/>
          <w:sz w:val="32"/>
          <w:szCs w:val="24"/>
          <w:highlight w:val="none"/>
          <w:lang w:val="en-US" w:eastAsia="zh-CN" w:bidi="ar"/>
        </w:rPr>
        <w:t>5</w:t>
      </w:r>
      <w:r>
        <w:rPr>
          <w:rFonts w:hint="eastAsia" w:ascii="Times New Roman" w:hAnsi="Times New Roman" w:eastAsia="仿宋_GB2312" w:cs="仿宋_GB2312"/>
          <w:color w:val="000000"/>
          <w:kern w:val="0"/>
          <w:sz w:val="32"/>
          <w:szCs w:val="24"/>
          <w:highlight w:val="none"/>
          <w:lang w:bidi="ar"/>
        </w:rPr>
        <w:t>年：ISO9001监督阶段审核费</w:t>
      </w:r>
      <w:r>
        <w:rPr>
          <w:rFonts w:hint="eastAsia" w:ascii="Times New Roman" w:hAnsi="Times New Roman" w:eastAsia="仿宋_GB2312" w:cs="仿宋_GB2312"/>
          <w:kern w:val="0"/>
          <w:sz w:val="32"/>
          <w:szCs w:val="24"/>
          <w:highlight w:val="none"/>
          <w:lang w:bidi="ar"/>
        </w:rPr>
        <w:t>￥</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none"/>
          <w:lang w:bidi="ar"/>
        </w:rPr>
        <w:t xml:space="preserve"> </w:t>
      </w:r>
      <w:r>
        <w:rPr>
          <w:rFonts w:hint="eastAsia" w:ascii="Times New Roman" w:hAnsi="Times New Roman" w:eastAsia="仿宋_GB2312" w:cs="仿宋_GB2312"/>
          <w:kern w:val="0"/>
          <w:sz w:val="32"/>
          <w:szCs w:val="24"/>
          <w:highlight w:val="none"/>
          <w:lang w:bidi="ar"/>
        </w:rPr>
        <w:t>元</w:t>
      </w:r>
      <w:r>
        <w:rPr>
          <w:rFonts w:hint="eastAsia" w:ascii="Times New Roman" w:hAnsi="Times New Roman" w:eastAsia="仿宋_GB2312" w:cs="仿宋_GB2312"/>
          <w:color w:val="000000"/>
          <w:kern w:val="0"/>
          <w:sz w:val="32"/>
          <w:szCs w:val="24"/>
          <w:highlight w:val="none"/>
          <w:lang w:bidi="ar"/>
        </w:rPr>
        <w:t>，ISO14001、ISO45001再认证审核费</w:t>
      </w:r>
      <w:r>
        <w:rPr>
          <w:rFonts w:hint="eastAsia" w:ascii="Times New Roman" w:hAnsi="Times New Roman" w:eastAsia="仿宋_GB2312" w:cs="仿宋_GB2312"/>
          <w:kern w:val="0"/>
          <w:sz w:val="32"/>
          <w:szCs w:val="24"/>
          <w:highlight w:val="none"/>
          <w:lang w:bidi="ar"/>
        </w:rPr>
        <w:t>￥</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lang w:bidi="ar"/>
        </w:rPr>
        <w:t>元，总计</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万</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仟</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佰</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拾</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元（含增值税）。</w:t>
      </w:r>
    </w:p>
    <w:p w14:paraId="01CA3532">
      <w:pPr>
        <w:keepNext w:val="0"/>
        <w:keepLines w:val="0"/>
        <w:pageBreakBefore w:val="0"/>
        <w:widowControl w:val="0"/>
        <w:suppressLineNumbers w:val="0"/>
        <w:tabs>
          <w:tab w:val="left" w:pos="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2. </w:t>
      </w:r>
      <w:r>
        <w:rPr>
          <w:rFonts w:hint="eastAsia" w:ascii="Times New Roman" w:hAnsi="Times New Roman" w:eastAsia="仿宋_GB2312" w:cs="仿宋_GB2312"/>
          <w:kern w:val="0"/>
          <w:sz w:val="32"/>
          <w:szCs w:val="24"/>
          <w:highlight w:val="none"/>
          <w:lang w:bidi="ar"/>
        </w:rPr>
        <w:t>202</w:t>
      </w:r>
      <w:r>
        <w:rPr>
          <w:rFonts w:hint="eastAsia" w:ascii="Times New Roman" w:hAnsi="Times New Roman" w:eastAsia="仿宋_GB2312" w:cs="仿宋_GB2312"/>
          <w:kern w:val="0"/>
          <w:sz w:val="32"/>
          <w:szCs w:val="24"/>
          <w:highlight w:val="none"/>
          <w:lang w:val="en-US" w:eastAsia="zh-CN" w:bidi="ar"/>
        </w:rPr>
        <w:t>6</w:t>
      </w:r>
      <w:r>
        <w:rPr>
          <w:rFonts w:hint="eastAsia" w:ascii="Times New Roman" w:hAnsi="Times New Roman" w:eastAsia="仿宋_GB2312" w:cs="仿宋_GB2312"/>
          <w:kern w:val="0"/>
          <w:sz w:val="32"/>
          <w:szCs w:val="24"/>
          <w:highlight w:val="none"/>
          <w:lang w:bidi="ar"/>
        </w:rPr>
        <w:t>年：ISO9001</w:t>
      </w:r>
      <w:r>
        <w:rPr>
          <w:rFonts w:hint="eastAsia" w:ascii="Times New Roman" w:hAnsi="Times New Roman" w:eastAsia="仿宋_GB2312" w:cs="仿宋_GB2312"/>
          <w:kern w:val="0"/>
          <w:sz w:val="32"/>
          <w:szCs w:val="24"/>
          <w:highlight w:val="none"/>
          <w:lang w:val="en-US" w:eastAsia="zh-CN" w:bidi="ar"/>
        </w:rPr>
        <w:t>再认证</w:t>
      </w:r>
      <w:r>
        <w:rPr>
          <w:rFonts w:hint="eastAsia" w:ascii="Times New Roman" w:hAnsi="Times New Roman" w:eastAsia="仿宋_GB2312" w:cs="仿宋_GB2312"/>
          <w:kern w:val="0"/>
          <w:sz w:val="32"/>
          <w:szCs w:val="24"/>
          <w:highlight w:val="none"/>
          <w:lang w:bidi="ar"/>
        </w:rPr>
        <w:t>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none"/>
          <w:lang w:bidi="ar"/>
        </w:rPr>
        <w:t xml:space="preserve"> </w:t>
      </w:r>
      <w:r>
        <w:rPr>
          <w:rFonts w:hint="eastAsia" w:ascii="Times New Roman" w:hAnsi="Times New Roman" w:eastAsia="仿宋_GB2312" w:cs="仿宋_GB2312"/>
          <w:kern w:val="0"/>
          <w:sz w:val="32"/>
          <w:szCs w:val="24"/>
          <w:highlight w:val="none"/>
          <w:lang w:bidi="ar"/>
        </w:rPr>
        <w:t>元，ISO14001、ISO45001</w:t>
      </w:r>
      <w:r>
        <w:rPr>
          <w:rFonts w:hint="eastAsia" w:ascii="Times New Roman" w:hAnsi="Times New Roman" w:eastAsia="仿宋_GB2312" w:cs="仿宋_GB2312"/>
          <w:kern w:val="0"/>
          <w:sz w:val="32"/>
          <w:szCs w:val="24"/>
          <w:highlight w:val="none"/>
          <w:lang w:val="en-US" w:eastAsia="zh-CN" w:bidi="ar"/>
        </w:rPr>
        <w:t>监督阶段</w:t>
      </w:r>
      <w:r>
        <w:rPr>
          <w:rFonts w:hint="eastAsia" w:ascii="Times New Roman" w:hAnsi="Times New Roman" w:eastAsia="仿宋_GB2312" w:cs="仿宋_GB2312"/>
          <w:kern w:val="0"/>
          <w:sz w:val="32"/>
          <w:szCs w:val="24"/>
          <w:highlight w:val="none"/>
          <w:lang w:bidi="ar"/>
        </w:rPr>
        <w:t>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lang w:bidi="ar"/>
        </w:rPr>
        <w:t>元，总计</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万</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仟</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佰</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拾</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元（含增值税）。</w:t>
      </w:r>
    </w:p>
    <w:p w14:paraId="61F4E2AC">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3. </w:t>
      </w:r>
      <w:r>
        <w:rPr>
          <w:rFonts w:hint="eastAsia" w:ascii="Times New Roman" w:hAnsi="Times New Roman" w:eastAsia="仿宋_GB2312" w:cs="仿宋_GB2312"/>
          <w:kern w:val="0"/>
          <w:sz w:val="32"/>
          <w:szCs w:val="24"/>
          <w:highlight w:val="none"/>
          <w:lang w:bidi="ar"/>
        </w:rPr>
        <w:t>202</w:t>
      </w:r>
      <w:r>
        <w:rPr>
          <w:rFonts w:hint="eastAsia" w:ascii="Times New Roman" w:hAnsi="Times New Roman" w:eastAsia="仿宋_GB2312" w:cs="仿宋_GB2312"/>
          <w:kern w:val="0"/>
          <w:sz w:val="32"/>
          <w:szCs w:val="24"/>
          <w:highlight w:val="none"/>
          <w:lang w:val="en-US" w:eastAsia="zh-CN" w:bidi="ar"/>
        </w:rPr>
        <w:t>7</w:t>
      </w:r>
      <w:r>
        <w:rPr>
          <w:rFonts w:hint="eastAsia" w:ascii="Times New Roman" w:hAnsi="Times New Roman" w:eastAsia="仿宋_GB2312" w:cs="仿宋_GB2312"/>
          <w:kern w:val="0"/>
          <w:sz w:val="32"/>
          <w:szCs w:val="24"/>
          <w:highlight w:val="none"/>
          <w:lang w:bidi="ar"/>
        </w:rPr>
        <w:t>年：ISO9001监督阶段审核费￥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none"/>
          <w:lang w:bidi="ar"/>
        </w:rPr>
        <w:t xml:space="preserve"> </w:t>
      </w:r>
      <w:r>
        <w:rPr>
          <w:rFonts w:hint="eastAsia" w:ascii="Times New Roman" w:hAnsi="Times New Roman" w:eastAsia="仿宋_GB2312" w:cs="仿宋_GB2312"/>
          <w:kern w:val="0"/>
          <w:sz w:val="32"/>
          <w:szCs w:val="24"/>
          <w:highlight w:val="none"/>
          <w:lang w:bidi="ar"/>
        </w:rPr>
        <w:t>元，ISO14001、ISO45001</w:t>
      </w:r>
      <w:r>
        <w:rPr>
          <w:rFonts w:hint="eastAsia" w:ascii="Times New Roman" w:hAnsi="Times New Roman" w:eastAsia="仿宋_GB2312" w:cs="仿宋_GB2312"/>
          <w:kern w:val="0"/>
          <w:sz w:val="32"/>
          <w:szCs w:val="24"/>
          <w:highlight w:val="none"/>
          <w:lang w:val="en-US" w:eastAsia="zh-CN" w:bidi="ar"/>
        </w:rPr>
        <w:t>监督阶段</w:t>
      </w:r>
      <w:r>
        <w:rPr>
          <w:rFonts w:hint="eastAsia" w:ascii="Times New Roman" w:hAnsi="Times New Roman" w:eastAsia="仿宋_GB2312" w:cs="仿宋_GB2312"/>
          <w:kern w:val="0"/>
          <w:sz w:val="32"/>
          <w:szCs w:val="24"/>
          <w:highlight w:val="none"/>
          <w:lang w:bidi="ar"/>
        </w:rPr>
        <w:t>审核费￥</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b w:val="0"/>
          <w:bCs w:val="0"/>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u w:val="single"/>
          <w:lang w:bidi="ar"/>
        </w:rPr>
        <w:t xml:space="preserve">     </w:t>
      </w:r>
      <w:r>
        <w:rPr>
          <w:rFonts w:hint="eastAsia" w:ascii="Times New Roman" w:hAnsi="Times New Roman" w:eastAsia="仿宋_GB2312" w:cs="仿宋_GB2312"/>
          <w:kern w:val="0"/>
          <w:sz w:val="32"/>
          <w:szCs w:val="24"/>
          <w:highlight w:val="none"/>
          <w:lang w:bidi="ar"/>
        </w:rPr>
        <w:t>元，总计</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万</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仟</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佰</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拾</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元（含增值税）。</w:t>
      </w:r>
    </w:p>
    <w:p w14:paraId="7BDA57E6">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kern w:val="2"/>
          <w:sz w:val="32"/>
          <w:szCs w:val="24"/>
          <w:highlight w:val="none"/>
          <w:lang w:val="en-US" w:eastAsia="zh-CN" w:bidi="ar"/>
        </w:rPr>
      </w:pPr>
      <w:r>
        <w:rPr>
          <w:rFonts w:hint="eastAsia" w:ascii="Times New Roman" w:hAnsi="Times New Roman" w:eastAsia="仿宋_GB2312" w:cs="仿宋_GB2312"/>
          <w:b w:val="0"/>
          <w:bCs w:val="0"/>
          <w:kern w:val="2"/>
          <w:sz w:val="32"/>
          <w:szCs w:val="24"/>
          <w:highlight w:val="none"/>
          <w:lang w:val="en-US" w:eastAsia="zh-CN" w:bidi="ar"/>
        </w:rPr>
        <w:t>以上最终支付金额依据项目成交报价表的确定数填列。</w:t>
      </w:r>
    </w:p>
    <w:p w14:paraId="6F16D45F">
      <w:pPr>
        <w:keepNext w:val="0"/>
        <w:keepLines w:val="0"/>
        <w:pageBreakBefore w:val="0"/>
        <w:widowControl w:val="0"/>
        <w:numPr>
          <w:ilvl w:val="0"/>
          <w:numId w:val="10"/>
        </w:numPr>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费用支付方式：甲方于审核通过后，收到乙方开具的与合同金额对应的增值税专用发</w:t>
      </w:r>
      <w:r>
        <w:rPr>
          <w:rFonts w:hint="eastAsia" w:ascii="Times New Roman" w:hAnsi="Times New Roman" w:eastAsia="仿宋_GB2312" w:cs="仿宋_GB2312"/>
          <w:kern w:val="2"/>
          <w:sz w:val="32"/>
          <w:szCs w:val="24"/>
          <w:highlight w:val="none"/>
          <w:lang w:val="en-US" w:eastAsia="zh-CN" w:bidi="ar"/>
        </w:rPr>
        <w:t>票，10日内一次</w:t>
      </w:r>
      <w:r>
        <w:rPr>
          <w:rFonts w:hint="eastAsia" w:ascii="仿宋_GB2312" w:hAnsi="仿宋_GB2312" w:eastAsia="仿宋_GB2312" w:cs="仿宋_GB2312"/>
          <w:kern w:val="2"/>
          <w:sz w:val="32"/>
          <w:szCs w:val="24"/>
          <w:highlight w:val="none"/>
          <w:lang w:val="en-US" w:eastAsia="zh-CN" w:bidi="ar"/>
        </w:rPr>
        <w:t>性结清乙方当年的审核费用。</w:t>
      </w:r>
    </w:p>
    <w:p w14:paraId="3B33FA37">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上述费用不包括乙方审核员为甲方提供现场审核服务所发生的食宿、交通费用，该部分费用由甲方承担，乙方应提供合法合规且符合甲方财务管理规定的票据。</w:t>
      </w:r>
    </w:p>
    <w:p w14:paraId="59940979">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因甲方原因造成需要额外补充进行的现场审核费用由甲方承担，具体数额双方另行协商并以书面形式确定。</w:t>
      </w:r>
    </w:p>
    <w:p w14:paraId="117DF72C">
      <w:pPr>
        <w:pStyle w:val="15"/>
        <w:keepNext w:val="0"/>
        <w:keepLines w:val="0"/>
        <w:pageBreakBefore w:val="0"/>
        <w:widowControl/>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甲方同意将相关费用支付至乙方指定的账户中，相关账户信息见签章处。</w:t>
      </w:r>
    </w:p>
    <w:p w14:paraId="71AB38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第六条 甲方责任和权利</w:t>
      </w:r>
    </w:p>
    <w:p w14:paraId="7F9E3A64">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1.始终遵守认证认可相关法律法规；</w:t>
      </w:r>
    </w:p>
    <w:p w14:paraId="718E311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2.建立并持续有效运行相应的管理体系；</w:t>
      </w:r>
    </w:p>
    <w:p w14:paraId="2DC56308">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3.体系正式运行至少三个月后，且完成了内审和管理评审后方可实施正式审核；</w:t>
      </w:r>
    </w:p>
    <w:p w14:paraId="4A4A514B">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4.及时为乙方的认证审核工作提供其所要求的全部与管理体系有关文件资料，并保证所提供资料的真实性、合法性和完整性；</w:t>
      </w:r>
    </w:p>
    <w:p w14:paraId="05335C4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5.确保乙方合理地接触任何与认证审核工作有关的记录、文件和所需的其他信息，不得授意乙方人员实施违反国家法律、法规的行为；</w:t>
      </w:r>
    </w:p>
    <w:p w14:paraId="3C1FBB4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6.在调查投诉、事故、变更认证、对暂停认证进行追踪等特殊情况下应接受乙方开展的现场审核；</w:t>
      </w:r>
    </w:p>
    <w:p w14:paraId="328DD9B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 xml:space="preserve">7.协助认证机构、国家认证监管部门开展见证审核、确认审核、监督检查等，对有关事项的询问和调查如实提供相关材料和信息； </w:t>
      </w:r>
    </w:p>
    <w:p w14:paraId="7F42B4E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8.正确使用认证证书、认证标志和有关信息，除本合同约定的情形外，未经乙方许可，甲方不得用作其他用途。由于使用不当所造成的后果，与乙方无关；</w:t>
      </w:r>
    </w:p>
    <w:p w14:paraId="31A57269">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9.在获证后维持体系持续有效运行。在证书有效期内，接受并配合乙方实施监督审核。在一个为期三年的认证期内，监督审核应在初次审核或再认证决定日</w:t>
      </w:r>
      <w:r>
        <w:rPr>
          <w:rFonts w:hint="eastAsia" w:ascii="Times New Roman" w:hAnsi="Times New Roman" w:eastAsia="仿宋_GB2312" w:cs="仿宋_GB2312"/>
          <w:kern w:val="2"/>
          <w:sz w:val="32"/>
          <w:szCs w:val="24"/>
          <w:highlight w:val="none"/>
          <w:lang w:val="en-US" w:eastAsia="zh-CN" w:bidi="ar"/>
        </w:rPr>
        <w:t>期起的12个月内进行一次, 原则上每次审核间隔期不能超过12个月；</w:t>
      </w:r>
    </w:p>
    <w:p w14:paraId="6169A77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10.若认证证书被撤销或甲方自愿申请注销认证证书时，应将原证书及副本交回乙方，由乙方办理相关手续；</w:t>
      </w:r>
    </w:p>
    <w:p w14:paraId="06339186">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bidi="ar"/>
        </w:rPr>
      </w:pPr>
      <w:r>
        <w:rPr>
          <w:rFonts w:hint="eastAsia" w:ascii="仿宋_GB2312" w:hAnsi="仿宋_GB2312" w:eastAsia="仿宋_GB2312" w:cs="仿宋_GB2312"/>
          <w:kern w:val="2"/>
          <w:sz w:val="32"/>
          <w:szCs w:val="24"/>
          <w:highlight w:val="none"/>
          <w:lang w:val="en-US" w:eastAsia="zh-CN" w:bidi="ar"/>
        </w:rPr>
        <w:t>11.甲方有权对乙方体系认证过程中提供的所有服务实施评分，且甲方有权根据评分结果决定延</w:t>
      </w:r>
      <w:r>
        <w:rPr>
          <w:rFonts w:hint="eastAsia" w:ascii="Times New Roman" w:hAnsi="Times New Roman" w:eastAsia="仿宋_GB2312" w:cs="仿宋_GB2312"/>
          <w:kern w:val="2"/>
          <w:sz w:val="32"/>
          <w:szCs w:val="24"/>
          <w:highlight w:val="none"/>
          <w:lang w:val="en-US" w:eastAsia="zh-CN" w:bidi="ar"/>
        </w:rPr>
        <w:t>续或终止本合同，以3年为一个服务评价周期，具体如下：</w:t>
      </w:r>
    </w:p>
    <w:p w14:paraId="01D4B4A4">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（1）如服务评分达到90分及以上，则自动续约；</w:t>
      </w:r>
    </w:p>
    <w:p w14:paraId="754E1CEB">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（2）如服务评分为90分以下，则本合同自然终止且不再续约。</w:t>
      </w:r>
    </w:p>
    <w:p w14:paraId="3735800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第七条 乙方出现以下情况时，甲方有权即时解除合同而不需承担任何责任。因此而造成甲方实际损失的，甲方有权追偿。</w:t>
      </w:r>
    </w:p>
    <w:p w14:paraId="0687305A">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1.因乙方疏于履行本合同所述乙方义务而导致甲方实际损失；</w:t>
      </w:r>
    </w:p>
    <w:p w14:paraId="1DA754F8">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2.违反《廉洁承诺函》中所述廉洁条款；</w:t>
      </w:r>
    </w:p>
    <w:p w14:paraId="67A36CAF">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3.违反国家的法律、法规或监管部门的相关规定；</w:t>
      </w:r>
    </w:p>
    <w:p w14:paraId="3455A7C4">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4.违反本合同所述的保密义务。</w:t>
      </w:r>
    </w:p>
    <w:p w14:paraId="743F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第八条 乙方责任和权利</w:t>
      </w:r>
    </w:p>
    <w:p w14:paraId="24BD5194">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kern w:val="2"/>
          <w:sz w:val="32"/>
          <w:szCs w:val="24"/>
          <w:highlight w:val="none"/>
          <w:lang w:val="en-US" w:eastAsia="zh-CN" w:bidi="ar"/>
        </w:rPr>
        <w:t>1.</w:t>
      </w:r>
      <w:r>
        <w:rPr>
          <w:rFonts w:hint="eastAsia" w:ascii="仿宋_GB2312" w:hAnsi="仿宋_GB2312" w:eastAsia="仿宋_GB2312" w:cs="仿宋_GB2312"/>
          <w:sz w:val="32"/>
          <w:szCs w:val="24"/>
          <w:highlight w:val="none"/>
          <w:lang w:bidi="ar"/>
        </w:rPr>
        <w:t>严格遵守国家各种管理体系认证的法律法规，客观、公正地为甲方提供认证服务；</w:t>
      </w:r>
    </w:p>
    <w:p w14:paraId="76351AE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2</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向甲方提供资格证明文件及有关公开性文件；</w:t>
      </w:r>
    </w:p>
    <w:p w14:paraId="3424DE22">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3</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在签订合同后委派有资格人员组成审核组实施审核；</w:t>
      </w:r>
    </w:p>
    <w:p w14:paraId="698C644B">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4</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向甲方及时提交审核计划，按双方约定时间实施审核并出具审核报告；</w:t>
      </w:r>
    </w:p>
    <w:p w14:paraId="58B75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lang w:bidi="ar"/>
        </w:rPr>
      </w:pPr>
      <w:r>
        <w:rPr>
          <w:rFonts w:hint="eastAsia" w:ascii="仿宋_GB2312" w:hAnsi="仿宋_GB2312" w:eastAsia="仿宋_GB2312" w:cs="仿宋_GB2312"/>
          <w:sz w:val="32"/>
          <w:szCs w:val="24"/>
          <w:highlight w:val="none"/>
          <w:lang w:bidi="ar"/>
        </w:rPr>
        <w:t>5</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履行</w:t>
      </w:r>
      <w:r>
        <w:rPr>
          <w:rFonts w:hint="eastAsia" w:ascii="仿宋_GB2312" w:hAnsi="仿宋_GB2312" w:eastAsia="仿宋_GB2312" w:cs="仿宋_GB2312"/>
          <w:color w:val="000000"/>
          <w:sz w:val="32"/>
          <w:szCs w:val="24"/>
          <w:highlight w:val="none"/>
          <w:lang w:bidi="ar"/>
        </w:rPr>
        <w:t>保密义务，除下列情况情形之外，乙方应当对执行业务过程中知悉的甲方信息</w:t>
      </w:r>
      <w:r>
        <w:rPr>
          <w:rFonts w:hint="eastAsia" w:ascii="Times New Roman" w:hAnsi="Times New Roman" w:eastAsia="仿宋_GB2312" w:cs="仿宋_GB2312"/>
          <w:color w:val="000000"/>
          <w:sz w:val="32"/>
          <w:szCs w:val="24"/>
          <w:highlight w:val="none"/>
          <w:lang w:bidi="ar"/>
        </w:rPr>
        <w:t>予以保密：</w:t>
      </w:r>
    </w:p>
    <w:p w14:paraId="02A736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（1）取得甲方的授权；</w:t>
      </w:r>
    </w:p>
    <w:p w14:paraId="3BBFA3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（2）根据法律法规的规定，为法律诉讼准备文件或提供证据，以及向监管机构报告的违法违规行为；</w:t>
      </w:r>
    </w:p>
    <w:p w14:paraId="70E3A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（3）接受行业协会和监督机构依法进行的质量检查；</w:t>
      </w:r>
    </w:p>
    <w:p w14:paraId="5C8302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bidi="ar"/>
        </w:rPr>
        <w:t>（</w:t>
      </w:r>
      <w:r>
        <w:rPr>
          <w:rFonts w:hint="eastAsia" w:ascii="仿宋_GB2312" w:hAnsi="仿宋_GB2312" w:eastAsia="仿宋_GB2312" w:cs="仿宋_GB2312"/>
          <w:color w:val="000000"/>
          <w:sz w:val="32"/>
          <w:szCs w:val="24"/>
          <w:highlight w:val="none"/>
          <w:lang w:val="en-US" w:eastAsia="zh-CN" w:bidi="ar"/>
        </w:rPr>
        <w:t>4）</w:t>
      </w:r>
      <w:r>
        <w:rPr>
          <w:rFonts w:hint="eastAsia" w:ascii="仿宋_GB2312" w:hAnsi="仿宋_GB2312" w:eastAsia="仿宋_GB2312" w:cs="仿宋_GB2312"/>
          <w:color w:val="000000"/>
          <w:sz w:val="32"/>
          <w:szCs w:val="24"/>
          <w:highlight w:val="none"/>
          <w:lang w:bidi="ar"/>
        </w:rPr>
        <w:t>监管机构对乙方进行行政处罚（包括监管机构处罚前的调查、取证）以及乙方对此提起的行政复议。</w:t>
      </w:r>
    </w:p>
    <w:p w14:paraId="687DBA92">
      <w:pPr>
        <w:keepNext w:val="0"/>
        <w:keepLines w:val="0"/>
        <w:pageBreakBefore w:val="0"/>
        <w:tabs>
          <w:tab w:val="left" w:pos="10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highlight w:val="none"/>
          <w:lang w:bidi="ar"/>
        </w:rPr>
      </w:pPr>
      <w:r>
        <w:rPr>
          <w:rFonts w:hint="eastAsia" w:ascii="仿宋_GB2312" w:hAnsi="仿宋_GB2312" w:eastAsia="仿宋_GB2312" w:cs="仿宋_GB2312"/>
          <w:sz w:val="32"/>
          <w:szCs w:val="24"/>
          <w:highlight w:val="none"/>
          <w:lang w:bidi="ar"/>
        </w:rPr>
        <w:t>6</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及时向甲方颁发认证证书并通过相应媒体公布甲方名录；</w:t>
      </w:r>
    </w:p>
    <w:p w14:paraId="57B97B69">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7.甲方获证后，乙方应定期对甲方获证体系实施监督审核，并根据双方对再认证的协议按期实施再认证换证审核；</w:t>
      </w:r>
    </w:p>
    <w:p w14:paraId="2986B323">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8.当认证要求发生变更时应及时通知甲方，并验证甲方是否符合新的要求；</w:t>
      </w:r>
    </w:p>
    <w:p w14:paraId="3826A9BD">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9.在法律法规许可的情况下满足甲方关于可公开信息的特殊要求；</w:t>
      </w:r>
    </w:p>
    <w:p w14:paraId="29F0DA37">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第九条 如在审核进程中发现足以导致不推荐注册的严重不符合时，乙方应向甲方通报理由,由双方协商确定后续的处理措施（如重新修改审核计划，改变审核目的、审核范围或终止审核等），确定相关费用并由甲方承担。</w:t>
      </w:r>
    </w:p>
    <w:p w14:paraId="5C0888FF">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第十条 如甲方在现场审核结束后6个月内未能配合乙方对其严重不符合的纠正和纠正措施实施验证，则乙方需再实施一次第二阶段审核所发生的费用由甲方承担。</w:t>
      </w:r>
    </w:p>
    <w:p w14:paraId="70B94A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第十一条 如甲方中途提出终止审核，若非乙方的责任，甲方仍应支付已发生的相关费用。</w:t>
      </w:r>
    </w:p>
    <w:p w14:paraId="254EDB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第十二条 乙方对甲方的管理体系审核合格并对相关不符合的纠正措施的有效性跟踪验证后，在30天内推荐认证注册，经评定合格并批准后向甲方颁发体系认证证书，乙方将在相应媒体上提供甲方认证信息的公开查询途径。同时，按照相关规定的要求将认证结果相关信息报送国家认监委。</w:t>
      </w:r>
    </w:p>
    <w:p w14:paraId="5E2FE7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第十三条 甲方如对审核过程、审核行为或审核结论有异议，可与审核组长协商解决。如不能达成一致意见，甲方可于现场审核结束后30天内向乙方、中国质量认证中心提出书面投诉或申诉。如对上述机构的决定仍有异议，可进一步向</w:t>
      </w:r>
      <w:r>
        <w:rPr>
          <w:rFonts w:hint="eastAsia" w:ascii="Times New Roman" w:hAnsi="Times New Roman" w:eastAsia="仿宋_GB2312" w:cs="仿宋_GB2312"/>
          <w:color w:val="000000"/>
          <w:kern w:val="2"/>
          <w:sz w:val="32"/>
          <w:szCs w:val="24"/>
          <w:highlight w:val="none"/>
          <w:lang w:val="en-US" w:eastAsia="zh-CN" w:bidi="ar"/>
        </w:rPr>
        <w:t>认可机构</w:t>
      </w:r>
      <w:r>
        <w:rPr>
          <w:rFonts w:hint="eastAsia" w:ascii="Times New Roman" w:hAnsi="Times New Roman" w:eastAsia="仿宋_GB2312" w:cs="仿宋_GB2312"/>
          <w:kern w:val="2"/>
          <w:sz w:val="32"/>
          <w:szCs w:val="24"/>
          <w:highlight w:val="none"/>
          <w:lang w:val="en-US" w:eastAsia="zh-CN" w:bidi="ar"/>
        </w:rPr>
        <w:t>提出复议。</w:t>
      </w:r>
    </w:p>
    <w:p w14:paraId="1D2D04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 xml:space="preserve">第十四条 </w:t>
      </w:r>
      <w:r>
        <w:rPr>
          <w:rFonts w:hint="eastAsia" w:ascii="Times New Roman" w:hAnsi="Times New Roman" w:eastAsia="仿宋_GB2312" w:cs="仿宋_GB2312"/>
          <w:kern w:val="0"/>
          <w:sz w:val="32"/>
          <w:szCs w:val="24"/>
          <w:highlight w:val="none"/>
          <w:lang w:val="zh-CN" w:eastAsia="zh-CN" w:bidi="ar"/>
        </w:rPr>
        <w:t>获得认证后发生以下情况时，甲方应于</w:t>
      </w:r>
      <w:r>
        <w:rPr>
          <w:rFonts w:hint="eastAsia" w:ascii="Times New Roman" w:hAnsi="Times New Roman" w:eastAsia="仿宋_GB2312" w:cs="仿宋_GB2312"/>
          <w:kern w:val="2"/>
          <w:sz w:val="32"/>
          <w:szCs w:val="24"/>
          <w:highlight w:val="none"/>
          <w:lang w:val="en-US" w:eastAsia="zh-CN" w:bidi="ar"/>
        </w:rPr>
        <w:t>情况发生后的二个工作日内通报乙方，乙方视情况采取相应的措施 (包括调整对甲方认证监督周期、方式及有关内容、暂停或撤销认证证书等)。若甲方未在规定时限内通报乙方，</w:t>
      </w:r>
      <w:r>
        <w:rPr>
          <w:rFonts w:hint="eastAsia" w:ascii="Times New Roman" w:hAnsi="Times New Roman" w:eastAsia="仿宋_GB2312" w:cs="仿宋_GB2312"/>
          <w:b w:val="0"/>
          <w:bCs/>
          <w:kern w:val="2"/>
          <w:sz w:val="32"/>
          <w:szCs w:val="24"/>
          <w:highlight w:val="none"/>
          <w:lang w:val="en-US" w:eastAsia="zh-CN" w:bidi="ar"/>
        </w:rPr>
        <w:t>则乙方有权先行暂停认证证书，</w:t>
      </w:r>
      <w:r>
        <w:rPr>
          <w:rFonts w:hint="eastAsia" w:ascii="Times New Roman" w:hAnsi="Times New Roman" w:eastAsia="仿宋_GB2312" w:cs="仿宋_GB2312"/>
          <w:kern w:val="2"/>
          <w:sz w:val="32"/>
          <w:szCs w:val="24"/>
          <w:highlight w:val="none"/>
          <w:lang w:val="en-US" w:eastAsia="zh-CN" w:bidi="ar"/>
        </w:rPr>
        <w:t>并将保留采取其他措施或者追究相关法律责任的权利：</w:t>
      </w:r>
    </w:p>
    <w:p w14:paraId="05DE13B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24"/>
          <w:highlight w:val="none"/>
          <w:lang w:val="zh-CN" w:eastAsia="zh-CN"/>
        </w:rPr>
      </w:pPr>
      <w:r>
        <w:rPr>
          <w:rFonts w:hint="eastAsia" w:ascii="仿宋_GB2312" w:hAnsi="仿宋_GB2312" w:eastAsia="仿宋_GB2312" w:cs="仿宋_GB2312"/>
          <w:kern w:val="0"/>
          <w:sz w:val="32"/>
          <w:szCs w:val="24"/>
          <w:highlight w:val="none"/>
          <w:lang w:val="zh-CN" w:eastAsia="zh-CN" w:bidi="ar"/>
        </w:rPr>
        <w:t>1.客户及相关方有重大投诉；</w:t>
      </w:r>
    </w:p>
    <w:p w14:paraId="710D46C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2.</w:t>
      </w:r>
      <w:r>
        <w:rPr>
          <w:rFonts w:hint="eastAsia" w:ascii="仿宋_GB2312" w:hAnsi="仿宋_GB2312" w:eastAsia="仿宋_GB2312" w:cs="仿宋_GB2312"/>
          <w:sz w:val="32"/>
          <w:szCs w:val="24"/>
          <w:highlight w:val="none"/>
          <w:lang w:val="en-US" w:eastAsia="zh-CN" w:bidi="ar"/>
        </w:rPr>
        <w:t xml:space="preserve"> </w:t>
      </w:r>
      <w:r>
        <w:rPr>
          <w:rFonts w:hint="eastAsia" w:ascii="仿宋_GB2312" w:hAnsi="仿宋_GB2312" w:eastAsia="仿宋_GB2312" w:cs="仿宋_GB2312"/>
          <w:sz w:val="32"/>
          <w:szCs w:val="24"/>
          <w:highlight w:val="none"/>
          <w:lang w:val="zh-CN" w:eastAsia="zh-CN" w:bidi="ar"/>
        </w:rPr>
        <w:t>生产、销售的产品或提供的服务被质量或市场监管部门认定不合格；</w:t>
      </w:r>
    </w:p>
    <w:p w14:paraId="48490A7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3.</w:t>
      </w:r>
      <w:r>
        <w:rPr>
          <w:rFonts w:hint="eastAsia" w:ascii="仿宋_GB2312" w:hAnsi="仿宋_GB2312" w:eastAsia="仿宋_GB2312" w:cs="仿宋_GB2312"/>
          <w:sz w:val="32"/>
          <w:szCs w:val="24"/>
          <w:highlight w:val="none"/>
          <w:lang w:val="en-US" w:eastAsia="zh-CN" w:bidi="ar"/>
        </w:rPr>
        <w:t xml:space="preserve"> </w:t>
      </w:r>
      <w:r>
        <w:rPr>
          <w:rFonts w:hint="eastAsia" w:ascii="仿宋_GB2312" w:hAnsi="仿宋_GB2312" w:eastAsia="仿宋_GB2312" w:cs="仿宋_GB2312"/>
          <w:sz w:val="32"/>
          <w:szCs w:val="24"/>
          <w:highlight w:val="none"/>
          <w:lang w:val="zh-CN" w:eastAsia="zh-CN" w:bidi="ar"/>
        </w:rPr>
        <w:t>发生产品或服务的质量/环境/安全/食品安全事故/重大信息安全事件</w:t>
      </w:r>
      <w:r>
        <w:rPr>
          <w:rFonts w:hint="eastAsia" w:ascii="仿宋_GB2312" w:hAnsi="仿宋_GB2312" w:eastAsia="仿宋_GB2312" w:cs="仿宋_GB2312"/>
          <w:sz w:val="32"/>
          <w:szCs w:val="24"/>
          <w:highlight w:val="none"/>
          <w:lang w:val="en-US" w:eastAsia="zh-CN" w:bidi="ar"/>
        </w:rPr>
        <w:t>/与能源有关的重大事故，以及发生导致监管机构介入的事件或违法情况（如受到行政处罚）</w:t>
      </w:r>
      <w:r>
        <w:rPr>
          <w:rFonts w:hint="eastAsia" w:ascii="仿宋_GB2312" w:hAnsi="仿宋_GB2312" w:eastAsia="仿宋_GB2312" w:cs="仿宋_GB2312"/>
          <w:sz w:val="32"/>
          <w:szCs w:val="24"/>
          <w:highlight w:val="none"/>
          <w:lang w:val="zh-CN" w:eastAsia="zh-CN" w:bidi="ar"/>
        </w:rPr>
        <w:t>；</w:t>
      </w:r>
    </w:p>
    <w:p w14:paraId="283306A3">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4.</w:t>
      </w:r>
      <w:r>
        <w:rPr>
          <w:rFonts w:hint="eastAsia" w:ascii="仿宋_GB2312" w:hAnsi="仿宋_GB2312" w:eastAsia="仿宋_GB2312" w:cs="仿宋_GB2312"/>
          <w:sz w:val="32"/>
          <w:szCs w:val="24"/>
          <w:highlight w:val="none"/>
          <w:lang w:val="en-US" w:eastAsia="zh-CN" w:bidi="ar"/>
        </w:rPr>
        <w:t xml:space="preserve"> </w:t>
      </w:r>
      <w:r>
        <w:rPr>
          <w:rFonts w:hint="eastAsia" w:ascii="仿宋_GB2312" w:hAnsi="仿宋_GB2312" w:eastAsia="仿宋_GB2312" w:cs="仿宋_GB2312"/>
          <w:sz w:val="32"/>
          <w:szCs w:val="24"/>
          <w:highlight w:val="none"/>
          <w:lang w:val="zh-CN" w:eastAsia="zh-CN" w:bidi="ar"/>
        </w:rPr>
        <w:t>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w:t>
      </w:r>
      <w:r>
        <w:rPr>
          <w:rFonts w:hint="eastAsia" w:ascii="仿宋_GB2312" w:hAnsi="仿宋_GB2312" w:eastAsia="仿宋_GB2312" w:cs="仿宋_GB2312"/>
          <w:sz w:val="32"/>
          <w:szCs w:val="24"/>
          <w:highlight w:val="none"/>
          <w:lang w:val="en-US" w:eastAsia="zh-CN" w:bidi="ar"/>
        </w:rPr>
        <w:t>（含能源管理体系边界）</w:t>
      </w:r>
      <w:r>
        <w:rPr>
          <w:rFonts w:hint="eastAsia" w:ascii="仿宋_GB2312" w:hAnsi="仿宋_GB2312" w:eastAsia="仿宋_GB2312" w:cs="仿宋_GB2312"/>
          <w:sz w:val="32"/>
          <w:szCs w:val="24"/>
          <w:highlight w:val="none"/>
          <w:lang w:val="zh-CN" w:eastAsia="zh-CN" w:bidi="ar"/>
        </w:rPr>
        <w:t>变更；管理体系和重要过程的重大变更等；</w:t>
      </w:r>
    </w:p>
    <w:p w14:paraId="51BE6E6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5.产品召回事件及处理情况；</w:t>
      </w:r>
    </w:p>
    <w:p w14:paraId="60467F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6.其他影响食品安全的事件；（适用于食品链上的行业）</w:t>
      </w:r>
    </w:p>
    <w:p w14:paraId="2D00014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7.适用的法律法规要求的变更信息；</w:t>
      </w:r>
    </w:p>
    <w:p w14:paraId="565656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zh-CN" w:eastAsia="zh-CN" w:bidi="ar"/>
        </w:rPr>
        <w:t>8.在乙方要求时，向乙方提供所有甲方收到有关投诉的记录和依据体系标准或其他规范性文件的要求所采取的纠正措施的记录；</w:t>
      </w:r>
    </w:p>
    <w:p w14:paraId="2401147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zh-CN" w:eastAsia="zh-CN" w:bidi="ar"/>
        </w:rPr>
        <w:t>9.出现影响管理体系运行的其他重要情况。</w:t>
      </w:r>
    </w:p>
    <w:p w14:paraId="3BC728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第十五条 当甲方提出变更证书内容时，乙方将于接到变更申请的一个月内通知甲方应采取的必要措施，并对甲方进行换证审核。同时，根据证书变更情况，双方可协商另行签订相关协议。</w:t>
      </w:r>
    </w:p>
    <w:p w14:paraId="1C158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第十六条 如果甲方在认证证书有效期内发生下列情况之一者，乙方将按规定</w:t>
      </w:r>
      <w:r>
        <w:rPr>
          <w:rFonts w:hint="eastAsia" w:ascii="Times New Roman" w:hAnsi="Times New Roman" w:eastAsia="仿宋_GB2312" w:cs="仿宋_GB2312"/>
          <w:b w:val="0"/>
          <w:bCs w:val="0"/>
          <w:kern w:val="2"/>
          <w:sz w:val="32"/>
          <w:szCs w:val="24"/>
          <w:highlight w:val="none"/>
          <w:lang w:val="en-US" w:eastAsia="zh-CN" w:bidi="ar"/>
        </w:rPr>
        <w:t>暂停认证证书的使用，并要求其限期（最长期限为不超过6个月）纠正，纠正经验证有效后乙方将通知甲方允许继续使用认证证书。同时，甲方在证书暂停期内，应停止相关认证资质的宣传及证书和标志的使用：</w:t>
      </w:r>
    </w:p>
    <w:p w14:paraId="2982A2C2">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管理体系持续地或严重地不满足认证要求，包括对管理体系运行有效性要求。</w:t>
      </w:r>
    </w:p>
    <w:p w14:paraId="053E462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针</w:t>
      </w:r>
      <w:r>
        <w:rPr>
          <w:rFonts w:hint="eastAsia" w:ascii="Times New Roman" w:hAnsi="Times New Roman" w:eastAsia="仿宋_GB2312" w:cs="仿宋_GB2312"/>
          <w:sz w:val="32"/>
          <w:szCs w:val="24"/>
          <w:highlight w:val="none"/>
          <w:lang w:val="zh-CN" w:eastAsia="zh-CN" w:bidi="ar"/>
        </w:rPr>
        <w:t>对监督审核中发现的不符合项（严重不符合项），客户未在商定的时间内采取相应纠正和纠正措施；或在商定的</w:t>
      </w:r>
      <w:r>
        <w:rPr>
          <w:rFonts w:hint="eastAsia" w:ascii="Times New Roman" w:hAnsi="Times New Roman" w:eastAsia="仿宋_GB2312" w:cs="仿宋_GB2312"/>
          <w:sz w:val="32"/>
          <w:szCs w:val="24"/>
          <w:highlight w:val="none"/>
          <w:lang w:val="en-US" w:eastAsia="zh-CN" w:bidi="ar"/>
        </w:rPr>
        <w:t>时间内所采取的纠正、纠正措施未被审核组接受（或未被证实有效）。</w:t>
      </w:r>
    </w:p>
    <w:p w14:paraId="22A61B7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3.获证客</w:t>
      </w:r>
      <w:r>
        <w:rPr>
          <w:rFonts w:hint="eastAsia" w:ascii="Times New Roman" w:hAnsi="Times New Roman" w:eastAsia="仿宋_GB2312" w:cs="仿宋_GB2312"/>
          <w:sz w:val="32"/>
          <w:szCs w:val="24"/>
          <w:highlight w:val="none"/>
          <w:lang w:val="en-US" w:eastAsia="zh-CN" w:bidi="ar"/>
        </w:rPr>
        <w:t>户第一次监督审核未在初次认证决定后的12个月内完成（且无证据表明获证组织暂不具备实施监督审核的条件），或</w:t>
      </w:r>
      <w:r>
        <w:rPr>
          <w:rFonts w:hint="eastAsia" w:ascii="Times New Roman" w:hAnsi="Times New Roman" w:eastAsia="仿宋_GB2312" w:cs="仿宋_GB2312"/>
          <w:sz w:val="32"/>
          <w:szCs w:val="24"/>
          <w:highlight w:val="none"/>
          <w:lang w:val="zh-CN" w:eastAsia="zh-CN" w:bidi="ar"/>
        </w:rPr>
        <w:t>其他的监督审核不能在每个日历年进行一次，或两次审核的时机间隔超过</w:t>
      </w:r>
      <w:r>
        <w:rPr>
          <w:rFonts w:hint="eastAsia" w:ascii="Times New Roman" w:hAnsi="Times New Roman" w:eastAsia="仿宋_GB2312" w:cs="仿宋_GB2312"/>
          <w:sz w:val="32"/>
          <w:szCs w:val="24"/>
          <w:highlight w:val="none"/>
          <w:lang w:val="en-US" w:eastAsia="zh-CN" w:bidi="ar"/>
        </w:rPr>
        <w:t>15个月</w:t>
      </w:r>
      <w:r>
        <w:rPr>
          <w:rFonts w:hint="eastAsia" w:ascii="Times New Roman" w:hAnsi="Times New Roman" w:eastAsia="仿宋_GB2312" w:cs="仿宋_GB2312"/>
          <w:sz w:val="32"/>
          <w:szCs w:val="24"/>
          <w:highlight w:val="none"/>
          <w:lang w:val="zh-CN" w:eastAsia="zh-CN" w:bidi="ar"/>
        </w:rPr>
        <w:t>，或不能按时接受再认证审核</w:t>
      </w:r>
      <w:r>
        <w:rPr>
          <w:rFonts w:hint="eastAsia" w:ascii="Times New Roman" w:hAnsi="Times New Roman" w:eastAsia="仿宋_GB2312" w:cs="仿宋_GB2312"/>
          <w:sz w:val="32"/>
          <w:szCs w:val="24"/>
          <w:highlight w:val="none"/>
          <w:lang w:val="en-US" w:eastAsia="zh-CN" w:bidi="ar"/>
        </w:rPr>
        <w:t>。</w:t>
      </w:r>
    </w:p>
    <w:p w14:paraId="0E6FE9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4.未按</w:t>
      </w:r>
      <w:r>
        <w:rPr>
          <w:rFonts w:hint="eastAsia" w:ascii="Times New Roman" w:hAnsi="Times New Roman" w:eastAsia="仿宋_GB2312" w:cs="仿宋_GB2312"/>
          <w:sz w:val="32"/>
          <w:szCs w:val="24"/>
          <w:highlight w:val="none"/>
          <w:lang w:val="en-US" w:eastAsia="zh-CN" w:bidi="ar"/>
        </w:rPr>
        <w:t>CQC《</w:t>
      </w:r>
      <w:r>
        <w:rPr>
          <w:rFonts w:hint="eastAsia" w:ascii="Times New Roman" w:hAnsi="Times New Roman" w:eastAsia="仿宋_GB2312" w:cs="仿宋_GB2312"/>
          <w:sz w:val="32"/>
          <w:szCs w:val="24"/>
          <w:highlight w:val="none"/>
          <w:lang w:val="en-US" w:eastAsia="zh-CN" w:bidi="ar"/>
        </w:rPr>
        <w:fldChar w:fldCharType="begin"/>
      </w:r>
      <w:r>
        <w:rPr>
          <w:rFonts w:hint="eastAsia" w:ascii="Times New Roman" w:hAnsi="Times New Roman" w:eastAsia="仿宋_GB2312" w:cs="仿宋_GB2312"/>
          <w:sz w:val="32"/>
          <w:szCs w:val="24"/>
          <w:highlight w:val="none"/>
          <w:lang w:val="en-US" w:eastAsia="zh-CN" w:bidi="ar"/>
        </w:rPr>
        <w:instrText xml:space="preserve"> HYPERLINK "http://www.cqccms.com.cn/edms/servlet/LoadDocument?rev=10969&amp;doc=7200" </w:instrText>
      </w:r>
      <w:r>
        <w:rPr>
          <w:rFonts w:hint="eastAsia" w:ascii="Times New Roman" w:hAnsi="Times New Roman" w:eastAsia="仿宋_GB2312" w:cs="仿宋_GB2312"/>
          <w:sz w:val="32"/>
          <w:szCs w:val="24"/>
          <w:highlight w:val="none"/>
          <w:lang w:val="en-US" w:eastAsia="zh-CN" w:bidi="ar"/>
        </w:rPr>
        <w:fldChar w:fldCharType="separate"/>
      </w:r>
      <w:r>
        <w:rPr>
          <w:rFonts w:hint="eastAsia" w:ascii="Times New Roman" w:hAnsi="Times New Roman" w:eastAsia="仿宋_GB2312" w:cs="仿宋_GB2312"/>
          <w:sz w:val="32"/>
          <w:szCs w:val="24"/>
          <w:highlight w:val="none"/>
          <w:lang w:val="en-US" w:eastAsia="zh-CN" w:bidi="ar"/>
        </w:rPr>
        <w:t>证书和标志使用管理</w:t>
      </w:r>
      <w:r>
        <w:rPr>
          <w:rFonts w:hint="eastAsia" w:ascii="Times New Roman" w:hAnsi="Times New Roman" w:eastAsia="仿宋_GB2312" w:cs="仿宋_GB2312"/>
          <w:sz w:val="32"/>
          <w:szCs w:val="24"/>
          <w:highlight w:val="none"/>
          <w:lang w:val="en-US" w:eastAsia="zh-CN" w:bidi="ar"/>
        </w:rPr>
        <w:fldChar w:fldCharType="end"/>
      </w:r>
      <w:r>
        <w:rPr>
          <w:rFonts w:hint="eastAsia" w:ascii="Times New Roman" w:hAnsi="Times New Roman" w:eastAsia="仿宋_GB2312" w:cs="仿宋_GB2312"/>
          <w:sz w:val="32"/>
          <w:szCs w:val="24"/>
          <w:highlight w:val="none"/>
          <w:lang w:val="en-US" w:eastAsia="zh-CN" w:bidi="ar"/>
        </w:rPr>
        <w:t>规定》（具体文件请登录官网www.cqc.com.cn，在“体系认证”公开文件目录下查询）中的要求，使用中国质量认证中心签发的管理体系证书和认证标志；</w:t>
      </w:r>
    </w:p>
    <w:p w14:paraId="62B0556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获证</w:t>
      </w:r>
      <w:r>
        <w:rPr>
          <w:rFonts w:hint="eastAsia" w:ascii="Times New Roman" w:hAnsi="Times New Roman" w:eastAsia="仿宋_GB2312" w:cs="仿宋_GB2312"/>
          <w:sz w:val="32"/>
          <w:szCs w:val="24"/>
          <w:highlight w:val="none"/>
          <w:lang w:val="zh-CN" w:eastAsia="zh-CN" w:bidi="ar"/>
        </w:rPr>
        <w:t>客户及其</w:t>
      </w:r>
      <w:r>
        <w:rPr>
          <w:rFonts w:hint="eastAsia" w:ascii="Times New Roman" w:hAnsi="Times New Roman" w:eastAsia="仿宋_GB2312" w:cs="仿宋_GB2312"/>
          <w:sz w:val="32"/>
          <w:szCs w:val="24"/>
          <w:highlight w:val="none"/>
          <w:lang w:val="en-US" w:eastAsia="zh-CN" w:bidi="ar"/>
        </w:rPr>
        <w:t>管理体系运行的内、外环境发生重大变更已不满足原认证覆盖范围要求，且未及时通知CQC妥善处理；</w:t>
      </w:r>
    </w:p>
    <w:p w14:paraId="2E461C0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6.</w:t>
      </w:r>
      <w:r>
        <w:rPr>
          <w:rFonts w:hint="eastAsia" w:ascii="Times New Roman" w:hAnsi="Times New Roman" w:eastAsia="仿宋_GB2312" w:cs="仿宋_GB2312"/>
          <w:sz w:val="32"/>
          <w:szCs w:val="24"/>
          <w:highlight w:val="none"/>
          <w:lang w:val="en-US" w:eastAsia="zh-CN" w:bidi="ar"/>
        </w:rPr>
        <w:t>发生影响产品质量/环境绩效/职业健康安全绩效/食品安全/能源绩效的重大事故，或国家行业监察发现重大问题，或发生导致监管机构介入的严重事件或违法情况；</w:t>
      </w:r>
    </w:p>
    <w:p w14:paraId="2306E2C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7.被有关执法监管部门责令停业整顿或在全国企业信用信息公示系统中被列入“严重违法失信企业名单”；</w:t>
      </w:r>
    </w:p>
    <w:p w14:paraId="277AA75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8.被地方认证监管部门发现体系运行存在问题；</w:t>
      </w:r>
    </w:p>
    <w:p w14:paraId="38C9A1F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9.持有的行政许可证明、资质证书、强制性认证证书等过期失效，重新提交的申请已被受理但尚未换证的情况；</w:t>
      </w:r>
    </w:p>
    <w:p w14:paraId="2BC4112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10.有对甲方的其投诉或任何其它信息证实表明获证客户不再符合中心的相关规定要求；</w:t>
      </w:r>
    </w:p>
    <w:p w14:paraId="35B2EA8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11.未按本合同约定及时交纳有关认证费用；</w:t>
      </w:r>
    </w:p>
    <w:p w14:paraId="597CBED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12.不承担、不履行认证合同约定的责任和义务；</w:t>
      </w:r>
    </w:p>
    <w:p w14:paraId="5BC803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13.获证</w:t>
      </w:r>
      <w:r>
        <w:rPr>
          <w:rFonts w:hint="eastAsia" w:ascii="Times New Roman" w:hAnsi="Times New Roman" w:eastAsia="仿宋_GB2312" w:cs="仿宋_GB2312"/>
          <w:sz w:val="32"/>
          <w:szCs w:val="24"/>
          <w:highlight w:val="none"/>
          <w:lang w:val="en-US" w:eastAsia="zh-CN" w:bidi="ar"/>
        </w:rPr>
        <w:t>客户主动请求暂停；</w:t>
      </w:r>
    </w:p>
    <w:p w14:paraId="4BFA1EC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14.</w:t>
      </w:r>
      <w:r>
        <w:rPr>
          <w:rFonts w:hint="eastAsia" w:ascii="Times New Roman" w:hAnsi="Times New Roman" w:eastAsia="仿宋_GB2312" w:cs="仿宋_GB2312"/>
          <w:sz w:val="32"/>
          <w:szCs w:val="24"/>
          <w:highlight w:val="none"/>
          <w:lang w:val="en-US" w:eastAsia="zh-CN" w:bidi="ar"/>
        </w:rPr>
        <w:t xml:space="preserve"> HACCP和乳制品GMP获证客户无正当理由连续两次不接受不通知现场审核的；</w:t>
      </w:r>
    </w:p>
    <w:p w14:paraId="30607C6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15.其他应当暂停认证证书的情况。</w:t>
      </w:r>
    </w:p>
    <w:p w14:paraId="6D39C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第十七条 若甲方</w:t>
      </w:r>
      <w:r>
        <w:rPr>
          <w:rFonts w:hint="eastAsia" w:ascii="仿宋_GB2312" w:hAnsi="仿宋_GB2312" w:eastAsia="仿宋_GB2312" w:cs="仿宋_GB2312"/>
          <w:kern w:val="0"/>
          <w:sz w:val="32"/>
          <w:szCs w:val="24"/>
          <w:highlight w:val="none"/>
          <w:lang w:val="en-US" w:eastAsia="zh-CN" w:bidi="ar"/>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14:paraId="2F9D3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第十八条 甲方出现下列情况之一者，乙方将</w:t>
      </w:r>
      <w:r>
        <w:rPr>
          <w:rFonts w:hint="eastAsia" w:ascii="仿宋_GB2312" w:hAnsi="仿宋_GB2312" w:eastAsia="仿宋_GB2312" w:cs="仿宋_GB2312"/>
          <w:b w:val="0"/>
          <w:bCs w:val="0"/>
          <w:kern w:val="2"/>
          <w:sz w:val="32"/>
          <w:szCs w:val="24"/>
          <w:highlight w:val="none"/>
          <w:lang w:val="en-US" w:eastAsia="zh-CN" w:bidi="ar"/>
        </w:rPr>
        <w:t>撤销其认证/注册资格，甲方应将原证书及副本交回乙方：</w:t>
      </w:r>
    </w:p>
    <w:p w14:paraId="3E9B780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审核时发现甲方没有运行管理体系或者已不具备运行条件，结论为否定意见；</w:t>
      </w:r>
    </w:p>
    <w:p w14:paraId="52EB2CA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严重</w:t>
      </w:r>
      <w:r>
        <w:rPr>
          <w:rFonts w:hint="eastAsia" w:ascii="Times New Roman" w:hAnsi="Times New Roman" w:eastAsia="仿宋_GB2312" w:cs="仿宋_GB2312"/>
          <w:sz w:val="32"/>
          <w:szCs w:val="24"/>
          <w:highlight w:val="none"/>
          <w:lang w:val="zh-CN" w:eastAsia="zh-CN" w:bidi="ar"/>
        </w:rPr>
        <w:t>违反国家</w:t>
      </w:r>
      <w:r>
        <w:rPr>
          <w:rFonts w:hint="eastAsia" w:ascii="Times New Roman" w:hAnsi="Times New Roman" w:eastAsia="仿宋_GB2312" w:cs="仿宋_GB2312"/>
          <w:sz w:val="32"/>
          <w:szCs w:val="24"/>
          <w:highlight w:val="none"/>
          <w:lang w:val="en-US" w:eastAsia="zh-CN" w:bidi="ar"/>
        </w:rPr>
        <w:t>法律</w:t>
      </w:r>
      <w:r>
        <w:rPr>
          <w:rFonts w:hint="eastAsia" w:ascii="Times New Roman" w:hAnsi="Times New Roman" w:eastAsia="仿宋_GB2312" w:cs="仿宋_GB2312"/>
          <w:sz w:val="32"/>
          <w:szCs w:val="24"/>
          <w:highlight w:val="none"/>
          <w:lang w:val="zh-CN" w:eastAsia="zh-CN" w:bidi="ar"/>
        </w:rPr>
        <w:t>法规或CQC</w:t>
      </w:r>
      <w:r>
        <w:rPr>
          <w:rFonts w:hint="eastAsia" w:ascii="Times New Roman" w:hAnsi="Times New Roman" w:eastAsia="仿宋_GB2312" w:cs="仿宋_GB2312"/>
          <w:sz w:val="32"/>
          <w:szCs w:val="24"/>
          <w:highlight w:val="none"/>
          <w:lang w:val="en-US" w:eastAsia="zh-CN" w:bidi="ar"/>
        </w:rPr>
        <w:t>的有关</w:t>
      </w:r>
      <w:r>
        <w:rPr>
          <w:rFonts w:hint="eastAsia" w:ascii="Times New Roman" w:hAnsi="Times New Roman" w:eastAsia="仿宋_GB2312" w:cs="仿宋_GB2312"/>
          <w:sz w:val="32"/>
          <w:szCs w:val="24"/>
          <w:highlight w:val="none"/>
          <w:lang w:val="zh-CN" w:eastAsia="zh-CN" w:bidi="ar"/>
        </w:rPr>
        <w:t>规定；</w:t>
      </w:r>
    </w:p>
    <w:p w14:paraId="60A5937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3.发生影响产品质量/环境绩效/职业健康安全绩效/食品安全/能源绩效的重大事故</w:t>
      </w:r>
      <w:r>
        <w:rPr>
          <w:rFonts w:hint="eastAsia" w:ascii="仿宋_GB2312" w:hAnsi="仿宋_GB2312" w:eastAsia="仿宋_GB2312" w:cs="仿宋_GB2312"/>
          <w:sz w:val="32"/>
          <w:szCs w:val="24"/>
          <w:highlight w:val="none"/>
          <w:lang w:val="zh-CN" w:eastAsia="zh-CN" w:bidi="ar"/>
        </w:rPr>
        <w:t>，造成严重不良社会影响的，经调查（审核）造成事故的原因是因为获证客户</w:t>
      </w:r>
      <w:r>
        <w:rPr>
          <w:rFonts w:hint="eastAsia" w:ascii="仿宋_GB2312" w:hAnsi="仿宋_GB2312" w:eastAsia="仿宋_GB2312" w:cs="仿宋_GB2312"/>
          <w:sz w:val="32"/>
          <w:szCs w:val="24"/>
          <w:highlight w:val="none"/>
          <w:lang w:val="en-US" w:eastAsia="zh-CN" w:bidi="ar"/>
        </w:rPr>
        <w:t>管理</w:t>
      </w:r>
      <w:r>
        <w:rPr>
          <w:rFonts w:hint="eastAsia" w:ascii="仿宋_GB2312" w:hAnsi="仿宋_GB2312" w:eastAsia="仿宋_GB2312" w:cs="仿宋_GB2312"/>
          <w:sz w:val="32"/>
          <w:szCs w:val="24"/>
          <w:highlight w:val="none"/>
          <w:lang w:val="zh-CN" w:eastAsia="zh-CN" w:bidi="ar"/>
        </w:rPr>
        <w:t>体系存在严重缺陷或组织未能在暂停期内就重大事故的原因进行调查并采取有效的纠正措施；</w:t>
      </w:r>
    </w:p>
    <w:p w14:paraId="67D97C7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w:t>
      </w:r>
      <w:r>
        <w:rPr>
          <w:rFonts w:hint="eastAsia" w:ascii="仿宋_GB2312" w:hAnsi="仿宋_GB2312" w:eastAsia="仿宋_GB2312" w:cs="仿宋_GB2312"/>
          <w:sz w:val="32"/>
          <w:szCs w:val="24"/>
          <w:highlight w:val="none"/>
          <w:lang w:val="zh-CN" w:eastAsia="zh-CN" w:bidi="ar"/>
        </w:rPr>
        <w:t>被国家市场监督管理总局列入质量信用严重失信企业名单；</w:t>
      </w:r>
    </w:p>
    <w:p w14:paraId="00E4EB62">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拒绝接受国家产品质量监督抽查的；</w:t>
      </w:r>
    </w:p>
    <w:p w14:paraId="14D2BBB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6.</w:t>
      </w:r>
      <w:r>
        <w:rPr>
          <w:rFonts w:hint="eastAsia" w:ascii="仿宋_GB2312" w:hAnsi="仿宋_GB2312" w:eastAsia="仿宋_GB2312" w:cs="仿宋_GB2312"/>
          <w:sz w:val="32"/>
          <w:szCs w:val="24"/>
          <w:highlight w:val="none"/>
          <w:lang w:val="zh-CN" w:eastAsia="zh-CN" w:bidi="ar"/>
        </w:rPr>
        <w:t>故意停运污染治理设施、长期超标排放，造成恶劣影响的。证明材料须附具体说明；</w:t>
      </w:r>
    </w:p>
    <w:p w14:paraId="7769AA3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w:t>
      </w:r>
      <w:r>
        <w:rPr>
          <w:rFonts w:hint="eastAsia" w:ascii="仿宋_GB2312" w:hAnsi="仿宋_GB2312" w:eastAsia="仿宋_GB2312" w:cs="仿宋_GB2312"/>
          <w:sz w:val="32"/>
          <w:szCs w:val="24"/>
          <w:highlight w:val="none"/>
          <w:lang w:val="zh-CN" w:eastAsia="zh-CN" w:bidi="ar"/>
        </w:rPr>
        <w:t>拒绝配合认证监管部门实施监督检查，或者对有关事项的询问和调查提供了虚假材料或信息；</w:t>
      </w:r>
    </w:p>
    <w:p w14:paraId="529DD79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8.</w:t>
      </w:r>
      <w:r>
        <w:rPr>
          <w:rFonts w:hint="eastAsia" w:ascii="仿宋_GB2312" w:hAnsi="仿宋_GB2312" w:eastAsia="仿宋_GB2312" w:cs="仿宋_GB2312"/>
          <w:sz w:val="32"/>
          <w:szCs w:val="24"/>
          <w:highlight w:val="none"/>
          <w:lang w:val="zh-CN" w:eastAsia="zh-CN" w:bidi="ar"/>
        </w:rPr>
        <w:t>获证组织法律地位证明文件被注销或撤销，或者持有的行政许可证明、资质证书、强制性认证证书等已经过期失效但申请未获批准；</w:t>
      </w:r>
    </w:p>
    <w:p w14:paraId="6903625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9.甲方</w:t>
      </w:r>
      <w:r>
        <w:rPr>
          <w:rFonts w:hint="eastAsia" w:ascii="仿宋_GB2312" w:hAnsi="仿宋_GB2312" w:eastAsia="仿宋_GB2312" w:cs="仿宋_GB2312"/>
          <w:sz w:val="32"/>
          <w:szCs w:val="24"/>
          <w:highlight w:val="none"/>
          <w:lang w:val="zh-CN" w:eastAsia="zh-CN" w:bidi="ar"/>
        </w:rPr>
        <w:t>在暂停</w:t>
      </w:r>
      <w:r>
        <w:rPr>
          <w:rFonts w:hint="eastAsia" w:ascii="仿宋_GB2312" w:hAnsi="仿宋_GB2312" w:eastAsia="仿宋_GB2312" w:cs="仿宋_GB2312"/>
          <w:sz w:val="32"/>
          <w:szCs w:val="24"/>
          <w:highlight w:val="none"/>
          <w:lang w:val="en-US" w:eastAsia="zh-CN" w:bidi="ar"/>
        </w:rPr>
        <w:t>认证证书</w:t>
      </w:r>
      <w:r>
        <w:rPr>
          <w:rFonts w:hint="eastAsia" w:ascii="仿宋_GB2312" w:hAnsi="仿宋_GB2312" w:eastAsia="仿宋_GB2312" w:cs="仿宋_GB2312"/>
          <w:sz w:val="32"/>
          <w:szCs w:val="24"/>
          <w:highlight w:val="none"/>
          <w:lang w:val="zh-CN" w:eastAsia="zh-CN" w:bidi="ar"/>
        </w:rPr>
        <w:t>的限期内未能对</w:t>
      </w:r>
      <w:r>
        <w:rPr>
          <w:rFonts w:hint="eastAsia" w:ascii="仿宋_GB2312" w:hAnsi="仿宋_GB2312" w:eastAsia="仿宋_GB2312" w:cs="仿宋_GB2312"/>
          <w:sz w:val="32"/>
          <w:szCs w:val="24"/>
          <w:highlight w:val="none"/>
          <w:lang w:val="en-US" w:eastAsia="zh-CN" w:bidi="ar"/>
        </w:rPr>
        <w:t>导致暂停的</w:t>
      </w:r>
      <w:r>
        <w:rPr>
          <w:rFonts w:hint="eastAsia" w:ascii="仿宋_GB2312" w:hAnsi="仿宋_GB2312" w:eastAsia="仿宋_GB2312" w:cs="仿宋_GB2312"/>
          <w:sz w:val="32"/>
          <w:szCs w:val="24"/>
          <w:highlight w:val="none"/>
          <w:lang w:val="zh-CN" w:eastAsia="zh-CN" w:bidi="ar"/>
        </w:rPr>
        <w:t>问题实施有效地纠正加以解决；</w:t>
      </w:r>
    </w:p>
    <w:p w14:paraId="733E31D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10.</w:t>
      </w:r>
      <w:r>
        <w:rPr>
          <w:rFonts w:hint="eastAsia" w:ascii="仿宋_GB2312" w:hAnsi="仿宋_GB2312" w:eastAsia="仿宋_GB2312" w:cs="仿宋_GB2312"/>
          <w:sz w:val="32"/>
          <w:szCs w:val="24"/>
          <w:highlight w:val="none"/>
          <w:lang w:val="zh-CN" w:eastAsia="zh-CN" w:bidi="ar"/>
        </w:rPr>
        <w:t>暂停认证证书的时间已满六个月期限；</w:t>
      </w:r>
    </w:p>
    <w:p w14:paraId="1E101D6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11.</w:t>
      </w:r>
      <w:r>
        <w:rPr>
          <w:rFonts w:hint="eastAsia" w:ascii="仿宋_GB2312" w:hAnsi="仿宋_GB2312" w:eastAsia="仿宋_GB2312" w:cs="仿宋_GB2312"/>
          <w:sz w:val="32"/>
          <w:szCs w:val="24"/>
          <w:highlight w:val="none"/>
          <w:lang w:val="zh-CN" w:eastAsia="zh-CN" w:bidi="ar"/>
        </w:rPr>
        <w:t>未按规定及时交纳有关认证费用；</w:t>
      </w:r>
    </w:p>
    <w:p w14:paraId="495744C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12.</w:t>
      </w:r>
      <w:r>
        <w:rPr>
          <w:rFonts w:hint="eastAsia" w:ascii="仿宋_GB2312" w:hAnsi="仿宋_GB2312" w:eastAsia="仿宋_GB2312" w:cs="仿宋_GB2312"/>
          <w:sz w:val="32"/>
          <w:szCs w:val="24"/>
          <w:highlight w:val="none"/>
          <w:lang w:val="zh-CN" w:eastAsia="zh-CN" w:bidi="ar"/>
        </w:rPr>
        <w:t>未按相</w:t>
      </w:r>
      <w:r>
        <w:rPr>
          <w:rFonts w:hint="eastAsia" w:ascii="Times New Roman" w:hAnsi="Times New Roman" w:eastAsia="仿宋_GB2312" w:cs="仿宋_GB2312"/>
          <w:sz w:val="32"/>
          <w:szCs w:val="24"/>
          <w:highlight w:val="none"/>
          <w:lang w:val="zh-CN" w:eastAsia="zh-CN" w:bidi="ar"/>
        </w:rPr>
        <w:t>关规定正确引用和宣传获得的认证信息，造成严重影响或后果；或者乙方已要求其纠正但超过2个月仍未纠正的；</w:t>
      </w:r>
    </w:p>
    <w:p w14:paraId="4055B6C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13.</w:t>
      </w:r>
      <w:r>
        <w:rPr>
          <w:rFonts w:hint="eastAsia" w:ascii="仿宋_GB2312" w:hAnsi="仿宋_GB2312" w:eastAsia="仿宋_GB2312" w:cs="仿宋_GB2312"/>
          <w:sz w:val="32"/>
          <w:szCs w:val="24"/>
          <w:highlight w:val="none"/>
          <w:lang w:val="zh-CN" w:eastAsia="zh-CN" w:bidi="ar"/>
        </w:rPr>
        <w:t>其他应当撤销认证证书的情况。</w:t>
      </w:r>
    </w:p>
    <w:p w14:paraId="43C5468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14.</w:t>
      </w:r>
      <w:r>
        <w:rPr>
          <w:rFonts w:hint="eastAsia" w:ascii="仿宋_GB2312" w:hAnsi="仿宋_GB2312" w:eastAsia="仿宋_GB2312" w:cs="仿宋_GB2312"/>
          <w:sz w:val="32"/>
          <w:szCs w:val="24"/>
          <w:highlight w:val="none"/>
          <w:lang w:val="zh-CN" w:eastAsia="zh-CN" w:bidi="ar"/>
        </w:rPr>
        <w:t>因政</w:t>
      </w:r>
      <w:r>
        <w:rPr>
          <w:rFonts w:hint="eastAsia" w:ascii="Times New Roman" w:hAnsi="Times New Roman" w:eastAsia="仿宋_GB2312" w:cs="仿宋_GB2312"/>
          <w:sz w:val="32"/>
          <w:szCs w:val="24"/>
          <w:highlight w:val="none"/>
          <w:lang w:val="zh-CN" w:eastAsia="zh-CN" w:bidi="ar"/>
        </w:rPr>
        <w:t>策或法规调整，证书所属认证领域不再适宜认证活动的。</w:t>
      </w:r>
    </w:p>
    <w:p w14:paraId="464B44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pacing w:val="-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 xml:space="preserve">第十九条 </w:t>
      </w:r>
      <w:r>
        <w:rPr>
          <w:rFonts w:hint="eastAsia" w:ascii="Times New Roman" w:hAnsi="Times New Roman" w:eastAsia="仿宋_GB2312" w:cs="仿宋_GB2312"/>
          <w:spacing w:val="-2"/>
          <w:kern w:val="2"/>
          <w:sz w:val="32"/>
          <w:szCs w:val="24"/>
          <w:highlight w:val="none"/>
          <w:lang w:val="en-US" w:eastAsia="zh-CN" w:bidi="ar"/>
        </w:rPr>
        <w:t>乙方未经甲方同意，不得将甲方经营、生产状况及技术信息以任何方式泄漏给第三方，但下列情况除外：</w:t>
      </w:r>
    </w:p>
    <w:p w14:paraId="1AE59F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32"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spacing w:val="-2"/>
          <w:kern w:val="2"/>
          <w:sz w:val="32"/>
          <w:szCs w:val="24"/>
          <w:highlight w:val="none"/>
          <w:lang w:val="en-US" w:eastAsia="zh-CN" w:bidi="ar"/>
        </w:rPr>
        <w:t>（1）</w:t>
      </w:r>
      <w:r>
        <w:rPr>
          <w:rFonts w:hint="eastAsia" w:ascii="Times New Roman" w:hAnsi="Times New Roman" w:eastAsia="仿宋_GB2312" w:cs="仿宋_GB2312"/>
          <w:kern w:val="2"/>
          <w:sz w:val="32"/>
          <w:szCs w:val="24"/>
          <w:highlight w:val="none"/>
          <w:lang w:val="en-US" w:eastAsia="zh-CN" w:bidi="ar"/>
        </w:rPr>
        <w:t>甲方已公开</w:t>
      </w:r>
      <w:r>
        <w:rPr>
          <w:rFonts w:hint="eastAsia" w:ascii="Times New Roman" w:hAnsi="Times New Roman" w:eastAsia="仿宋_GB2312" w:cs="仿宋_GB2312"/>
          <w:bCs/>
          <w:kern w:val="2"/>
          <w:sz w:val="32"/>
          <w:szCs w:val="24"/>
          <w:highlight w:val="none"/>
          <w:lang w:val="en-US" w:eastAsia="zh-CN" w:bidi="ar"/>
        </w:rPr>
        <w:t>或者通过公开途径可以获知</w:t>
      </w:r>
      <w:r>
        <w:rPr>
          <w:rFonts w:hint="eastAsia" w:ascii="Times New Roman" w:hAnsi="Times New Roman" w:eastAsia="仿宋_GB2312" w:cs="仿宋_GB2312"/>
          <w:kern w:val="2"/>
          <w:sz w:val="32"/>
          <w:szCs w:val="24"/>
          <w:highlight w:val="none"/>
          <w:lang w:val="en-US" w:eastAsia="zh-CN" w:bidi="ar"/>
        </w:rPr>
        <w:t>的资料；</w:t>
      </w:r>
    </w:p>
    <w:p w14:paraId="5FDE43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（2）国家法律、法规及行政司法部门有要求时。</w:t>
      </w:r>
    </w:p>
    <w:p w14:paraId="5D1C4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第二十条 经合同双方协商一致，可以</w:t>
      </w:r>
      <w:r>
        <w:rPr>
          <w:rFonts w:hint="eastAsia" w:ascii="Times New Roman" w:hAnsi="Times New Roman" w:eastAsia="仿宋_GB2312" w:cs="仿宋_GB2312"/>
          <w:bCs/>
          <w:kern w:val="2"/>
          <w:sz w:val="32"/>
          <w:szCs w:val="24"/>
          <w:highlight w:val="none"/>
          <w:lang w:val="en-US" w:eastAsia="zh-CN" w:bidi="ar"/>
        </w:rPr>
        <w:t>变更或解除合同</w:t>
      </w:r>
      <w:r>
        <w:rPr>
          <w:rFonts w:hint="eastAsia" w:ascii="Times New Roman" w:hAnsi="Times New Roman" w:eastAsia="仿宋_GB2312" w:cs="仿宋_GB2312"/>
          <w:kern w:val="2"/>
          <w:sz w:val="32"/>
          <w:szCs w:val="24"/>
          <w:highlight w:val="none"/>
          <w:lang w:val="en-US" w:eastAsia="zh-CN" w:bidi="ar"/>
        </w:rPr>
        <w:t>，变更或解除本合同应签订书面合同。</w:t>
      </w:r>
    </w:p>
    <w:p w14:paraId="4D472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第二十一条 在合同有效期内，由于甲方或乙方责任使另一方利益受损失的，责任方应承担赔偿，赔偿的实施由协商解决。</w:t>
      </w:r>
    </w:p>
    <w:p w14:paraId="3D122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第二十二条 乙方将通过现场审核收集客观证据进行判定，如因甲方未按管理体系运行或因甲方过失造成自身的损失乙方不予负责。甲方仍应支付已发生的费用。</w:t>
      </w:r>
    </w:p>
    <w:p w14:paraId="015FD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第二十三条 双方因不可抗力造成的合同延迟或失败，免除赔偿责任, 包括但不限于战争、天灾、火灾、爆炸、劳工争议、国家政策或法规调整等，受到影响的一方应立即书面通知另一方。</w:t>
      </w:r>
    </w:p>
    <w:p w14:paraId="4A413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第二十四条 在本合同实施中发生的争议，应本着友好协商的原则加以解决，</w:t>
      </w:r>
      <w:r>
        <w:rPr>
          <w:rFonts w:hint="eastAsia" w:ascii="Times New Roman" w:hAnsi="Times New Roman" w:eastAsia="仿宋_GB2312" w:cs="仿宋_GB2312"/>
          <w:b w:val="0"/>
          <w:bCs w:val="0"/>
          <w:kern w:val="2"/>
          <w:sz w:val="32"/>
          <w:szCs w:val="24"/>
          <w:highlight w:val="none"/>
          <w:lang w:val="en-US" w:eastAsia="zh-CN" w:bidi="ar"/>
        </w:rPr>
        <w:t>若协商不成，可通过向甲方所在地人民法院提起诉讼的途径予以解决。</w:t>
      </w:r>
    </w:p>
    <w:p w14:paraId="01072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第二十五条 本合同由甲乙双方授权代表签字并加盖双方单位公章后生效，至甲乙双方在本合同项下的权利义务均已履行完毕之日止。</w:t>
      </w:r>
    </w:p>
    <w:p w14:paraId="620D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第二十六条 本合同未尽事宜，双方同意通过补充协议予以规定，补充协议与本合同具有同等效力。补充协议与本合同约定不一致的，以补充协议为准。乙方在谈判阶段所提交的响应性文件、谈判记录均与本合同具有同等效力，任一文件对双方权利义务的表述存在冲突的，以对甲方最有利的内容为准。</w:t>
      </w:r>
    </w:p>
    <w:p w14:paraId="27769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第二十七条 本合同一式</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份，甲方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份、乙方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份，均具有同等效力。</w:t>
      </w:r>
    </w:p>
    <w:p w14:paraId="0445F897">
      <w:pPr>
        <w:spacing w:line="240" w:lineRule="exact"/>
        <w:rPr>
          <w:rFonts w:hint="eastAsia" w:ascii="Times New Roman" w:hAnsi="Times New Roman" w:eastAsia="仿宋" w:cs="仿宋"/>
          <w:smallCaps w:val="0"/>
          <w:szCs w:val="21"/>
          <w:highlight w:val="none"/>
          <w:lang w:val="en-US" w:eastAsia="zh-CN"/>
        </w:rPr>
      </w:pPr>
    </w:p>
    <w:p w14:paraId="11F00EC3">
      <w:pPr>
        <w:spacing w:line="240" w:lineRule="exact"/>
        <w:rPr>
          <w:rFonts w:hint="eastAsia" w:ascii="Times New Roman" w:hAnsi="Times New Roman" w:eastAsia="仿宋" w:cs="仿宋"/>
          <w:smallCaps w:val="0"/>
          <w:szCs w:val="21"/>
          <w:highlight w:val="none"/>
          <w:lang w:val="en-US" w:eastAsia="zh-CN"/>
        </w:rPr>
      </w:pPr>
    </w:p>
    <w:p w14:paraId="1A10AEE1">
      <w:pPr>
        <w:spacing w:line="240" w:lineRule="exact"/>
        <w:rPr>
          <w:rFonts w:hint="eastAsia" w:ascii="Times New Roman" w:hAnsi="Times New Roman" w:eastAsia="仿宋" w:cs="仿宋"/>
          <w:smallCaps w:val="0"/>
          <w:szCs w:val="21"/>
          <w:highlight w:val="none"/>
          <w:lang w:val="en-US" w:eastAsia="zh-CN"/>
        </w:rPr>
      </w:pPr>
    </w:p>
    <w:p w14:paraId="5EFE948A">
      <w:pPr>
        <w:spacing w:line="240" w:lineRule="exact"/>
        <w:rPr>
          <w:rFonts w:hint="eastAsia" w:ascii="Times New Roman" w:hAnsi="Times New Roman" w:eastAsia="仿宋" w:cs="仿宋"/>
          <w:smallCaps w:val="0"/>
          <w:szCs w:val="21"/>
          <w:highlight w:val="none"/>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1"/>
        <w:gridCol w:w="4828"/>
      </w:tblGrid>
      <w:tr w14:paraId="54D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731" w:type="dxa"/>
            <w:noWrap w:val="0"/>
            <w:vAlign w:val="top"/>
          </w:tcPr>
          <w:p w14:paraId="77DE5701">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甲方：</w:t>
            </w:r>
          </w:p>
          <w:p w14:paraId="45E4715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（盖章）</w:t>
            </w:r>
          </w:p>
        </w:tc>
        <w:tc>
          <w:tcPr>
            <w:tcW w:w="4828" w:type="dxa"/>
            <w:noWrap w:val="0"/>
            <w:vAlign w:val="top"/>
          </w:tcPr>
          <w:p w14:paraId="5A85B4D5">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乙方：</w:t>
            </w:r>
          </w:p>
          <w:p w14:paraId="2488B85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（盖章） </w:t>
            </w:r>
          </w:p>
        </w:tc>
      </w:tr>
      <w:tr w14:paraId="60C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731" w:type="dxa"/>
            <w:noWrap w:val="0"/>
            <w:vAlign w:val="top"/>
          </w:tcPr>
          <w:p w14:paraId="200AAAE4">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46592C9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（签字）</w:t>
            </w:r>
          </w:p>
        </w:tc>
        <w:tc>
          <w:tcPr>
            <w:tcW w:w="4828" w:type="dxa"/>
            <w:noWrap w:val="0"/>
            <w:vAlign w:val="top"/>
          </w:tcPr>
          <w:p w14:paraId="594FE446">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5BCF191C">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（签字） </w:t>
            </w:r>
          </w:p>
        </w:tc>
      </w:tr>
      <w:tr w14:paraId="16FD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390EBDD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日期：</w:t>
            </w:r>
          </w:p>
        </w:tc>
        <w:tc>
          <w:tcPr>
            <w:tcW w:w="4828" w:type="dxa"/>
            <w:noWrap w:val="0"/>
            <w:vAlign w:val="top"/>
          </w:tcPr>
          <w:p w14:paraId="77A07BC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日期： </w:t>
            </w:r>
          </w:p>
        </w:tc>
      </w:tr>
      <w:tr w14:paraId="610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7B3A81C">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7BE8BBD2">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户名：</w:t>
            </w:r>
          </w:p>
        </w:tc>
      </w:tr>
      <w:tr w14:paraId="6D73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44E71D8">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62590ADE">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开户行： </w:t>
            </w:r>
          </w:p>
        </w:tc>
      </w:tr>
      <w:tr w14:paraId="4B09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49D8A813">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289B07E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账号：</w:t>
            </w:r>
          </w:p>
        </w:tc>
      </w:tr>
    </w:tbl>
    <w:p w14:paraId="3D50D2BD">
      <w:pPr>
        <w:spacing w:line="240" w:lineRule="exact"/>
        <w:rPr>
          <w:rFonts w:hint="eastAsia" w:ascii="Times New Roman" w:hAnsi="Times New Roman" w:eastAsia="仿宋" w:cs="仿宋"/>
          <w:smallCaps w:val="0"/>
          <w:szCs w:val="21"/>
          <w:highlight w:val="none"/>
          <w:lang w:val="en-US" w:eastAsia="zh-CN"/>
        </w:rPr>
      </w:pPr>
    </w:p>
    <w:p w14:paraId="42100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603CF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0B273F9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39833E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181A99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BDA152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6217CB0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88B62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019FDF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0396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合同附件1：</w:t>
      </w:r>
    </w:p>
    <w:p w14:paraId="5A333D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5F6A264">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4.对涉嫌不廉洁的商业行为进行调查时，双方有相互配合、提供证据、作证的义务；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2.甲方工作人员不得私自参加乙方安排的宴请，不得私自接受乙方提供的通讯、交通工具和办公用品，不得向乙方泄露</w:t>
      </w:r>
      <w:r>
        <w:rPr>
          <w:rFonts w:hint="eastAsia" w:ascii="仿宋_GB2312" w:hAnsi="仿宋_GB2312" w:eastAsia="仿宋_GB2312" w:cs="仿宋_GB2312"/>
          <w:smallCaps w:val="0"/>
          <w:sz w:val="24"/>
          <w:highlight w:val="none"/>
          <w:lang w:eastAsia="zh-CN"/>
        </w:rPr>
        <w:t>投标</w:t>
      </w:r>
      <w:r>
        <w:rPr>
          <w:rFonts w:hint="eastAsia" w:ascii="仿宋_GB2312" w:hAnsi="仿宋_GB2312" w:eastAsia="仿宋_GB2312" w:cs="仿宋_GB2312"/>
          <w:smallCaps w:val="0"/>
          <w:sz w:val="24"/>
          <w:highlight w:val="none"/>
        </w:rPr>
        <w:t>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5.其它违反廉洁规定的行为。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5.其它违反廉洁规定的行为。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仿宋_GB2312" w:hAnsi="仿宋_GB2312" w:eastAsia="仿宋_GB2312" w:cs="仿宋_GB2312"/>
          <w:smallCaps w:val="0"/>
          <w:sz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w:t>
      </w:r>
      <w:r>
        <w:rPr>
          <w:rFonts w:hint="eastAsia" w:ascii="Times New Roman" w:hAnsi="Times New Roman" w:eastAsia="仿宋_GB2312" w:cs="仿宋_GB2312"/>
          <w:smallCaps w:val="0"/>
          <w:sz w:val="24"/>
          <w:highlight w:val="none"/>
        </w:rPr>
        <w:t>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第六条  本协议作为双方签订《深圳市鹏劳人力资源管理有限公司</w:t>
      </w:r>
      <w:r>
        <w:rPr>
          <w:rFonts w:hint="eastAsia" w:ascii="Times New Roman" w:hAnsi="Times New Roman" w:eastAsia="仿宋_GB2312" w:cs="仿宋_GB2312"/>
          <w:bCs/>
          <w:smallCaps w:val="0"/>
          <w:sz w:val="24"/>
          <w:szCs w:val="24"/>
          <w:highlight w:val="none"/>
          <w:lang w:val="en-US" w:eastAsia="zh-CN"/>
        </w:rPr>
        <w:t>2025-2027年度质量、环境及职业健康安全管理体系认证服务项目</w:t>
      </w:r>
      <w:r>
        <w:rPr>
          <w:rFonts w:hint="eastAsia" w:ascii="Times New Roman" w:hAnsi="Times New Roman" w:eastAsia="仿宋_GB2312" w:cs="仿宋_GB2312"/>
          <w:smallCaps w:val="0"/>
          <w:sz w:val="24"/>
          <w:highlight w:val="none"/>
          <w:lang w:val="en-US" w:eastAsia="zh-CN"/>
        </w:rPr>
        <w:t>合同</w:t>
      </w:r>
      <w:r>
        <w:rPr>
          <w:rFonts w:hint="eastAsia" w:ascii="Times New Roman" w:hAnsi="Times New Roman" w:eastAsia="仿宋_GB2312" w:cs="仿宋_GB2312"/>
          <w:smallCaps w:val="0"/>
          <w:sz w:val="24"/>
          <w:highlight w:val="none"/>
        </w:rPr>
        <w:t>》的组成部分，与《深圳市鹏劳人力资源管理有限公司</w:t>
      </w:r>
      <w:r>
        <w:rPr>
          <w:rFonts w:hint="eastAsia" w:ascii="Times New Roman" w:hAnsi="Times New Roman" w:eastAsia="仿宋_GB2312" w:cs="仿宋_GB2312"/>
          <w:bCs/>
          <w:smallCaps w:val="0"/>
          <w:sz w:val="24"/>
          <w:szCs w:val="24"/>
          <w:highlight w:val="none"/>
          <w:lang w:val="en-US" w:eastAsia="zh-CN"/>
        </w:rPr>
        <w:t>2025-2027年度质量、环境及职业健康安全管理体系认证服务项目</w:t>
      </w:r>
      <w:r>
        <w:rPr>
          <w:rFonts w:hint="eastAsia" w:ascii="Times New Roman" w:hAnsi="Times New Roman" w:eastAsia="仿宋_GB2312" w:cs="仿宋_GB2312"/>
          <w:smallCaps w:val="0"/>
          <w:sz w:val="24"/>
          <w:highlight w:val="none"/>
          <w:lang w:val="en-US" w:eastAsia="zh-CN"/>
        </w:rPr>
        <w:t>合同</w:t>
      </w:r>
      <w:r>
        <w:rPr>
          <w:rFonts w:hint="eastAsia" w:ascii="Times New Roman" w:hAnsi="Times New Roman" w:eastAsia="仿宋_GB2312" w:cs="仿宋_GB2312"/>
          <w:smallCaps w:val="0"/>
          <w:sz w:val="24"/>
          <w:highlight w:val="none"/>
        </w:rPr>
        <w:t>》具有同等法律效力。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第七条  本协议一式三份，甲乙双方各执一份，鹏劳公司纪检委员存档一份，自双方签字盖章之日起生效，有效期与合同履约期一致。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9282D4A">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法定代表人或授权代表：（签字）           法定代表人或授权代表：（签字）    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黑体" w:hAnsi="黑体" w:eastAsia="黑体" w:cs="黑体"/>
          <w:smallCaps w:val="0"/>
          <w:sz w:val="32"/>
          <w:szCs w:val="32"/>
          <w:highlight w:val="none"/>
        </w:rPr>
        <w:t>采购合同附件2：</w:t>
      </w:r>
    </w:p>
    <w:p w14:paraId="68DB68ED">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A1AF449">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w:t>
      </w:r>
    </w:p>
    <w:p w14:paraId="0C4B3B6E">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职业健康安全体系符合性承诺书</w:t>
      </w:r>
    </w:p>
    <w:p w14:paraId="52151E36">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不符任何法律和经济责任。如乙方违反体系标准的事项发生在为甲方提供服务或产品的过程中，给甲方造成经济或商誉损失的，乙方承诺赔偿。</w:t>
      </w:r>
    </w:p>
    <w:p w14:paraId="7742CC7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568A1428">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55" w:name="_Toc14808"/>
      <w:r>
        <w:rPr>
          <w:rFonts w:hint="eastAsia" w:ascii="Times New Roman" w:hAnsi="Times New Roman" w:eastAsia="黑体" w:cs="黑体"/>
          <w:smallCaps w:val="0"/>
          <w:sz w:val="32"/>
          <w:szCs w:val="32"/>
          <w:highlight w:val="none"/>
        </w:rPr>
        <w:t xml:space="preserve">第四章 </w:t>
      </w:r>
      <w:r>
        <w:rPr>
          <w:rFonts w:hint="eastAsia" w:ascii="Times New Roman" w:hAnsi="Times New Roman" w:cs="黑体"/>
          <w:smallCaps w:val="0"/>
          <w:sz w:val="32"/>
          <w:szCs w:val="32"/>
          <w:highlight w:val="none"/>
          <w:lang w:val="en-US" w:eastAsia="zh-CN"/>
        </w:rPr>
        <w:t>投标文件</w:t>
      </w:r>
      <w:r>
        <w:rPr>
          <w:rFonts w:hint="eastAsia" w:ascii="Times New Roman" w:hAnsi="Times New Roman" w:eastAsia="黑体" w:cs="黑体"/>
          <w:smallCaps w:val="0"/>
          <w:sz w:val="32"/>
          <w:szCs w:val="32"/>
          <w:highlight w:val="none"/>
        </w:rPr>
        <w:t>格式</w:t>
      </w:r>
      <w:bookmarkEnd w:id="54"/>
      <w:bookmarkEnd w:id="55"/>
    </w:p>
    <w:p w14:paraId="6AB2E1C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黑体" w:hAnsi="黑体" w:eastAsia="黑体" w:cs="黑体"/>
          <w:b w:val="0"/>
          <w:bCs/>
          <w:smallCaps w:val="0"/>
          <w:sz w:val="36"/>
          <w:szCs w:val="36"/>
          <w:highlight w:val="none"/>
          <w:lang w:val="zh-CN"/>
        </w:rPr>
      </w:pPr>
      <w:bookmarkStart w:id="56" w:name="_Toc27533"/>
    </w:p>
    <w:p w14:paraId="35481C90">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6"/>
          <w:szCs w:val="36"/>
          <w:highlight w:val="none"/>
          <w:lang w:val="zh-CN"/>
        </w:rPr>
      </w:pPr>
      <w:bookmarkStart w:id="57" w:name="_Toc32654"/>
      <w:r>
        <w:rPr>
          <w:rFonts w:hint="eastAsia" w:ascii="Times New Roman" w:hAnsi="Times New Roman" w:eastAsia="黑体" w:cs="黑体"/>
          <w:b w:val="0"/>
          <w:bCs/>
          <w:smallCaps w:val="0"/>
          <w:sz w:val="36"/>
          <w:szCs w:val="36"/>
          <w:highlight w:val="none"/>
          <w:lang w:val="zh-CN"/>
        </w:rPr>
        <w:t>格式1：《唱标信封》</w:t>
      </w:r>
      <w:bookmarkEnd w:id="56"/>
      <w:bookmarkEnd w:id="57"/>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lang w:val="en-US" w:eastAsia="zh-CN"/>
        </w:rPr>
        <w:t>招标</w:t>
      </w:r>
      <w:r>
        <w:rPr>
          <w:rFonts w:hint="eastAsia" w:ascii="仿宋_GB2312" w:hAnsi="仿宋_GB2312" w:eastAsia="仿宋_GB2312" w:cs="仿宋_GB2312"/>
          <w:b/>
          <w:smallCaps w:val="0"/>
          <w:sz w:val="32"/>
          <w:szCs w:val="32"/>
          <w:highlight w:val="none"/>
        </w:rPr>
        <w:t>编号：</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Times New Roman" w:hAnsi="Times New Roman" w:eastAsia="仿宋_GB2312" w:cs="仿宋_GB2312"/>
          <w:b w:val="0"/>
          <w:bCs/>
          <w:smallCaps w:val="0"/>
          <w:sz w:val="32"/>
          <w:szCs w:val="32"/>
          <w:highlight w:val="none"/>
          <w:u w:val="single"/>
          <w:lang w:eastAsia="zh-CN"/>
        </w:rPr>
        <w:t>PLHR-ZB-FW-202504</w:t>
      </w:r>
      <w:r>
        <w:rPr>
          <w:rFonts w:hint="eastAsia" w:ascii="Times New Roman" w:hAnsi="Times New Roman" w:eastAsia="仿宋_GB2312" w:cs="仿宋_GB2312"/>
          <w:b w:val="0"/>
          <w:bCs/>
          <w:smallCaps w:val="0"/>
          <w:sz w:val="32"/>
          <w:szCs w:val="32"/>
          <w:highlight w:val="none"/>
          <w:u w:val="single"/>
          <w:lang w:val="en-US" w:eastAsia="zh-CN"/>
        </w:rPr>
        <w:t xml:space="preserve">01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lang w:val="en-US" w:eastAsia="zh-CN"/>
        </w:rPr>
        <w:t>投标人</w:t>
      </w:r>
      <w:r>
        <w:rPr>
          <w:rFonts w:hint="eastAsia" w:ascii="仿宋_GB2312" w:hAnsi="仿宋_GB2312" w:eastAsia="仿宋_GB2312" w:cs="仿宋_GB2312"/>
          <w:b/>
          <w:smallCaps w:val="0"/>
          <w:sz w:val="32"/>
          <w:szCs w:val="32"/>
          <w:highlight w:val="none"/>
        </w:rPr>
        <w:t>（盖章）：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lang w:val="en-US" w:eastAsia="zh-CN"/>
        </w:rPr>
        <w:t>开标</w:t>
      </w:r>
      <w:r>
        <w:rPr>
          <w:rFonts w:hint="eastAsia" w:ascii="仿宋_GB2312" w:hAnsi="仿宋_GB2312" w:eastAsia="仿宋_GB2312" w:cs="仿宋_GB2312"/>
          <w:b/>
          <w:smallCaps w:val="0"/>
          <w:sz w:val="32"/>
          <w:szCs w:val="32"/>
          <w:highlight w:val="none"/>
        </w:rPr>
        <w:t>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（20</w:t>
      </w:r>
      <w:r>
        <w:rPr>
          <w:rFonts w:hint="eastAsia" w:ascii="Times New Roman" w:hAnsi="Times New Roman" w:eastAsia="仿宋_GB2312" w:cs="仿宋"/>
          <w:b/>
          <w:smallCaps w:val="0"/>
          <w:sz w:val="32"/>
          <w:szCs w:val="32"/>
          <w:highlight w:val="none"/>
          <w:lang w:val="en-US" w:eastAsia="zh-CN"/>
        </w:rPr>
        <w:t>25</w:t>
      </w:r>
      <w:r>
        <w:rPr>
          <w:rFonts w:hint="eastAsia" w:ascii="Times New Roman" w:hAnsi="Times New Roman" w:eastAsia="仿宋_GB2312" w:cs="仿宋"/>
          <w:b/>
          <w:smallCaps w:val="0"/>
          <w:sz w:val="32"/>
          <w:szCs w:val="32"/>
          <w:highlight w:val="none"/>
        </w:rPr>
        <w:t>年</w:t>
      </w:r>
      <w:r>
        <w:rPr>
          <w:rFonts w:hint="eastAsia" w:ascii="Times New Roman" w:hAnsi="Times New Roman" w:eastAsia="仿宋_GB2312" w:cs="仿宋"/>
          <w:b/>
          <w:smallCaps w:val="0"/>
          <w:sz w:val="32"/>
          <w:szCs w:val="32"/>
          <w:highlight w:val="none"/>
          <w:lang w:val="en-US" w:eastAsia="zh-CN"/>
        </w:rPr>
        <w:t>8</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4</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Style w:val="2"/>
        <w:rPr>
          <w:rFonts w:hint="eastAsia" w:ascii="Times New Roman" w:hAnsi="Times New Roman" w:eastAsia="仿宋" w:cs="仿宋"/>
          <w:bCs w:val="0"/>
          <w:smallCaps w:val="0"/>
          <w:sz w:val="21"/>
          <w:szCs w:val="21"/>
          <w:highlight w:val="none"/>
          <w:lang w:val="zh-CN"/>
        </w:rPr>
      </w:pPr>
      <w:bookmarkStart w:id="58" w:name="_Toc23060"/>
    </w:p>
    <w:p w14:paraId="7D8EEF9E">
      <w:pPr>
        <w:rPr>
          <w:rFonts w:hint="eastAsia" w:ascii="Times New Roman" w:hAnsi="Times New Roman" w:eastAsia="仿宋" w:cs="仿宋"/>
          <w:bCs w:val="0"/>
          <w:smallCaps w:val="0"/>
          <w:sz w:val="21"/>
          <w:szCs w:val="21"/>
          <w:highlight w:val="none"/>
          <w:lang w:val="zh-CN"/>
        </w:rPr>
      </w:pPr>
    </w:p>
    <w:p w14:paraId="484DDFEB">
      <w:pPr>
        <w:pStyle w:val="4"/>
        <w:pageBreakBefore w:val="0"/>
        <w:kinsoku/>
        <w:overflowPunct/>
        <w:topLinePunct w:val="0"/>
        <w:autoSpaceDE/>
        <w:autoSpaceDN/>
        <w:bidi w:val="0"/>
        <w:spacing w:line="240" w:lineRule="auto"/>
        <w:ind w:firstLine="0" w:firstLineChars="0"/>
        <w:jc w:val="left"/>
        <w:rPr>
          <w:rFonts w:hint="eastAsia" w:ascii="Times New Roman" w:hAnsi="Times New Roman" w:eastAsia="仿宋" w:cs="仿宋"/>
          <w:bCs w:val="0"/>
          <w:smallCaps w:val="0"/>
          <w:sz w:val="21"/>
          <w:szCs w:val="21"/>
          <w:highlight w:val="none"/>
          <w:lang w:val="zh-CN"/>
        </w:rPr>
      </w:pPr>
    </w:p>
    <w:p w14:paraId="383B9420">
      <w:pPr>
        <w:rPr>
          <w:rFonts w:hint="eastAsia" w:ascii="Times New Roman" w:hAnsi="Times New Roman" w:eastAsia="仿宋" w:cs="仿宋"/>
          <w:bCs w:val="0"/>
          <w:smallCaps w:val="0"/>
          <w:sz w:val="21"/>
          <w:szCs w:val="21"/>
          <w:highlight w:val="none"/>
          <w:lang w:val="zh-CN"/>
        </w:rPr>
      </w:pPr>
    </w:p>
    <w:p w14:paraId="221450E9">
      <w:pPr>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59" w:name="_Toc94"/>
      <w:r>
        <w:rPr>
          <w:rFonts w:hint="eastAsia" w:ascii="Times New Roman" w:hAnsi="Times New Roman" w:eastAsia="黑体" w:cs="黑体"/>
          <w:b w:val="0"/>
          <w:bCs/>
          <w:smallCaps w:val="0"/>
          <w:sz w:val="32"/>
          <w:szCs w:val="32"/>
          <w:highlight w:val="none"/>
          <w:lang w:val="zh-CN"/>
        </w:rPr>
        <w:t>格式2：开标一览表</w:t>
      </w:r>
      <w:bookmarkEnd w:id="58"/>
      <w:bookmarkEnd w:id="59"/>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2ED883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p>
    <w:p w14:paraId="491C2E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致：深圳市鹏劳人力资源管理有限公司</w:t>
      </w:r>
    </w:p>
    <w:p w14:paraId="7FC127D4">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 w:val="0"/>
          <w:bCs/>
          <w:smallCaps w:val="0"/>
          <w:sz w:val="24"/>
          <w:szCs w:val="24"/>
          <w:highlight w:val="none"/>
        </w:rPr>
      </w:pPr>
      <w:r>
        <w:rPr>
          <w:rFonts w:hint="eastAsia" w:ascii="Times New Roman" w:hAnsi="Times New Roman" w:eastAsia="仿宋_GB2312" w:cs="仿宋_GB2312"/>
          <w:b w:val="0"/>
          <w:bCs/>
          <w:smallCaps w:val="0"/>
          <w:sz w:val="24"/>
          <w:szCs w:val="24"/>
          <w:highlight w:val="none"/>
          <w:lang w:val="en-US" w:eastAsia="zh-CN"/>
        </w:rPr>
        <w:t>2025-2027年度质量、环境及职业健康安全管理体系认证服务项目（二次）</w:t>
      </w:r>
      <w:r>
        <w:rPr>
          <w:rFonts w:hint="eastAsia" w:ascii="Times New Roman" w:hAnsi="Times New Roman" w:eastAsia="仿宋_GB2312" w:cs="仿宋_GB2312"/>
          <w:b w:val="0"/>
          <w:bCs/>
          <w:smallCaps w:val="0"/>
          <w:sz w:val="24"/>
          <w:szCs w:val="24"/>
          <w:highlight w:val="none"/>
        </w:rPr>
        <w:t>（</w:t>
      </w:r>
      <w:r>
        <w:rPr>
          <w:rFonts w:hint="eastAsia" w:ascii="Times New Roman" w:hAnsi="Times New Roman" w:eastAsia="仿宋_GB2312" w:cs="仿宋_GB2312"/>
          <w:b w:val="0"/>
          <w:bCs/>
          <w:smallCaps w:val="0"/>
          <w:sz w:val="24"/>
          <w:szCs w:val="24"/>
          <w:highlight w:val="none"/>
          <w:lang w:val="en-US" w:eastAsia="zh-CN"/>
        </w:rPr>
        <w:t>采购</w:t>
      </w:r>
      <w:r>
        <w:rPr>
          <w:rFonts w:hint="eastAsia" w:ascii="Times New Roman" w:hAnsi="Times New Roman" w:eastAsia="仿宋_GB2312" w:cs="仿宋_GB2312"/>
          <w:b w:val="0"/>
          <w:bCs/>
          <w:smallCaps w:val="0"/>
          <w:sz w:val="24"/>
          <w:szCs w:val="24"/>
          <w:highlight w:val="none"/>
        </w:rPr>
        <w:t>编号：</w:t>
      </w:r>
      <w:r>
        <w:rPr>
          <w:rFonts w:hint="eastAsia" w:ascii="Times New Roman" w:hAnsi="Times New Roman" w:eastAsia="仿宋_GB2312" w:cs="仿宋_GB2312"/>
          <w:b w:val="0"/>
          <w:bCs/>
          <w:smallCaps w:val="0"/>
          <w:sz w:val="24"/>
          <w:szCs w:val="24"/>
          <w:highlight w:val="none"/>
          <w:lang w:eastAsia="zh-CN"/>
        </w:rPr>
        <w:t>PLHR-ZB-FW-202504</w:t>
      </w:r>
      <w:r>
        <w:rPr>
          <w:rFonts w:hint="eastAsia" w:ascii="Times New Roman" w:hAnsi="Times New Roman" w:eastAsia="仿宋_GB2312" w:cs="仿宋_GB2312"/>
          <w:b w:val="0"/>
          <w:bCs/>
          <w:smallCaps w:val="0"/>
          <w:sz w:val="24"/>
          <w:szCs w:val="24"/>
          <w:highlight w:val="none"/>
          <w:lang w:val="en-US" w:eastAsia="zh-CN"/>
        </w:rPr>
        <w:t>01</w:t>
      </w:r>
      <w:r>
        <w:rPr>
          <w:rFonts w:hint="eastAsia" w:ascii="Times New Roman" w:hAnsi="Times New Roman" w:eastAsia="仿宋_GB2312" w:cs="仿宋_GB2312"/>
          <w:b w:val="0"/>
          <w:bCs/>
          <w:smallCaps w:val="0"/>
          <w:sz w:val="24"/>
          <w:szCs w:val="24"/>
          <w:highlight w:val="none"/>
        </w:rPr>
        <w:t>）</w:t>
      </w:r>
      <w:r>
        <w:rPr>
          <w:rFonts w:hint="eastAsia" w:ascii="仿宋_GB2312" w:hAnsi="仿宋_GB2312" w:eastAsia="仿宋_GB2312" w:cs="仿宋_GB2312"/>
          <w:b w:val="0"/>
          <w:bCs/>
          <w:smallCaps w:val="0"/>
          <w:sz w:val="24"/>
          <w:szCs w:val="24"/>
          <w:highlight w:val="none"/>
        </w:rPr>
        <w:t>项目投标报价如下：</w:t>
      </w:r>
    </w:p>
    <w:tbl>
      <w:tblPr>
        <w:tblStyle w:val="16"/>
        <w:tblW w:w="9859"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367"/>
        <w:gridCol w:w="1166"/>
        <w:gridCol w:w="1380"/>
        <w:gridCol w:w="1388"/>
        <w:gridCol w:w="1490"/>
      </w:tblGrid>
      <w:tr w14:paraId="33A9A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59" w:type="dxa"/>
            <w:gridSpan w:val="6"/>
            <w:tcBorders>
              <w:tl2br w:val="nil"/>
              <w:tr2bl w:val="nil"/>
            </w:tcBorders>
            <w:noWrap/>
            <w:vAlign w:val="center"/>
          </w:tcPr>
          <w:p w14:paraId="5A325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一、认证服务预算</w:t>
            </w:r>
          </w:p>
        </w:tc>
      </w:tr>
      <w:tr w14:paraId="18BEF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8" w:type="dxa"/>
            <w:tcBorders>
              <w:tl2br w:val="nil"/>
              <w:tr2bl w:val="nil"/>
            </w:tcBorders>
            <w:noWrap/>
            <w:vAlign w:val="center"/>
          </w:tcPr>
          <w:p w14:paraId="15751F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认证年度</w:t>
            </w:r>
          </w:p>
        </w:tc>
        <w:tc>
          <w:tcPr>
            <w:tcW w:w="3367" w:type="dxa"/>
            <w:tcBorders>
              <w:tl2br w:val="nil"/>
              <w:tr2bl w:val="nil"/>
            </w:tcBorders>
            <w:noWrap/>
            <w:vAlign w:val="center"/>
          </w:tcPr>
          <w:p w14:paraId="3DB63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认证周期名称</w:t>
            </w:r>
          </w:p>
        </w:tc>
        <w:tc>
          <w:tcPr>
            <w:tcW w:w="1166" w:type="dxa"/>
            <w:tcBorders>
              <w:tl2br w:val="nil"/>
              <w:tr2bl w:val="nil"/>
            </w:tcBorders>
            <w:noWrap w:val="0"/>
            <w:vAlign w:val="center"/>
          </w:tcPr>
          <w:p w14:paraId="5C3F5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服务天数</w:t>
            </w:r>
            <w:r>
              <w:rPr>
                <w:rStyle w:val="27"/>
                <w:rFonts w:hint="eastAsia" w:ascii="Times New Roman" w:hAnsi="Times New Roman" w:eastAsia="宋体" w:cs="宋体"/>
                <w:b/>
                <w:bCs/>
                <w:sz w:val="20"/>
                <w:szCs w:val="20"/>
                <w:highlight w:val="none"/>
                <w:lang w:val="en-US" w:eastAsia="zh-CN" w:bidi="ar"/>
              </w:rPr>
              <w:t>（天）</w:t>
            </w:r>
          </w:p>
        </w:tc>
        <w:tc>
          <w:tcPr>
            <w:tcW w:w="1380" w:type="dxa"/>
            <w:tcBorders>
              <w:tl2br w:val="nil"/>
              <w:tr2bl w:val="nil"/>
            </w:tcBorders>
            <w:noWrap w:val="0"/>
            <w:vAlign w:val="center"/>
          </w:tcPr>
          <w:p w14:paraId="08C036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分项预算</w:t>
            </w:r>
          </w:p>
          <w:p w14:paraId="1802F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388" w:type="dxa"/>
            <w:tcBorders>
              <w:tl2br w:val="nil"/>
              <w:tr2bl w:val="nil"/>
            </w:tcBorders>
            <w:noWrap/>
            <w:vAlign w:val="center"/>
          </w:tcPr>
          <w:p w14:paraId="7EC135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预算小计</w:t>
            </w:r>
          </w:p>
          <w:p w14:paraId="520C6D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490" w:type="dxa"/>
            <w:tcBorders>
              <w:tl2br w:val="nil"/>
              <w:tr2bl w:val="nil"/>
            </w:tcBorders>
            <w:noWrap/>
            <w:vAlign w:val="center"/>
          </w:tcPr>
          <w:p w14:paraId="55048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备注</w:t>
            </w:r>
          </w:p>
        </w:tc>
      </w:tr>
      <w:tr w14:paraId="264E0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68" w:type="dxa"/>
            <w:vMerge w:val="restart"/>
            <w:tcBorders>
              <w:tl2br w:val="nil"/>
              <w:tr2bl w:val="nil"/>
            </w:tcBorders>
            <w:noWrap/>
            <w:vAlign w:val="center"/>
          </w:tcPr>
          <w:p w14:paraId="78E47604">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2025</w:t>
            </w:r>
          </w:p>
        </w:tc>
        <w:tc>
          <w:tcPr>
            <w:tcW w:w="3367" w:type="dxa"/>
            <w:tcBorders>
              <w:tl2br w:val="nil"/>
              <w:tr2bl w:val="nil"/>
            </w:tcBorders>
            <w:noWrap/>
            <w:vAlign w:val="center"/>
          </w:tcPr>
          <w:p w14:paraId="5A26C19C">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质量管理体系监督2阶段审核费</w:t>
            </w:r>
          </w:p>
        </w:tc>
        <w:tc>
          <w:tcPr>
            <w:tcW w:w="1166" w:type="dxa"/>
            <w:tcBorders>
              <w:tl2br w:val="nil"/>
              <w:tr2bl w:val="nil"/>
            </w:tcBorders>
            <w:noWrap/>
            <w:vAlign w:val="center"/>
          </w:tcPr>
          <w:p w14:paraId="4A354073">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2451975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restart"/>
            <w:tcBorders>
              <w:tl2br w:val="nil"/>
              <w:tr2bl w:val="nil"/>
            </w:tcBorders>
            <w:noWrap/>
            <w:vAlign w:val="center"/>
          </w:tcPr>
          <w:p w14:paraId="693959D6">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vMerge w:val="restart"/>
            <w:tcBorders>
              <w:tl2br w:val="nil"/>
              <w:tr2bl w:val="nil"/>
            </w:tcBorders>
            <w:noWrap/>
            <w:vAlign w:val="center"/>
          </w:tcPr>
          <w:p w14:paraId="745A0F91">
            <w:pPr>
              <w:rPr>
                <w:rFonts w:hint="eastAsia" w:ascii="Times New Roman" w:hAnsi="Times New Roman" w:eastAsia="宋体" w:cs="宋体"/>
                <w:i w:val="0"/>
                <w:iCs w:val="0"/>
                <w:color w:val="000000"/>
                <w:sz w:val="21"/>
                <w:szCs w:val="21"/>
                <w:highlight w:val="none"/>
                <w:u w:val="none"/>
              </w:rPr>
            </w:pPr>
          </w:p>
        </w:tc>
      </w:tr>
      <w:tr w14:paraId="6DDB9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68" w:type="dxa"/>
            <w:vMerge w:val="continue"/>
            <w:tcBorders>
              <w:tl2br w:val="nil"/>
              <w:tr2bl w:val="nil"/>
            </w:tcBorders>
            <w:noWrap/>
            <w:vAlign w:val="center"/>
          </w:tcPr>
          <w:p w14:paraId="1335FC2A">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3DA937AD">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环境与职业健康体系再认证审核费</w:t>
            </w:r>
          </w:p>
        </w:tc>
        <w:tc>
          <w:tcPr>
            <w:tcW w:w="1166" w:type="dxa"/>
            <w:tcBorders>
              <w:tl2br w:val="nil"/>
              <w:tr2bl w:val="nil"/>
            </w:tcBorders>
            <w:noWrap/>
            <w:vAlign w:val="center"/>
          </w:tcPr>
          <w:p w14:paraId="35C954F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CBA0179">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continue"/>
            <w:tcBorders>
              <w:tl2br w:val="nil"/>
              <w:tr2bl w:val="nil"/>
            </w:tcBorders>
            <w:noWrap/>
            <w:vAlign w:val="center"/>
          </w:tcPr>
          <w:p w14:paraId="0CCC3278">
            <w:pPr>
              <w:jc w:val="center"/>
              <w:rPr>
                <w:rFonts w:hint="eastAsia" w:ascii="Times New Roman" w:hAnsi="Times New Roman" w:eastAsia="宋体" w:cs="宋体"/>
                <w:i w:val="0"/>
                <w:iCs w:val="0"/>
                <w:color w:val="000000"/>
                <w:sz w:val="21"/>
                <w:szCs w:val="21"/>
                <w:highlight w:val="none"/>
                <w:u w:val="none"/>
              </w:rPr>
            </w:pPr>
          </w:p>
        </w:tc>
        <w:tc>
          <w:tcPr>
            <w:tcW w:w="1490" w:type="dxa"/>
            <w:vMerge w:val="continue"/>
            <w:tcBorders>
              <w:tl2br w:val="nil"/>
              <w:tr2bl w:val="nil"/>
            </w:tcBorders>
            <w:noWrap/>
            <w:vAlign w:val="center"/>
          </w:tcPr>
          <w:p w14:paraId="098E5186">
            <w:pPr>
              <w:rPr>
                <w:rFonts w:hint="eastAsia" w:ascii="Times New Roman" w:hAnsi="Times New Roman" w:eastAsia="宋体" w:cs="宋体"/>
                <w:i w:val="0"/>
                <w:iCs w:val="0"/>
                <w:color w:val="000000"/>
                <w:sz w:val="21"/>
                <w:szCs w:val="21"/>
                <w:highlight w:val="none"/>
                <w:u w:val="none"/>
              </w:rPr>
            </w:pPr>
          </w:p>
        </w:tc>
      </w:tr>
      <w:tr w14:paraId="312C6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68" w:type="dxa"/>
            <w:vMerge w:val="restart"/>
            <w:tcBorders>
              <w:tl2br w:val="nil"/>
              <w:tr2bl w:val="nil"/>
            </w:tcBorders>
            <w:noWrap/>
            <w:vAlign w:val="center"/>
          </w:tcPr>
          <w:p w14:paraId="604CCB5C">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2026</w:t>
            </w:r>
          </w:p>
        </w:tc>
        <w:tc>
          <w:tcPr>
            <w:tcW w:w="3367" w:type="dxa"/>
            <w:tcBorders>
              <w:tl2br w:val="nil"/>
              <w:tr2bl w:val="nil"/>
            </w:tcBorders>
            <w:noWrap/>
            <w:vAlign w:val="center"/>
          </w:tcPr>
          <w:p w14:paraId="0DF66C4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质量管理体系再认证审核费</w:t>
            </w:r>
          </w:p>
        </w:tc>
        <w:tc>
          <w:tcPr>
            <w:tcW w:w="1166" w:type="dxa"/>
            <w:tcBorders>
              <w:tl2br w:val="nil"/>
              <w:tr2bl w:val="nil"/>
            </w:tcBorders>
            <w:noWrap/>
            <w:vAlign w:val="center"/>
          </w:tcPr>
          <w:p w14:paraId="26E5FD7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1209509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restart"/>
            <w:tcBorders>
              <w:tl2br w:val="nil"/>
              <w:tr2bl w:val="nil"/>
            </w:tcBorders>
            <w:noWrap/>
            <w:vAlign w:val="center"/>
          </w:tcPr>
          <w:p w14:paraId="6972E6C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vMerge w:val="restart"/>
            <w:tcBorders>
              <w:tl2br w:val="nil"/>
              <w:tr2bl w:val="nil"/>
            </w:tcBorders>
            <w:noWrap/>
            <w:vAlign w:val="center"/>
          </w:tcPr>
          <w:p w14:paraId="769BC917">
            <w:pPr>
              <w:rPr>
                <w:rFonts w:hint="eastAsia" w:ascii="Times New Roman" w:hAnsi="Times New Roman" w:eastAsia="宋体" w:cs="宋体"/>
                <w:i w:val="0"/>
                <w:iCs w:val="0"/>
                <w:color w:val="000000"/>
                <w:sz w:val="21"/>
                <w:szCs w:val="21"/>
                <w:highlight w:val="none"/>
                <w:u w:val="none"/>
              </w:rPr>
            </w:pPr>
          </w:p>
        </w:tc>
      </w:tr>
      <w:tr w14:paraId="3EBAB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8" w:type="dxa"/>
            <w:vMerge w:val="continue"/>
            <w:tcBorders>
              <w:tl2br w:val="nil"/>
              <w:tr2bl w:val="nil"/>
            </w:tcBorders>
            <w:noWrap/>
            <w:vAlign w:val="center"/>
          </w:tcPr>
          <w:p w14:paraId="6B17445E">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3CF7BB9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环境与职业健康体系监督1审核费</w:t>
            </w:r>
          </w:p>
        </w:tc>
        <w:tc>
          <w:tcPr>
            <w:tcW w:w="1166" w:type="dxa"/>
            <w:tcBorders>
              <w:tl2br w:val="nil"/>
              <w:tr2bl w:val="nil"/>
            </w:tcBorders>
            <w:noWrap/>
            <w:vAlign w:val="center"/>
          </w:tcPr>
          <w:p w14:paraId="5C8A29F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E4310F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continue"/>
            <w:tcBorders>
              <w:tl2br w:val="nil"/>
              <w:tr2bl w:val="nil"/>
            </w:tcBorders>
            <w:noWrap/>
            <w:vAlign w:val="center"/>
          </w:tcPr>
          <w:p w14:paraId="532D6594">
            <w:pPr>
              <w:jc w:val="center"/>
              <w:rPr>
                <w:rFonts w:hint="eastAsia" w:ascii="Times New Roman" w:hAnsi="Times New Roman" w:eastAsia="宋体" w:cs="宋体"/>
                <w:i w:val="0"/>
                <w:iCs w:val="0"/>
                <w:color w:val="000000"/>
                <w:sz w:val="21"/>
                <w:szCs w:val="21"/>
                <w:highlight w:val="none"/>
                <w:u w:val="none"/>
              </w:rPr>
            </w:pPr>
          </w:p>
        </w:tc>
        <w:tc>
          <w:tcPr>
            <w:tcW w:w="1490" w:type="dxa"/>
            <w:vMerge w:val="continue"/>
            <w:tcBorders>
              <w:tl2br w:val="nil"/>
              <w:tr2bl w:val="nil"/>
            </w:tcBorders>
            <w:noWrap/>
            <w:vAlign w:val="center"/>
          </w:tcPr>
          <w:p w14:paraId="4452E452">
            <w:pPr>
              <w:rPr>
                <w:rFonts w:hint="eastAsia" w:ascii="Times New Roman" w:hAnsi="Times New Roman" w:eastAsia="宋体" w:cs="宋体"/>
                <w:i w:val="0"/>
                <w:iCs w:val="0"/>
                <w:color w:val="000000"/>
                <w:sz w:val="21"/>
                <w:szCs w:val="21"/>
                <w:highlight w:val="none"/>
                <w:u w:val="none"/>
              </w:rPr>
            </w:pPr>
          </w:p>
        </w:tc>
      </w:tr>
      <w:tr w14:paraId="6AA3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68" w:type="dxa"/>
            <w:vMerge w:val="restart"/>
            <w:tcBorders>
              <w:tl2br w:val="nil"/>
              <w:tr2bl w:val="nil"/>
            </w:tcBorders>
            <w:noWrap/>
            <w:vAlign w:val="center"/>
          </w:tcPr>
          <w:p w14:paraId="0453E7AA">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2027</w:t>
            </w:r>
          </w:p>
        </w:tc>
        <w:tc>
          <w:tcPr>
            <w:tcW w:w="3367" w:type="dxa"/>
            <w:tcBorders>
              <w:tl2br w:val="nil"/>
              <w:tr2bl w:val="nil"/>
            </w:tcBorders>
            <w:noWrap/>
            <w:vAlign w:val="center"/>
          </w:tcPr>
          <w:p w14:paraId="6180BC8F">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质量管理体系监督1阶段审核费</w:t>
            </w:r>
          </w:p>
        </w:tc>
        <w:tc>
          <w:tcPr>
            <w:tcW w:w="1166" w:type="dxa"/>
            <w:tcBorders>
              <w:tl2br w:val="nil"/>
              <w:tr2bl w:val="nil"/>
            </w:tcBorders>
            <w:noWrap/>
            <w:vAlign w:val="center"/>
          </w:tcPr>
          <w:p w14:paraId="1C118CA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645A308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restart"/>
            <w:tcBorders>
              <w:tl2br w:val="nil"/>
              <w:tr2bl w:val="nil"/>
            </w:tcBorders>
            <w:noWrap/>
            <w:vAlign w:val="center"/>
          </w:tcPr>
          <w:p w14:paraId="3837E78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vMerge w:val="restart"/>
            <w:tcBorders>
              <w:tl2br w:val="nil"/>
              <w:tr2bl w:val="nil"/>
            </w:tcBorders>
            <w:noWrap/>
            <w:vAlign w:val="center"/>
          </w:tcPr>
          <w:p w14:paraId="3013515D">
            <w:pPr>
              <w:rPr>
                <w:rFonts w:hint="eastAsia" w:ascii="Times New Roman" w:hAnsi="Times New Roman" w:eastAsia="宋体" w:cs="宋体"/>
                <w:i w:val="0"/>
                <w:iCs w:val="0"/>
                <w:color w:val="000000"/>
                <w:sz w:val="21"/>
                <w:szCs w:val="21"/>
                <w:highlight w:val="none"/>
                <w:u w:val="none"/>
              </w:rPr>
            </w:pPr>
          </w:p>
        </w:tc>
      </w:tr>
      <w:tr w14:paraId="69527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68" w:type="dxa"/>
            <w:vMerge w:val="continue"/>
            <w:tcBorders>
              <w:tl2br w:val="nil"/>
              <w:tr2bl w:val="nil"/>
            </w:tcBorders>
            <w:noWrap/>
            <w:vAlign w:val="center"/>
          </w:tcPr>
          <w:p w14:paraId="0C672C8C">
            <w:pPr>
              <w:jc w:val="center"/>
              <w:rPr>
                <w:rFonts w:hint="eastAsia" w:ascii="Times New Roman" w:hAnsi="Times New Roman" w:eastAsia="宋体" w:cs="宋体"/>
                <w:i w:val="0"/>
                <w:iCs w:val="0"/>
                <w:color w:val="000000"/>
                <w:sz w:val="21"/>
                <w:szCs w:val="21"/>
                <w:highlight w:val="none"/>
                <w:u w:val="none"/>
              </w:rPr>
            </w:pPr>
          </w:p>
        </w:tc>
        <w:tc>
          <w:tcPr>
            <w:tcW w:w="3367" w:type="dxa"/>
            <w:tcBorders>
              <w:tl2br w:val="nil"/>
              <w:tr2bl w:val="nil"/>
            </w:tcBorders>
            <w:noWrap/>
            <w:vAlign w:val="center"/>
          </w:tcPr>
          <w:p w14:paraId="236B8B46">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环境与职业健康体系监督2审核费</w:t>
            </w:r>
          </w:p>
        </w:tc>
        <w:tc>
          <w:tcPr>
            <w:tcW w:w="1166" w:type="dxa"/>
            <w:tcBorders>
              <w:tl2br w:val="nil"/>
              <w:tr2bl w:val="nil"/>
            </w:tcBorders>
            <w:noWrap/>
            <w:vAlign w:val="center"/>
          </w:tcPr>
          <w:p w14:paraId="3C86C3B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5DBD858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vMerge w:val="continue"/>
            <w:tcBorders>
              <w:tl2br w:val="nil"/>
              <w:tr2bl w:val="nil"/>
            </w:tcBorders>
            <w:noWrap/>
            <w:vAlign w:val="center"/>
          </w:tcPr>
          <w:p w14:paraId="3247050D">
            <w:pPr>
              <w:jc w:val="right"/>
              <w:rPr>
                <w:rFonts w:hint="eastAsia" w:ascii="Times New Roman" w:hAnsi="Times New Roman" w:eastAsia="宋体" w:cs="宋体"/>
                <w:i w:val="0"/>
                <w:iCs w:val="0"/>
                <w:color w:val="000000"/>
                <w:sz w:val="21"/>
                <w:szCs w:val="21"/>
                <w:highlight w:val="none"/>
                <w:u w:val="none"/>
              </w:rPr>
            </w:pPr>
          </w:p>
        </w:tc>
        <w:tc>
          <w:tcPr>
            <w:tcW w:w="1490" w:type="dxa"/>
            <w:vMerge w:val="continue"/>
            <w:tcBorders>
              <w:tl2br w:val="nil"/>
              <w:tr2bl w:val="nil"/>
            </w:tcBorders>
            <w:noWrap/>
            <w:vAlign w:val="center"/>
          </w:tcPr>
          <w:p w14:paraId="5DBA869C">
            <w:pPr>
              <w:rPr>
                <w:rFonts w:hint="eastAsia" w:ascii="Times New Roman" w:hAnsi="Times New Roman" w:eastAsia="宋体" w:cs="宋体"/>
                <w:i w:val="0"/>
                <w:iCs w:val="0"/>
                <w:color w:val="000000"/>
                <w:sz w:val="21"/>
                <w:szCs w:val="21"/>
                <w:highlight w:val="none"/>
                <w:u w:val="none"/>
              </w:rPr>
            </w:pPr>
          </w:p>
        </w:tc>
      </w:tr>
      <w:tr w14:paraId="3B27A9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35" w:type="dxa"/>
            <w:gridSpan w:val="2"/>
            <w:tcBorders>
              <w:tl2br w:val="nil"/>
              <w:tr2bl w:val="nil"/>
            </w:tcBorders>
            <w:noWrap/>
            <w:vAlign w:val="center"/>
          </w:tcPr>
          <w:p w14:paraId="5193E4B1">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166" w:type="dxa"/>
            <w:tcBorders>
              <w:tl2br w:val="nil"/>
              <w:tr2bl w:val="nil"/>
            </w:tcBorders>
            <w:noWrap/>
            <w:vAlign w:val="center"/>
          </w:tcPr>
          <w:p w14:paraId="47CB4C17">
            <w:pPr>
              <w:jc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19043AF0">
            <w:pPr>
              <w:jc w:val="center"/>
              <w:rPr>
                <w:rFonts w:hint="default" w:ascii="Times New Roman" w:hAnsi="Times New Roman" w:eastAsia="宋体" w:cs="宋体"/>
                <w:i w:val="0"/>
                <w:iCs w:val="0"/>
                <w:color w:val="000000"/>
                <w:sz w:val="21"/>
                <w:szCs w:val="21"/>
                <w:highlight w:val="none"/>
                <w:u w:val="none"/>
                <w:lang w:val="en-US" w:eastAsia="zh-CN"/>
              </w:rPr>
            </w:pPr>
          </w:p>
        </w:tc>
        <w:tc>
          <w:tcPr>
            <w:tcW w:w="1388" w:type="dxa"/>
            <w:tcBorders>
              <w:tl2br w:val="nil"/>
              <w:tr2bl w:val="nil"/>
            </w:tcBorders>
            <w:noWrap/>
            <w:vAlign w:val="center"/>
          </w:tcPr>
          <w:p w14:paraId="726A3D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1EA36304">
            <w:pPr>
              <w:rPr>
                <w:rFonts w:hint="eastAsia" w:ascii="Times New Roman" w:hAnsi="Times New Roman" w:eastAsia="宋体" w:cs="宋体"/>
                <w:i w:val="0"/>
                <w:iCs w:val="0"/>
                <w:color w:val="000000"/>
                <w:sz w:val="21"/>
                <w:szCs w:val="21"/>
                <w:highlight w:val="none"/>
                <w:u w:val="none"/>
              </w:rPr>
            </w:pPr>
          </w:p>
        </w:tc>
      </w:tr>
      <w:tr w14:paraId="474D6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59" w:type="dxa"/>
            <w:gridSpan w:val="6"/>
            <w:tcBorders>
              <w:tl2br w:val="nil"/>
              <w:tr2bl w:val="nil"/>
            </w:tcBorders>
            <w:noWrap/>
            <w:vAlign w:val="center"/>
          </w:tcPr>
          <w:p w14:paraId="5C3ECC01">
            <w:pP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b/>
                <w:bCs/>
                <w:i w:val="0"/>
                <w:iCs w:val="0"/>
                <w:color w:val="000000"/>
                <w:sz w:val="21"/>
                <w:szCs w:val="21"/>
                <w:highlight w:val="none"/>
                <w:u w:val="none"/>
                <w:lang w:val="en-US" w:eastAsia="zh-CN"/>
              </w:rPr>
              <w:t>二、其他随附服务预算</w:t>
            </w:r>
          </w:p>
        </w:tc>
      </w:tr>
      <w:tr w14:paraId="26C7E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8" w:type="dxa"/>
            <w:vMerge w:val="restart"/>
            <w:tcBorders>
              <w:tl2br w:val="nil"/>
              <w:tr2bl w:val="nil"/>
            </w:tcBorders>
            <w:noWrap/>
            <w:vAlign w:val="center"/>
          </w:tcPr>
          <w:p w14:paraId="5188034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3367" w:type="dxa"/>
            <w:tcBorders>
              <w:tl2br w:val="nil"/>
              <w:tr2bl w:val="nil"/>
            </w:tcBorders>
            <w:noWrap/>
            <w:vAlign w:val="center"/>
          </w:tcPr>
          <w:p w14:paraId="33223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内审员资格培训费标准</w:t>
            </w:r>
          </w:p>
        </w:tc>
        <w:tc>
          <w:tcPr>
            <w:tcW w:w="1166" w:type="dxa"/>
            <w:tcBorders>
              <w:tl2br w:val="nil"/>
              <w:tr2bl w:val="nil"/>
            </w:tcBorders>
            <w:noWrap/>
            <w:vAlign w:val="center"/>
          </w:tcPr>
          <w:p w14:paraId="7E03C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8" w:type="dxa"/>
            <w:gridSpan w:val="2"/>
            <w:tcBorders>
              <w:tl2br w:val="nil"/>
              <w:tr2bl w:val="nil"/>
            </w:tcBorders>
            <w:noWrap/>
            <w:vAlign w:val="center"/>
          </w:tcPr>
          <w:p w14:paraId="38EBA0B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530D0B4B">
            <w:pPr>
              <w:rPr>
                <w:rFonts w:hint="eastAsia" w:ascii="Times New Roman" w:hAnsi="Times New Roman" w:eastAsia="宋体" w:cs="宋体"/>
                <w:i w:val="0"/>
                <w:iCs w:val="0"/>
                <w:color w:val="000000"/>
                <w:sz w:val="21"/>
                <w:szCs w:val="21"/>
                <w:highlight w:val="none"/>
                <w:u w:val="none"/>
              </w:rPr>
            </w:pPr>
          </w:p>
        </w:tc>
      </w:tr>
      <w:tr w14:paraId="36E9B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68" w:type="dxa"/>
            <w:vMerge w:val="continue"/>
            <w:tcBorders>
              <w:tl2br w:val="nil"/>
              <w:tr2bl w:val="nil"/>
            </w:tcBorders>
            <w:noWrap/>
            <w:vAlign w:val="center"/>
          </w:tcPr>
          <w:p w14:paraId="0A3ABA15">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5753F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内审员资格证书收费标准</w:t>
            </w:r>
          </w:p>
        </w:tc>
        <w:tc>
          <w:tcPr>
            <w:tcW w:w="1166" w:type="dxa"/>
            <w:tcBorders>
              <w:tl2br w:val="nil"/>
              <w:tr2bl w:val="nil"/>
            </w:tcBorders>
            <w:noWrap/>
            <w:vAlign w:val="center"/>
          </w:tcPr>
          <w:p w14:paraId="24AEC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2768" w:type="dxa"/>
            <w:gridSpan w:val="2"/>
            <w:tcBorders>
              <w:tl2br w:val="nil"/>
              <w:tr2bl w:val="nil"/>
            </w:tcBorders>
            <w:noWrap/>
            <w:vAlign w:val="center"/>
          </w:tcPr>
          <w:p w14:paraId="54C7BF1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2D189EC8">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宋体" w:cs="宋体"/>
                <w:i w:val="0"/>
                <w:iCs w:val="0"/>
                <w:color w:val="000000"/>
                <w:sz w:val="21"/>
                <w:szCs w:val="21"/>
                <w:highlight w:val="none"/>
                <w:u w:val="none"/>
                <w:lang w:val="en-US" w:eastAsia="zh-CN"/>
              </w:rPr>
            </w:pPr>
          </w:p>
        </w:tc>
      </w:tr>
      <w:tr w14:paraId="18EE6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8" w:type="dxa"/>
            <w:tcBorders>
              <w:tl2br w:val="nil"/>
              <w:tr2bl w:val="nil"/>
            </w:tcBorders>
            <w:noWrap/>
            <w:vAlign w:val="center"/>
          </w:tcPr>
          <w:p w14:paraId="489CF744">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三体系整合辅导</w:t>
            </w:r>
          </w:p>
        </w:tc>
        <w:tc>
          <w:tcPr>
            <w:tcW w:w="3367" w:type="dxa"/>
            <w:tcBorders>
              <w:tl2br w:val="nil"/>
              <w:tr2bl w:val="nil"/>
            </w:tcBorders>
            <w:noWrap/>
            <w:vAlign w:val="center"/>
          </w:tcPr>
          <w:p w14:paraId="4F78F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default" w:ascii="Times New Roman" w:hAnsi="Times New Roman" w:eastAsia="宋体" w:cs="宋体"/>
                <w:i w:val="0"/>
                <w:iCs w:val="0"/>
                <w:color w:val="000000"/>
                <w:kern w:val="0"/>
                <w:sz w:val="21"/>
                <w:szCs w:val="21"/>
                <w:highlight w:val="none"/>
                <w:u w:val="none"/>
                <w:lang w:val="en-US" w:eastAsia="zh-CN" w:bidi="ar"/>
              </w:rPr>
              <w:t>现有体系整合</w:t>
            </w:r>
            <w:r>
              <w:rPr>
                <w:rFonts w:hint="eastAsia" w:ascii="Times New Roman" w:hAnsi="Times New Roman" w:eastAsia="宋体" w:cs="宋体"/>
                <w:i w:val="0"/>
                <w:iCs w:val="0"/>
                <w:color w:val="000000"/>
                <w:kern w:val="0"/>
                <w:sz w:val="21"/>
                <w:szCs w:val="21"/>
                <w:highlight w:val="none"/>
                <w:u w:val="none"/>
                <w:lang w:val="en-US" w:eastAsia="zh-CN" w:bidi="ar"/>
              </w:rPr>
              <w:t>辅导</w:t>
            </w:r>
          </w:p>
        </w:tc>
        <w:tc>
          <w:tcPr>
            <w:tcW w:w="1166" w:type="dxa"/>
            <w:tcBorders>
              <w:tl2br w:val="nil"/>
              <w:tr2bl w:val="nil"/>
            </w:tcBorders>
            <w:noWrap/>
            <w:vAlign w:val="center"/>
          </w:tcPr>
          <w:p w14:paraId="4BD20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8" w:type="dxa"/>
            <w:gridSpan w:val="2"/>
            <w:tcBorders>
              <w:tl2br w:val="nil"/>
              <w:tr2bl w:val="nil"/>
            </w:tcBorders>
            <w:noWrap/>
            <w:vAlign w:val="center"/>
          </w:tcPr>
          <w:p w14:paraId="6C13A3E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0BE5AE57">
            <w:pPr>
              <w:rPr>
                <w:rFonts w:hint="eastAsia" w:ascii="Times New Roman" w:hAnsi="Times New Roman" w:eastAsia="宋体" w:cs="宋体"/>
                <w:i w:val="0"/>
                <w:iCs w:val="0"/>
                <w:color w:val="000000"/>
                <w:sz w:val="21"/>
                <w:szCs w:val="21"/>
                <w:highlight w:val="none"/>
                <w:u w:val="none"/>
              </w:rPr>
            </w:pPr>
          </w:p>
        </w:tc>
      </w:tr>
      <w:tr w14:paraId="4DAEF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01" w:type="dxa"/>
            <w:gridSpan w:val="3"/>
            <w:tcBorders>
              <w:tl2br w:val="nil"/>
              <w:tr2bl w:val="nil"/>
            </w:tcBorders>
            <w:noWrap/>
            <w:vAlign w:val="center"/>
          </w:tcPr>
          <w:p w14:paraId="13B9A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随附服务费用小计（含增值税）</w:t>
            </w:r>
          </w:p>
        </w:tc>
        <w:tc>
          <w:tcPr>
            <w:tcW w:w="2768" w:type="dxa"/>
            <w:gridSpan w:val="2"/>
            <w:tcBorders>
              <w:tl2br w:val="nil"/>
              <w:tr2bl w:val="nil"/>
            </w:tcBorders>
            <w:noWrap/>
            <w:vAlign w:val="center"/>
          </w:tcPr>
          <w:p w14:paraId="506EE50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59D34FB4">
            <w:pPr>
              <w:rPr>
                <w:rFonts w:hint="eastAsia" w:ascii="Times New Roman" w:hAnsi="Times New Roman" w:eastAsia="宋体" w:cs="宋体"/>
                <w:i w:val="0"/>
                <w:iCs w:val="0"/>
                <w:color w:val="000000"/>
                <w:sz w:val="21"/>
                <w:szCs w:val="21"/>
                <w:highlight w:val="none"/>
                <w:u w:val="none"/>
              </w:rPr>
            </w:pPr>
          </w:p>
        </w:tc>
      </w:tr>
      <w:tr w14:paraId="22CF8D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35" w:type="dxa"/>
            <w:gridSpan w:val="2"/>
            <w:tcBorders>
              <w:tl2br w:val="nil"/>
              <w:tr2bl w:val="nil"/>
            </w:tcBorders>
            <w:noWrap/>
            <w:vAlign w:val="center"/>
          </w:tcPr>
          <w:p w14:paraId="53549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项目预算合计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166" w:type="dxa"/>
            <w:tcBorders>
              <w:tl2br w:val="nil"/>
              <w:tr2bl w:val="nil"/>
            </w:tcBorders>
            <w:noWrap/>
            <w:vAlign w:val="center"/>
          </w:tcPr>
          <w:p w14:paraId="0E585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p>
        </w:tc>
        <w:tc>
          <w:tcPr>
            <w:tcW w:w="2768" w:type="dxa"/>
            <w:gridSpan w:val="2"/>
            <w:tcBorders>
              <w:tl2br w:val="nil"/>
              <w:tr2bl w:val="nil"/>
            </w:tcBorders>
            <w:noWrap/>
            <w:vAlign w:val="center"/>
          </w:tcPr>
          <w:p w14:paraId="54D55FE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0" w:type="dxa"/>
            <w:tcBorders>
              <w:tl2br w:val="nil"/>
              <w:tr2bl w:val="nil"/>
            </w:tcBorders>
            <w:noWrap/>
            <w:vAlign w:val="center"/>
          </w:tcPr>
          <w:p w14:paraId="1F491ED7">
            <w:pPr>
              <w:rPr>
                <w:rFonts w:hint="eastAsia" w:ascii="Times New Roman" w:hAnsi="Times New Roman" w:eastAsia="宋体" w:cs="宋体"/>
                <w:i w:val="0"/>
                <w:iCs w:val="0"/>
                <w:color w:val="000000"/>
                <w:sz w:val="21"/>
                <w:szCs w:val="21"/>
                <w:highlight w:val="none"/>
                <w:u w:val="none"/>
              </w:rPr>
            </w:pPr>
          </w:p>
        </w:tc>
      </w:tr>
    </w:tbl>
    <w:p w14:paraId="376F26A6">
      <w:pPr>
        <w:keepNext w:val="0"/>
        <w:keepLines w:val="0"/>
        <w:pageBreakBefore w:val="0"/>
        <w:widowControl w:val="0"/>
        <w:kinsoku/>
        <w:wordWrap/>
        <w:overflowPunct/>
        <w:topLinePunct w:val="0"/>
        <w:autoSpaceDE/>
        <w:autoSpaceDN/>
        <w:bidi w:val="0"/>
        <w:adjustRightInd/>
        <w:snapToGrid/>
        <w:spacing w:before="233" w:beforeLines="50" w:line="240" w:lineRule="exact"/>
        <w:ind w:firstLine="482" w:firstLineChars="200"/>
        <w:textAlignment w:val="auto"/>
        <w:rPr>
          <w:rFonts w:hint="eastAsia" w:ascii="仿宋_GB2312" w:hAnsi="仿宋_GB2312" w:eastAsia="仿宋_GB2312" w:cs="仿宋_GB2312"/>
          <w:b/>
          <w:smallCaps w:val="0"/>
          <w:sz w:val="24"/>
          <w:szCs w:val="24"/>
          <w:highlight w:val="none"/>
        </w:rPr>
      </w:pPr>
      <w:r>
        <w:rPr>
          <w:rFonts w:hint="eastAsia" w:ascii="仿宋_GB2312" w:hAnsi="仿宋_GB2312" w:eastAsia="仿宋_GB2312" w:cs="仿宋_GB2312"/>
          <w:b/>
          <w:smallCaps w:val="0"/>
          <w:sz w:val="24"/>
          <w:szCs w:val="24"/>
          <w:highlight w:val="none"/>
        </w:rPr>
        <w:t xml:space="preserve">说明： </w:t>
      </w:r>
    </w:p>
    <w:p w14:paraId="72E3593D">
      <w:pPr>
        <w:keepNext w:val="0"/>
        <w:keepLines w:val="0"/>
        <w:pageBreakBefore w:val="0"/>
        <w:widowControl w:val="0"/>
        <w:numPr>
          <w:ilvl w:val="0"/>
          <w:numId w:val="12"/>
        </w:numPr>
        <w:kinsoku/>
        <w:wordWrap/>
        <w:overflowPunct/>
        <w:topLinePunct w:val="0"/>
        <w:autoSpaceDE/>
        <w:autoSpaceDN/>
        <w:bidi w:val="0"/>
        <w:adjustRightInd/>
        <w:snapToGrid/>
        <w:spacing w:line="240" w:lineRule="exact"/>
        <w:ind w:left="0" w:leftChars="0"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本表仅作为开标信息一览，实际报价以</w:t>
      </w:r>
      <w:r>
        <w:rPr>
          <w:rFonts w:hint="eastAsia" w:ascii="仿宋_GB2312" w:hAnsi="仿宋_GB2312" w:eastAsia="仿宋_GB2312" w:cs="仿宋_GB2312"/>
          <w:b/>
          <w:bCs/>
          <w:smallCaps w:val="0"/>
          <w:sz w:val="22"/>
          <w:szCs w:val="22"/>
          <w:highlight w:val="none"/>
          <w:lang w:val="en-US" w:eastAsia="zh-CN"/>
        </w:rPr>
        <w:t>投标人投标文件</w:t>
      </w:r>
      <w:r>
        <w:rPr>
          <w:rFonts w:hint="eastAsia" w:ascii="仿宋_GB2312" w:hAnsi="仿宋_GB2312" w:eastAsia="仿宋_GB2312" w:cs="仿宋_GB2312"/>
          <w:b/>
          <w:bCs/>
          <w:smallCaps w:val="0"/>
          <w:sz w:val="22"/>
          <w:szCs w:val="22"/>
          <w:highlight w:val="none"/>
        </w:rPr>
        <w:t>中提交的报价表为准，但数据应保持一致，否则应由</w:t>
      </w:r>
      <w:r>
        <w:rPr>
          <w:rFonts w:hint="eastAsia" w:ascii="仿宋_GB2312" w:hAnsi="仿宋_GB2312" w:eastAsia="仿宋_GB2312" w:cs="仿宋_GB2312"/>
          <w:b/>
          <w:bCs/>
          <w:smallCaps w:val="0"/>
          <w:sz w:val="22"/>
          <w:szCs w:val="22"/>
          <w:highlight w:val="none"/>
          <w:lang w:val="en-US" w:eastAsia="zh-CN"/>
        </w:rPr>
        <w:t>投标人</w:t>
      </w:r>
      <w:r>
        <w:rPr>
          <w:rFonts w:hint="eastAsia" w:ascii="仿宋_GB2312" w:hAnsi="仿宋_GB2312" w:eastAsia="仿宋_GB2312" w:cs="仿宋_GB2312"/>
          <w:b/>
          <w:bCs/>
          <w:smallCaps w:val="0"/>
          <w:sz w:val="22"/>
          <w:szCs w:val="22"/>
          <w:highlight w:val="none"/>
        </w:rPr>
        <w:t>进行澄清，澄清后价格不可突破</w:t>
      </w:r>
      <w:r>
        <w:rPr>
          <w:rFonts w:hint="eastAsia" w:ascii="仿宋_GB2312" w:hAnsi="仿宋_GB2312" w:eastAsia="仿宋_GB2312" w:cs="仿宋_GB2312"/>
          <w:b/>
          <w:bCs/>
          <w:smallCaps w:val="0"/>
          <w:sz w:val="22"/>
          <w:szCs w:val="22"/>
          <w:highlight w:val="none"/>
          <w:lang w:val="en-US" w:eastAsia="zh-CN"/>
        </w:rPr>
        <w:t>招标文件</w:t>
      </w:r>
      <w:r>
        <w:rPr>
          <w:rFonts w:hint="eastAsia" w:ascii="仿宋_GB2312" w:hAnsi="仿宋_GB2312" w:eastAsia="仿宋_GB2312" w:cs="仿宋_GB2312"/>
          <w:b/>
          <w:bCs/>
          <w:smallCaps w:val="0"/>
          <w:sz w:val="22"/>
          <w:szCs w:val="22"/>
          <w:highlight w:val="none"/>
        </w:rPr>
        <w:t>报价上限，如拒不澄清或澄清后价格突破</w:t>
      </w:r>
      <w:r>
        <w:rPr>
          <w:rFonts w:hint="eastAsia" w:ascii="仿宋_GB2312" w:hAnsi="仿宋_GB2312" w:eastAsia="仿宋_GB2312" w:cs="仿宋_GB2312"/>
          <w:b/>
          <w:bCs/>
          <w:smallCaps w:val="0"/>
          <w:sz w:val="22"/>
          <w:szCs w:val="22"/>
          <w:highlight w:val="none"/>
          <w:lang w:val="en-US" w:eastAsia="zh-CN"/>
        </w:rPr>
        <w:t>招标文件</w:t>
      </w:r>
      <w:r>
        <w:rPr>
          <w:rFonts w:hint="eastAsia" w:ascii="仿宋_GB2312" w:hAnsi="仿宋_GB2312" w:eastAsia="仿宋_GB2312" w:cs="仿宋_GB2312"/>
          <w:b/>
          <w:bCs/>
          <w:smallCaps w:val="0"/>
          <w:sz w:val="22"/>
          <w:szCs w:val="22"/>
          <w:highlight w:val="none"/>
        </w:rPr>
        <w:t>中报价上限的，按废标处理；</w:t>
      </w:r>
    </w:p>
    <w:p w14:paraId="200A0480">
      <w:pPr>
        <w:keepNext w:val="0"/>
        <w:keepLines w:val="0"/>
        <w:pageBreakBefore w:val="0"/>
        <w:widowControl w:val="0"/>
        <w:numPr>
          <w:ilvl w:val="0"/>
          <w:numId w:val="12"/>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smallCaps w:val="0"/>
          <w:sz w:val="22"/>
          <w:szCs w:val="22"/>
          <w:highlight w:val="none"/>
        </w:rPr>
      </w:pPr>
      <w:r>
        <w:rPr>
          <w:rFonts w:hint="eastAsia" w:ascii="仿宋_GB2312" w:hAnsi="仿宋_GB2312" w:eastAsia="仿宋_GB2312" w:cs="仿宋_GB2312"/>
          <w:smallCaps w:val="0"/>
          <w:sz w:val="22"/>
          <w:szCs w:val="22"/>
          <w:highlight w:val="none"/>
        </w:rPr>
        <w:t>此表应经法定代表人或授权代表人签名，并加盖</w:t>
      </w:r>
      <w:r>
        <w:rPr>
          <w:rFonts w:hint="eastAsia" w:ascii="仿宋_GB2312" w:hAnsi="仿宋_GB2312" w:eastAsia="仿宋_GB2312" w:cs="仿宋_GB2312"/>
          <w:smallCaps w:val="0"/>
          <w:sz w:val="22"/>
          <w:szCs w:val="22"/>
          <w:highlight w:val="none"/>
          <w:lang w:val="en-US" w:eastAsia="zh-CN"/>
        </w:rPr>
        <w:t>投标人</w:t>
      </w:r>
      <w:r>
        <w:rPr>
          <w:rFonts w:hint="eastAsia" w:ascii="仿宋_GB2312" w:hAnsi="仿宋_GB2312" w:eastAsia="仿宋_GB2312" w:cs="仿宋_GB2312"/>
          <w:smallCaps w:val="0"/>
          <w:sz w:val="22"/>
          <w:szCs w:val="22"/>
          <w:highlight w:val="none"/>
        </w:rPr>
        <w:t>单位公章，否则无效，作废标处理。</w:t>
      </w:r>
    </w:p>
    <w:p w14:paraId="0767741E">
      <w:pPr>
        <w:keepNext w:val="0"/>
        <w:keepLines w:val="0"/>
        <w:pageBreakBefore w:val="0"/>
        <w:widowControl w:val="0"/>
        <w:numPr>
          <w:ilvl w:val="0"/>
          <w:numId w:val="12"/>
        </w:numPr>
        <w:kinsoku/>
        <w:wordWrap/>
        <w:overflowPunct/>
        <w:topLinePunct w:val="0"/>
        <w:autoSpaceDE/>
        <w:autoSpaceDN/>
        <w:bidi w:val="0"/>
        <w:adjustRightInd/>
        <w:snapToGrid/>
        <w:spacing w:line="240" w:lineRule="exact"/>
        <w:ind w:left="0" w:leftChars="0" w:firstLine="480" w:firstLineChars="200"/>
        <w:textAlignment w:val="auto"/>
        <w:rPr>
          <w:rFonts w:hint="eastAsia" w:ascii="仿宋_GB2312" w:hAnsi="仿宋_GB2312" w:eastAsia="仿宋_GB2312" w:cs="仿宋_GB2312"/>
          <w:smallCaps w:val="0"/>
          <w:sz w:val="22"/>
          <w:szCs w:val="22"/>
          <w:highlight w:val="none"/>
        </w:rPr>
      </w:pPr>
      <w:r>
        <w:rPr>
          <w:rFonts w:hint="eastAsia" w:ascii="仿宋_GB2312" w:hAnsi="仿宋_GB2312" w:eastAsia="仿宋_GB2312" w:cs="仿宋_GB2312"/>
          <w:bCs/>
          <w:smallCaps w:val="0"/>
          <w:sz w:val="24"/>
          <w:szCs w:val="24"/>
          <w:highlight w:val="none"/>
          <w:lang w:val="en-US" w:eastAsia="zh-CN"/>
        </w:rPr>
        <w:t>本表报价以人民币（元）为单位；</w:t>
      </w:r>
      <w:r>
        <w:rPr>
          <w:rFonts w:hint="eastAsia" w:ascii="仿宋_GB2312" w:hAnsi="仿宋_GB2312" w:eastAsia="仿宋_GB2312" w:cs="仿宋_GB2312"/>
          <w:smallCaps w:val="0"/>
          <w:sz w:val="22"/>
          <w:szCs w:val="22"/>
          <w:highlight w:val="none"/>
          <w:lang w:val="en-US" w:eastAsia="zh-CN"/>
        </w:rPr>
        <w:t>报价</w:t>
      </w:r>
      <w:r>
        <w:rPr>
          <w:rFonts w:hint="eastAsia" w:ascii="仿宋_GB2312" w:hAnsi="仿宋_GB2312" w:eastAsia="仿宋_GB2312" w:cs="仿宋_GB2312"/>
          <w:smallCaps w:val="0"/>
          <w:sz w:val="22"/>
          <w:szCs w:val="22"/>
          <w:highlight w:val="none"/>
        </w:rPr>
        <w:t>金额大小写不一致的以大写为准。电子文档与纸质文档不一致的以纸质文档为准。正本与副本不一致的以正本为准。总价与计算结果不一致的以分项计算结果为准。</w:t>
      </w:r>
    </w:p>
    <w:p w14:paraId="74A7D913">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_GB2312" w:hAnsi="仿宋_GB2312" w:eastAsia="仿宋_GB2312" w:cs="仿宋_GB2312"/>
          <w:b w:val="0"/>
          <w:bCs/>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lang w:val="en-US" w:eastAsia="zh-CN"/>
        </w:rPr>
        <w:t>投标人</w:t>
      </w:r>
      <w:r>
        <w:rPr>
          <w:rFonts w:hint="eastAsia" w:ascii="仿宋_GB2312" w:hAnsi="仿宋_GB2312" w:eastAsia="仿宋_GB2312" w:cs="仿宋_GB2312"/>
          <w:b w:val="0"/>
          <w:bCs/>
          <w:smallCaps w:val="0"/>
          <w:sz w:val="24"/>
          <w:szCs w:val="24"/>
          <w:highlight w:val="none"/>
        </w:rPr>
        <w:t>（盖章）：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法定代表人（或授权委托人）签名：</w:t>
      </w:r>
    </w:p>
    <w:p w14:paraId="1BF0F25D">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_GB2312" w:hAnsi="仿宋_GB2312" w:eastAsia="仿宋_GB2312" w:cs="仿宋_GB2312"/>
          <w:b w:val="0"/>
          <w:bCs/>
          <w:smallCaps w:val="0"/>
          <w:sz w:val="24"/>
          <w:szCs w:val="24"/>
          <w:highlight w:val="none"/>
        </w:rPr>
        <w:t>日   期：</w:t>
      </w:r>
    </w:p>
    <w:p w14:paraId="674F427A">
      <w:pPr>
        <w:pageBreakBefore w:val="0"/>
        <w:kinsoku/>
        <w:overflowPunct/>
        <w:topLinePunct w:val="0"/>
        <w:autoSpaceDE/>
        <w:autoSpaceDN/>
        <w:bidi w:val="0"/>
        <w:spacing w:line="240" w:lineRule="auto"/>
        <w:rPr>
          <w:rFonts w:hint="eastAsia" w:ascii="Times New Roman" w:hAnsi="Times New Roman" w:eastAsia="仿宋" w:cs="仿宋"/>
          <w:b/>
          <w:bCs w:val="0"/>
          <w:smallCaps w:val="0"/>
          <w:sz w:val="21"/>
          <w:szCs w:val="21"/>
          <w:highlight w:val="none"/>
          <w:lang w:val="zh-CN"/>
        </w:rPr>
      </w:pPr>
      <w:bookmarkStart w:id="60" w:name="_Toc17910755"/>
      <w:bookmarkStart w:id="61" w:name="_Toc11257000"/>
      <w:bookmarkStart w:id="62" w:name="_Toc23485"/>
      <w:bookmarkStart w:id="63" w:name="_Toc25123_WPSOffice_Level1"/>
    </w:p>
    <w:p w14:paraId="2B009DC4">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en-US" w:eastAsia="zh-CN"/>
        </w:rPr>
      </w:pPr>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3-1</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en-US" w:eastAsia="zh-CN"/>
        </w:rPr>
        <w:t>服务方案</w:t>
      </w:r>
    </w:p>
    <w:p w14:paraId="083C3168">
      <w:pPr>
        <w:pStyle w:val="4"/>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p>
    <w:p w14:paraId="6ADD1068">
      <w:pPr>
        <w:pStyle w:val="4"/>
        <w:keepNext/>
        <w:keepLines/>
        <w:pageBreakBefore w:val="0"/>
        <w:widowControl w:val="0"/>
        <w:kinsoku/>
        <w:wordWrap/>
        <w:overflowPunct/>
        <w:topLinePunct w:val="0"/>
        <w:autoSpaceDE/>
        <w:autoSpaceDN/>
        <w:bidi w:val="0"/>
        <w:adjustRightInd/>
        <w:snapToGrid/>
        <w:spacing w:before="0" w:after="0" w:line="560" w:lineRule="exact"/>
        <w:ind w:left="0" w:leftChars="0" w:firstLine="0" w:firstLineChars="0"/>
        <w:jc w:val="center"/>
        <w:textAlignment w:val="auto"/>
        <w:rPr>
          <w:rFonts w:hint="eastAsia" w:ascii="Times New Roman" w:hAnsi="Times New Roman" w:eastAsia="方正小标宋简体" w:cs="方正小标宋简体"/>
          <w:b w:val="0"/>
          <w:bCs/>
          <w:smallCaps w:val="0"/>
          <w:sz w:val="44"/>
          <w:szCs w:val="44"/>
          <w:highlight w:val="none"/>
          <w:lang w:val="zh-CN" w:eastAsia="zh-CN"/>
        </w:rPr>
      </w:pPr>
      <w:bookmarkStart w:id="64" w:name="_Toc10469"/>
      <w:r>
        <w:rPr>
          <w:rFonts w:hint="eastAsia" w:ascii="Times New Roman" w:hAnsi="Times New Roman" w:eastAsia="方正小标宋简体" w:cs="方正小标宋简体"/>
          <w:b w:val="0"/>
          <w:bCs/>
          <w:smallCaps w:val="0"/>
          <w:sz w:val="44"/>
          <w:szCs w:val="44"/>
          <w:highlight w:val="none"/>
          <w:lang w:val="en-US" w:eastAsia="zh-CN"/>
        </w:rPr>
        <w:t>202</w:t>
      </w:r>
      <w:r>
        <w:rPr>
          <w:rFonts w:hint="eastAsia" w:ascii="Times New Roman" w:eastAsia="方正小标宋简体" w:cs="方正小标宋简体"/>
          <w:b w:val="0"/>
          <w:bCs/>
          <w:smallCaps w:val="0"/>
          <w:sz w:val="44"/>
          <w:szCs w:val="44"/>
          <w:highlight w:val="none"/>
          <w:lang w:val="en-US" w:eastAsia="zh-CN"/>
        </w:rPr>
        <w:t>5</w:t>
      </w:r>
      <w:r>
        <w:rPr>
          <w:rFonts w:hint="eastAsia" w:ascii="Times New Roman" w:hAnsi="Times New Roman" w:eastAsia="方正小标宋简体" w:cs="方正小标宋简体"/>
          <w:b w:val="0"/>
          <w:bCs/>
          <w:smallCaps w:val="0"/>
          <w:sz w:val="44"/>
          <w:szCs w:val="44"/>
          <w:highlight w:val="none"/>
          <w:lang w:val="en-US" w:eastAsia="zh-CN"/>
        </w:rPr>
        <w:t>-202</w:t>
      </w:r>
      <w:r>
        <w:rPr>
          <w:rFonts w:hint="eastAsia" w:ascii="Times New Roman" w:eastAsia="方正小标宋简体" w:cs="方正小标宋简体"/>
          <w:b w:val="0"/>
          <w:bCs/>
          <w:smallCaps w:val="0"/>
          <w:sz w:val="44"/>
          <w:szCs w:val="44"/>
          <w:highlight w:val="none"/>
          <w:lang w:val="en-US" w:eastAsia="zh-CN"/>
        </w:rPr>
        <w:t>7</w:t>
      </w:r>
      <w:r>
        <w:rPr>
          <w:rFonts w:hint="eastAsia" w:ascii="Times New Roman" w:hAnsi="Times New Roman" w:eastAsia="方正小标宋简体" w:cs="方正小标宋简体"/>
          <w:b w:val="0"/>
          <w:bCs/>
          <w:smallCaps w:val="0"/>
          <w:sz w:val="44"/>
          <w:szCs w:val="44"/>
          <w:highlight w:val="none"/>
          <w:lang w:val="en-US" w:eastAsia="zh-CN"/>
        </w:rPr>
        <w:t>年度质量、环境及职业健康安全管理体系认证服务方案</w:t>
      </w:r>
      <w:bookmarkEnd w:id="64"/>
    </w:p>
    <w:p w14:paraId="09483C4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tbl>
      <w:tblPr>
        <w:tblStyle w:val="16"/>
        <w:tblW w:w="93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774"/>
        <w:gridCol w:w="2720"/>
        <w:gridCol w:w="1780"/>
      </w:tblGrid>
      <w:tr w14:paraId="3D412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068" w:type="dxa"/>
            <w:tcBorders>
              <w:tl2br w:val="nil"/>
              <w:tr2bl w:val="nil"/>
            </w:tcBorders>
            <w:noWrap/>
            <w:vAlign w:val="center"/>
          </w:tcPr>
          <w:p w14:paraId="28EC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认证年度</w:t>
            </w:r>
          </w:p>
        </w:tc>
        <w:tc>
          <w:tcPr>
            <w:tcW w:w="3774" w:type="dxa"/>
            <w:tcBorders>
              <w:tl2br w:val="nil"/>
              <w:tr2bl w:val="nil"/>
            </w:tcBorders>
            <w:noWrap/>
            <w:vAlign w:val="center"/>
          </w:tcPr>
          <w:p w14:paraId="715C2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认证周期名称</w:t>
            </w:r>
          </w:p>
        </w:tc>
        <w:tc>
          <w:tcPr>
            <w:tcW w:w="2720" w:type="dxa"/>
            <w:tcBorders>
              <w:tl2br w:val="nil"/>
              <w:tr2bl w:val="nil"/>
            </w:tcBorders>
            <w:noWrap w:val="0"/>
            <w:vAlign w:val="center"/>
          </w:tcPr>
          <w:p w14:paraId="6F654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服务内容说明</w:t>
            </w:r>
          </w:p>
        </w:tc>
        <w:tc>
          <w:tcPr>
            <w:tcW w:w="1780" w:type="dxa"/>
            <w:tcBorders>
              <w:tl2br w:val="nil"/>
              <w:tr2bl w:val="nil"/>
            </w:tcBorders>
            <w:noWrap/>
            <w:vAlign w:val="center"/>
          </w:tcPr>
          <w:p w14:paraId="3D9A3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备注</w:t>
            </w:r>
          </w:p>
        </w:tc>
      </w:tr>
      <w:tr w14:paraId="4BA0E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068" w:type="dxa"/>
            <w:vMerge w:val="restart"/>
            <w:tcBorders>
              <w:tl2br w:val="nil"/>
              <w:tr2bl w:val="nil"/>
            </w:tcBorders>
            <w:noWrap/>
            <w:vAlign w:val="center"/>
          </w:tcPr>
          <w:p w14:paraId="797A57E5">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2025</w:t>
            </w:r>
          </w:p>
        </w:tc>
        <w:tc>
          <w:tcPr>
            <w:tcW w:w="3774" w:type="dxa"/>
            <w:tcBorders>
              <w:tl2br w:val="nil"/>
              <w:tr2bl w:val="nil"/>
            </w:tcBorders>
            <w:noWrap/>
            <w:vAlign w:val="center"/>
          </w:tcPr>
          <w:p w14:paraId="761E4E4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质量管理体系监督2阶段审核费</w:t>
            </w:r>
          </w:p>
        </w:tc>
        <w:tc>
          <w:tcPr>
            <w:tcW w:w="2720" w:type="dxa"/>
            <w:tcBorders>
              <w:tl2br w:val="nil"/>
              <w:tr2bl w:val="nil"/>
            </w:tcBorders>
            <w:noWrap/>
            <w:vAlign w:val="center"/>
          </w:tcPr>
          <w:p w14:paraId="20AEB6E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2F4894D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62D43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068" w:type="dxa"/>
            <w:vMerge w:val="continue"/>
            <w:tcBorders>
              <w:tl2br w:val="nil"/>
              <w:tr2bl w:val="nil"/>
            </w:tcBorders>
            <w:noWrap/>
            <w:vAlign w:val="center"/>
          </w:tcPr>
          <w:p w14:paraId="7CAB3AFC">
            <w:pPr>
              <w:jc w:val="center"/>
              <w:rPr>
                <w:rFonts w:hint="eastAsia" w:ascii="Times New Roman" w:hAnsi="Times New Roman" w:eastAsia="宋体" w:cs="宋体"/>
                <w:b/>
                <w:bCs/>
                <w:i w:val="0"/>
                <w:iCs w:val="0"/>
                <w:color w:val="000000"/>
                <w:sz w:val="21"/>
                <w:szCs w:val="21"/>
                <w:highlight w:val="none"/>
                <w:u w:val="none"/>
              </w:rPr>
            </w:pPr>
          </w:p>
        </w:tc>
        <w:tc>
          <w:tcPr>
            <w:tcW w:w="3774" w:type="dxa"/>
            <w:tcBorders>
              <w:tl2br w:val="nil"/>
              <w:tr2bl w:val="nil"/>
            </w:tcBorders>
            <w:noWrap/>
            <w:vAlign w:val="center"/>
          </w:tcPr>
          <w:p w14:paraId="1ADD5B03">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环境与职业健康体系再认证审核费</w:t>
            </w:r>
          </w:p>
        </w:tc>
        <w:tc>
          <w:tcPr>
            <w:tcW w:w="2720" w:type="dxa"/>
            <w:tcBorders>
              <w:tl2br w:val="nil"/>
              <w:tr2bl w:val="nil"/>
            </w:tcBorders>
            <w:noWrap/>
            <w:vAlign w:val="center"/>
          </w:tcPr>
          <w:p w14:paraId="58CE44C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3A3054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B58F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8" w:type="dxa"/>
            <w:vMerge w:val="restart"/>
            <w:tcBorders>
              <w:tl2br w:val="nil"/>
              <w:tr2bl w:val="nil"/>
            </w:tcBorders>
            <w:noWrap/>
            <w:vAlign w:val="center"/>
          </w:tcPr>
          <w:p w14:paraId="66C77268">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2026</w:t>
            </w:r>
          </w:p>
        </w:tc>
        <w:tc>
          <w:tcPr>
            <w:tcW w:w="3774" w:type="dxa"/>
            <w:tcBorders>
              <w:tl2br w:val="nil"/>
              <w:tr2bl w:val="nil"/>
            </w:tcBorders>
            <w:noWrap/>
            <w:vAlign w:val="center"/>
          </w:tcPr>
          <w:p w14:paraId="3142CF2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质量管理体系再认证审核费</w:t>
            </w:r>
          </w:p>
        </w:tc>
        <w:tc>
          <w:tcPr>
            <w:tcW w:w="2720" w:type="dxa"/>
            <w:tcBorders>
              <w:tl2br w:val="nil"/>
              <w:tr2bl w:val="nil"/>
            </w:tcBorders>
            <w:noWrap/>
            <w:vAlign w:val="center"/>
          </w:tcPr>
          <w:p w14:paraId="5AEE95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05A40D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D7BD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68" w:type="dxa"/>
            <w:vMerge w:val="continue"/>
            <w:tcBorders>
              <w:tl2br w:val="nil"/>
              <w:tr2bl w:val="nil"/>
            </w:tcBorders>
            <w:noWrap/>
            <w:vAlign w:val="center"/>
          </w:tcPr>
          <w:p w14:paraId="14D4239C">
            <w:pPr>
              <w:jc w:val="center"/>
              <w:rPr>
                <w:rFonts w:hint="eastAsia" w:ascii="Times New Roman" w:hAnsi="Times New Roman" w:eastAsia="宋体" w:cs="宋体"/>
                <w:b/>
                <w:bCs/>
                <w:i w:val="0"/>
                <w:iCs w:val="0"/>
                <w:color w:val="000000"/>
                <w:sz w:val="21"/>
                <w:szCs w:val="21"/>
                <w:highlight w:val="none"/>
                <w:u w:val="none"/>
              </w:rPr>
            </w:pPr>
          </w:p>
        </w:tc>
        <w:tc>
          <w:tcPr>
            <w:tcW w:w="3774" w:type="dxa"/>
            <w:tcBorders>
              <w:tl2br w:val="nil"/>
              <w:tr2bl w:val="nil"/>
            </w:tcBorders>
            <w:noWrap/>
            <w:vAlign w:val="center"/>
          </w:tcPr>
          <w:p w14:paraId="5AACC5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环境与职业健康体系监督1审核费</w:t>
            </w:r>
          </w:p>
        </w:tc>
        <w:tc>
          <w:tcPr>
            <w:tcW w:w="2720" w:type="dxa"/>
            <w:tcBorders>
              <w:tl2br w:val="nil"/>
              <w:tr2bl w:val="nil"/>
            </w:tcBorders>
            <w:noWrap/>
            <w:vAlign w:val="center"/>
          </w:tcPr>
          <w:p w14:paraId="5BE9409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776F3E5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22E98E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68" w:type="dxa"/>
            <w:vMerge w:val="restart"/>
            <w:tcBorders>
              <w:tl2br w:val="nil"/>
              <w:tr2bl w:val="nil"/>
            </w:tcBorders>
            <w:noWrap/>
            <w:vAlign w:val="center"/>
          </w:tcPr>
          <w:p w14:paraId="375A66D1">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2027</w:t>
            </w:r>
          </w:p>
        </w:tc>
        <w:tc>
          <w:tcPr>
            <w:tcW w:w="3774" w:type="dxa"/>
            <w:tcBorders>
              <w:tl2br w:val="nil"/>
              <w:tr2bl w:val="nil"/>
            </w:tcBorders>
            <w:noWrap/>
            <w:vAlign w:val="center"/>
          </w:tcPr>
          <w:p w14:paraId="1B1D8BF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质量管理体系监督1阶段审核费</w:t>
            </w:r>
          </w:p>
        </w:tc>
        <w:tc>
          <w:tcPr>
            <w:tcW w:w="2720" w:type="dxa"/>
            <w:tcBorders>
              <w:tl2br w:val="nil"/>
              <w:tr2bl w:val="nil"/>
            </w:tcBorders>
            <w:noWrap/>
            <w:vAlign w:val="center"/>
          </w:tcPr>
          <w:p w14:paraId="127CD874">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61FD4C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6C37D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68" w:type="dxa"/>
            <w:vMerge w:val="continue"/>
            <w:tcBorders>
              <w:tl2br w:val="nil"/>
              <w:tr2bl w:val="nil"/>
            </w:tcBorders>
            <w:noWrap/>
            <w:vAlign w:val="center"/>
          </w:tcPr>
          <w:p w14:paraId="3A364F2F">
            <w:pPr>
              <w:jc w:val="center"/>
              <w:rPr>
                <w:rFonts w:hint="eastAsia" w:ascii="Times New Roman" w:hAnsi="Times New Roman" w:eastAsia="宋体" w:cs="宋体"/>
                <w:i w:val="0"/>
                <w:iCs w:val="0"/>
                <w:color w:val="000000"/>
                <w:sz w:val="21"/>
                <w:szCs w:val="21"/>
                <w:highlight w:val="none"/>
                <w:u w:val="none"/>
              </w:rPr>
            </w:pPr>
          </w:p>
        </w:tc>
        <w:tc>
          <w:tcPr>
            <w:tcW w:w="3774" w:type="dxa"/>
            <w:tcBorders>
              <w:tl2br w:val="nil"/>
              <w:tr2bl w:val="nil"/>
            </w:tcBorders>
            <w:noWrap/>
            <w:vAlign w:val="center"/>
          </w:tcPr>
          <w:p w14:paraId="37EB5218">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环境与职业健康体系监督2审核费</w:t>
            </w:r>
          </w:p>
        </w:tc>
        <w:tc>
          <w:tcPr>
            <w:tcW w:w="2720" w:type="dxa"/>
            <w:tcBorders>
              <w:tl2br w:val="nil"/>
              <w:tr2bl w:val="nil"/>
            </w:tcBorders>
            <w:noWrap/>
            <w:vAlign w:val="center"/>
          </w:tcPr>
          <w:p w14:paraId="7CE8DE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4621BFF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026E1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68" w:type="dxa"/>
            <w:vMerge w:val="restart"/>
            <w:tcBorders>
              <w:tl2br w:val="nil"/>
              <w:tr2bl w:val="nil"/>
            </w:tcBorders>
            <w:noWrap/>
            <w:vAlign w:val="center"/>
          </w:tcPr>
          <w:p w14:paraId="5B2CC79B">
            <w:pPr>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资格培训</w:t>
            </w:r>
          </w:p>
        </w:tc>
        <w:tc>
          <w:tcPr>
            <w:tcW w:w="3774" w:type="dxa"/>
            <w:tcBorders>
              <w:tl2br w:val="nil"/>
              <w:tr2bl w:val="nil"/>
            </w:tcBorders>
            <w:noWrap/>
            <w:vAlign w:val="center"/>
          </w:tcPr>
          <w:p w14:paraId="577AEBB2">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内审员资格培训费标准</w:t>
            </w:r>
          </w:p>
        </w:tc>
        <w:tc>
          <w:tcPr>
            <w:tcW w:w="2720" w:type="dxa"/>
            <w:tcBorders>
              <w:tl2br w:val="nil"/>
              <w:tr2bl w:val="nil"/>
            </w:tcBorders>
            <w:noWrap/>
            <w:vAlign w:val="center"/>
          </w:tcPr>
          <w:p w14:paraId="2A04A79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5A73AC4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2CFF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68" w:type="dxa"/>
            <w:vMerge w:val="continue"/>
            <w:tcBorders>
              <w:tl2br w:val="nil"/>
              <w:tr2bl w:val="nil"/>
            </w:tcBorders>
            <w:noWrap/>
            <w:vAlign w:val="center"/>
          </w:tcPr>
          <w:p w14:paraId="3BD72189">
            <w:pPr>
              <w:rPr>
                <w:rFonts w:hint="eastAsia" w:ascii="Times New Roman" w:hAnsi="Times New Roman" w:eastAsia="宋体" w:cs="宋体"/>
                <w:b/>
                <w:bCs/>
                <w:i w:val="0"/>
                <w:iCs w:val="0"/>
                <w:color w:val="000000"/>
                <w:sz w:val="21"/>
                <w:szCs w:val="21"/>
                <w:highlight w:val="none"/>
                <w:u w:val="none"/>
              </w:rPr>
            </w:pPr>
          </w:p>
        </w:tc>
        <w:tc>
          <w:tcPr>
            <w:tcW w:w="3774" w:type="dxa"/>
            <w:tcBorders>
              <w:tl2br w:val="nil"/>
              <w:tr2bl w:val="nil"/>
            </w:tcBorders>
            <w:noWrap/>
            <w:vAlign w:val="center"/>
          </w:tcPr>
          <w:p w14:paraId="09F1E9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内审员资格证书收费标准</w:t>
            </w:r>
          </w:p>
        </w:tc>
        <w:tc>
          <w:tcPr>
            <w:tcW w:w="2720" w:type="dxa"/>
            <w:tcBorders>
              <w:tl2br w:val="nil"/>
              <w:tr2bl w:val="nil"/>
            </w:tcBorders>
            <w:noWrap/>
            <w:vAlign w:val="center"/>
          </w:tcPr>
          <w:p w14:paraId="3324F3C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39D155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B9DC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68" w:type="dxa"/>
            <w:tcBorders>
              <w:tl2br w:val="nil"/>
              <w:tr2bl w:val="nil"/>
            </w:tcBorders>
            <w:noWrap/>
            <w:vAlign w:val="center"/>
          </w:tcPr>
          <w:p w14:paraId="12B9FBCC">
            <w:pPr>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其他</w:t>
            </w:r>
          </w:p>
        </w:tc>
        <w:tc>
          <w:tcPr>
            <w:tcW w:w="3774" w:type="dxa"/>
            <w:tcBorders>
              <w:tl2br w:val="nil"/>
              <w:tr2bl w:val="nil"/>
            </w:tcBorders>
            <w:noWrap/>
            <w:vAlign w:val="center"/>
          </w:tcPr>
          <w:p w14:paraId="5645E544">
            <w:pPr>
              <w:keepNext w:val="0"/>
              <w:keepLines w:val="0"/>
              <w:widowControl/>
              <w:suppressLineNumbers w:val="0"/>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default" w:ascii="Times New Roman" w:hAnsi="Times New Roman" w:eastAsia="宋体" w:cs="宋体"/>
                <w:i w:val="0"/>
                <w:iCs w:val="0"/>
                <w:color w:val="000000"/>
                <w:kern w:val="0"/>
                <w:sz w:val="21"/>
                <w:szCs w:val="21"/>
                <w:highlight w:val="none"/>
                <w:u w:val="none"/>
                <w:lang w:val="en-US" w:eastAsia="zh-CN" w:bidi="ar"/>
              </w:rPr>
              <w:t>现有体系文件的整合指导</w:t>
            </w:r>
          </w:p>
        </w:tc>
        <w:tc>
          <w:tcPr>
            <w:tcW w:w="2720" w:type="dxa"/>
            <w:tcBorders>
              <w:tl2br w:val="nil"/>
              <w:tr2bl w:val="nil"/>
            </w:tcBorders>
            <w:noWrap/>
            <w:vAlign w:val="center"/>
          </w:tcPr>
          <w:p w14:paraId="34514923">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780" w:type="dxa"/>
            <w:tcBorders>
              <w:tl2br w:val="nil"/>
              <w:tr2bl w:val="nil"/>
            </w:tcBorders>
            <w:noWrap/>
            <w:vAlign w:val="center"/>
          </w:tcPr>
          <w:p w14:paraId="7E977FF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FED4F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tcBorders>
              <w:tl2br w:val="nil"/>
              <w:tr2bl w:val="nil"/>
            </w:tcBorders>
            <w:noWrap/>
            <w:vAlign w:val="center"/>
          </w:tcPr>
          <w:p w14:paraId="11DB70F4">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3774" w:type="dxa"/>
            <w:tcBorders>
              <w:tl2br w:val="nil"/>
              <w:tr2bl w:val="nil"/>
            </w:tcBorders>
            <w:noWrap/>
            <w:vAlign w:val="center"/>
          </w:tcPr>
          <w:p w14:paraId="18378D34">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r>
              <w:rPr>
                <w:rFonts w:hint="eastAsia" w:ascii="Times New Roman" w:hAnsi="Times New Roman" w:eastAsia="宋体" w:cs="宋体"/>
                <w:b w:val="0"/>
                <w:bCs w:val="0"/>
                <w:i w:val="0"/>
                <w:iCs w:val="0"/>
                <w:color w:val="000000"/>
                <w:kern w:val="0"/>
                <w:sz w:val="21"/>
                <w:szCs w:val="21"/>
                <w:highlight w:val="none"/>
                <w:u w:val="none"/>
                <w:lang w:val="en-US" w:eastAsia="zh-CN" w:bidi="ar"/>
              </w:rPr>
              <w:t>（投标人可自行补充列示）</w:t>
            </w:r>
          </w:p>
        </w:tc>
        <w:tc>
          <w:tcPr>
            <w:tcW w:w="2720" w:type="dxa"/>
            <w:tcBorders>
              <w:tl2br w:val="nil"/>
              <w:tr2bl w:val="nil"/>
            </w:tcBorders>
            <w:noWrap/>
            <w:vAlign w:val="center"/>
          </w:tcPr>
          <w:p w14:paraId="5F48504E">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780" w:type="dxa"/>
            <w:tcBorders>
              <w:tl2br w:val="nil"/>
              <w:tr2bl w:val="nil"/>
            </w:tcBorders>
            <w:noWrap/>
            <w:vAlign w:val="center"/>
          </w:tcPr>
          <w:p w14:paraId="332FA8EF">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r w14:paraId="0F14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tcBorders>
              <w:tl2br w:val="nil"/>
              <w:tr2bl w:val="nil"/>
            </w:tcBorders>
            <w:noWrap/>
            <w:vAlign w:val="center"/>
          </w:tcPr>
          <w:p w14:paraId="5A83DD57">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3774" w:type="dxa"/>
            <w:tcBorders>
              <w:tl2br w:val="nil"/>
              <w:tr2bl w:val="nil"/>
            </w:tcBorders>
            <w:noWrap/>
            <w:vAlign w:val="center"/>
          </w:tcPr>
          <w:p w14:paraId="47B12821">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p>
        </w:tc>
        <w:tc>
          <w:tcPr>
            <w:tcW w:w="2720" w:type="dxa"/>
            <w:tcBorders>
              <w:tl2br w:val="nil"/>
              <w:tr2bl w:val="nil"/>
            </w:tcBorders>
            <w:noWrap/>
            <w:vAlign w:val="center"/>
          </w:tcPr>
          <w:p w14:paraId="1A0D0114">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780" w:type="dxa"/>
            <w:tcBorders>
              <w:tl2br w:val="nil"/>
              <w:tr2bl w:val="nil"/>
            </w:tcBorders>
            <w:noWrap/>
            <w:vAlign w:val="center"/>
          </w:tcPr>
          <w:p w14:paraId="68B7D497">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bl>
    <w:p w14:paraId="5252953E">
      <w:pPr>
        <w:pStyle w:val="2"/>
        <w:keepNext/>
        <w:keepLines/>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Times New Roman" w:hAnsi="Times New Roman" w:eastAsia="仿宋" w:cs="仿宋"/>
          <w:b/>
          <w:smallCaps w:val="0"/>
          <w:sz w:val="22"/>
          <w:szCs w:val="22"/>
          <w:highlight w:val="none"/>
          <w:lang w:val="en-US" w:eastAsia="zh-CN"/>
        </w:rPr>
      </w:pPr>
      <w:bookmarkStart w:id="65" w:name="_Toc28071"/>
      <w:bookmarkStart w:id="66" w:name="_Toc11124"/>
      <w:bookmarkStart w:id="67" w:name="_Toc4989"/>
      <w:r>
        <w:rPr>
          <w:rFonts w:hint="eastAsia" w:ascii="Times New Roman" w:hAnsi="Times New Roman" w:eastAsia="仿宋" w:cs="仿宋"/>
          <w:b/>
          <w:smallCaps w:val="0"/>
          <w:sz w:val="22"/>
          <w:szCs w:val="22"/>
          <w:highlight w:val="none"/>
          <w:lang w:val="en-US" w:eastAsia="zh-CN"/>
        </w:rPr>
        <w:t>说明：</w:t>
      </w:r>
      <w:bookmarkEnd w:id="65"/>
      <w:bookmarkEnd w:id="66"/>
      <w:bookmarkEnd w:id="67"/>
    </w:p>
    <w:p w14:paraId="4A5B2277">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42" w:firstLineChars="200"/>
        <w:textAlignment w:val="auto"/>
        <w:rPr>
          <w:rFonts w:hint="eastAsia" w:ascii="仿宋_GB2312" w:hAnsi="仿宋_GB2312" w:eastAsia="仿宋_GB2312" w:cs="仿宋_GB2312"/>
          <w:b/>
          <w:bCs w:val="0"/>
          <w:smallCaps w:val="0"/>
          <w:sz w:val="22"/>
          <w:szCs w:val="22"/>
          <w:highlight w:val="none"/>
          <w:lang w:val="en-US" w:eastAsia="zh-CN"/>
        </w:rPr>
      </w:pPr>
      <w:bookmarkStart w:id="68" w:name="_Toc25638"/>
      <w:bookmarkStart w:id="69" w:name="_Toc20093"/>
      <w:bookmarkStart w:id="70" w:name="_Toc31887"/>
      <w:r>
        <w:rPr>
          <w:rFonts w:hint="eastAsia" w:ascii="仿宋_GB2312" w:hAnsi="仿宋_GB2312" w:eastAsia="仿宋_GB2312" w:cs="仿宋_GB2312"/>
          <w:b/>
          <w:bCs w:val="0"/>
          <w:smallCaps w:val="0"/>
          <w:sz w:val="22"/>
          <w:szCs w:val="22"/>
          <w:highlight w:val="none"/>
          <w:lang w:val="en-US" w:eastAsia="zh-CN"/>
        </w:rPr>
        <w:t>服务方案应包括本表格，如遗漏或未提交的按废标处理。同时，投标人应结合实际情况尽可能提供全面、详尽、科学的服务方案。</w:t>
      </w:r>
      <w:bookmarkEnd w:id="68"/>
      <w:bookmarkEnd w:id="69"/>
      <w:bookmarkEnd w:id="70"/>
    </w:p>
    <w:p w14:paraId="505EE7E4">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 w:val="0"/>
          <w:bCs/>
          <w:smallCaps w:val="0"/>
          <w:sz w:val="22"/>
          <w:szCs w:val="22"/>
          <w:highlight w:val="none"/>
          <w:lang w:val="en-US" w:eastAsia="zh-CN"/>
        </w:rPr>
      </w:pPr>
      <w:bookmarkStart w:id="71" w:name="_Toc2384"/>
      <w:bookmarkStart w:id="72" w:name="_Toc9344"/>
      <w:bookmarkStart w:id="73" w:name="_Toc25700"/>
      <w:r>
        <w:rPr>
          <w:rFonts w:hint="eastAsia" w:ascii="仿宋_GB2312" w:hAnsi="仿宋_GB2312" w:eastAsia="仿宋_GB2312" w:cs="仿宋_GB2312"/>
          <w:b w:val="0"/>
          <w:bCs/>
          <w:smallCaps w:val="0"/>
          <w:sz w:val="22"/>
          <w:szCs w:val="22"/>
          <w:highlight w:val="none"/>
          <w:lang w:val="en-US" w:eastAsia="zh-CN"/>
        </w:rPr>
        <w:t>投标人在基准项目要求外增加服务项目及指导性文件的，按本表格式于“其他”栏按序列示即随附；</w:t>
      </w:r>
      <w:bookmarkEnd w:id="71"/>
      <w:bookmarkEnd w:id="72"/>
      <w:bookmarkEnd w:id="73"/>
    </w:p>
    <w:p w14:paraId="17335B33">
      <w:pPr>
        <w:keepNext w:val="0"/>
        <w:keepLines w:val="0"/>
        <w:pageBreakBefore w:val="0"/>
        <w:widowControl w:val="0"/>
        <w:numPr>
          <w:ilvl w:val="0"/>
          <w:numId w:val="13"/>
        </w:numPr>
        <w:kinsoku/>
        <w:wordWrap/>
        <w:overflowPunct/>
        <w:topLinePunct w:val="0"/>
        <w:autoSpaceDE/>
        <w:autoSpaceDN/>
        <w:bidi w:val="0"/>
        <w:adjustRightInd/>
        <w:snapToGrid/>
        <w:spacing w:line="240" w:lineRule="exact"/>
        <w:ind w:left="0" w:leftChars="0" w:firstLine="442" w:firstLineChars="200"/>
        <w:textAlignment w:val="auto"/>
        <w:rPr>
          <w:rFonts w:hint="eastAsia"/>
          <w:lang w:val="en-US" w:eastAsia="zh-CN"/>
        </w:rPr>
      </w:pPr>
      <w:r>
        <w:rPr>
          <w:rFonts w:hint="eastAsia" w:ascii="仿宋_GB2312" w:hAnsi="仿宋_GB2312" w:eastAsia="仿宋_GB2312" w:cs="仿宋_GB2312"/>
          <w:b/>
          <w:bCs w:val="0"/>
          <w:smallCaps w:val="0"/>
          <w:sz w:val="22"/>
          <w:szCs w:val="22"/>
          <w:highlight w:val="none"/>
          <w:lang w:val="en-US" w:eastAsia="zh-CN"/>
        </w:rPr>
        <w:t>投标人以政府指导性文件作为报价基础的，应同时提供指导性文件备查，投标人在政府指导性文件基础上给予折扣的，应提供折后价格的最终数目作为报价，并将折扣依据在备注中予以说明；</w:t>
      </w:r>
    </w:p>
    <w:p w14:paraId="135B0CD1">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42" w:firstLineChars="200"/>
        <w:textAlignment w:val="auto"/>
        <w:rPr>
          <w:rFonts w:hint="eastAsia" w:ascii="仿宋_GB2312" w:hAnsi="仿宋_GB2312" w:eastAsia="仿宋_GB2312" w:cs="仿宋_GB2312"/>
          <w:b/>
          <w:bCs w:val="0"/>
          <w:smallCaps w:val="0"/>
          <w:sz w:val="22"/>
          <w:szCs w:val="22"/>
          <w:highlight w:val="none"/>
          <w:lang w:val="en-US" w:eastAsia="zh-CN"/>
        </w:rPr>
      </w:pPr>
      <w:bookmarkStart w:id="74" w:name="_Toc16558"/>
      <w:bookmarkStart w:id="75" w:name="_Toc30206"/>
      <w:bookmarkStart w:id="76" w:name="_Toc10787"/>
      <w:r>
        <w:rPr>
          <w:rFonts w:hint="eastAsia" w:ascii="仿宋_GB2312" w:hAnsi="仿宋_GB2312" w:eastAsia="仿宋_GB2312" w:cs="仿宋_GB2312"/>
          <w:b/>
          <w:bCs w:val="0"/>
          <w:smallCaps w:val="0"/>
          <w:sz w:val="22"/>
          <w:szCs w:val="22"/>
          <w:highlight w:val="none"/>
          <w:lang w:val="en-US" w:eastAsia="zh-CN"/>
        </w:rPr>
        <w:t>投标人认可报价文件与本表所承诺的服务（包括服务优化承诺）一致，如内容不一致的，按有利于招标人利益的理解执行。</w:t>
      </w:r>
      <w:bookmarkEnd w:id="74"/>
      <w:bookmarkEnd w:id="75"/>
      <w:bookmarkEnd w:id="76"/>
    </w:p>
    <w:p w14:paraId="53F8C918">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smallCaps w:val="0"/>
          <w:sz w:val="21"/>
          <w:szCs w:val="21"/>
          <w:highlight w:val="none"/>
          <w:lang w:val="en-US" w:eastAsia="zh-CN"/>
        </w:rPr>
      </w:pPr>
      <w:bookmarkStart w:id="77" w:name="_Toc28292"/>
      <w:bookmarkStart w:id="78" w:name="_Toc14770"/>
      <w:bookmarkStart w:id="79" w:name="_Toc32174"/>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77"/>
      <w:bookmarkEnd w:id="78"/>
      <w:bookmarkEnd w:id="79"/>
    </w:p>
    <w:p w14:paraId="6F8F1C17">
      <w:pPr>
        <w:pStyle w:val="2"/>
        <w:keepNext/>
        <w:keepLines/>
        <w:pageBreakBefore w:val="0"/>
        <w:widowControl w:val="0"/>
        <w:numPr>
          <w:ilvl w:val="0"/>
          <w:numId w:val="13"/>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smallCaps w:val="0"/>
          <w:sz w:val="21"/>
          <w:szCs w:val="21"/>
          <w:highlight w:val="none"/>
          <w:lang w:val="en-US" w:eastAsia="zh-CN"/>
        </w:rPr>
      </w:pPr>
      <w:bookmarkStart w:id="80" w:name="_Toc30836"/>
      <w:bookmarkStart w:id="81" w:name="_Toc30254"/>
      <w:bookmarkStart w:id="82" w:name="_Toc19940"/>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80"/>
      <w:bookmarkEnd w:id="81"/>
      <w:bookmarkEnd w:id="82"/>
    </w:p>
    <w:p w14:paraId="060C0699">
      <w:pPr>
        <w:numPr>
          <w:ilvl w:val="0"/>
          <w:numId w:val="0"/>
        </w:numPr>
        <w:rPr>
          <w:rFonts w:hint="eastAsia"/>
          <w:lang w:val="zh-CN" w:eastAsia="zh-CN"/>
        </w:rPr>
      </w:pPr>
    </w:p>
    <w:p w14:paraId="13666C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3CC113BB">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AA1CD0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558796A4">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64F47A6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BC188E3">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eastAsia="zh-CN"/>
        </w:rPr>
      </w:pPr>
      <w:bookmarkStart w:id="83" w:name="_表2：法律顾问服务团队成员名单"/>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3-2</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拟委派的审核人员汇总表</w:t>
      </w:r>
    </w:p>
    <w:p w14:paraId="7C9688E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en-US" w:eastAsia="zh-CN"/>
        </w:rPr>
      </w:pPr>
    </w:p>
    <w:bookmarkEnd w:id="83"/>
    <w:p w14:paraId="67DB85F8">
      <w:pPr>
        <w:pStyle w:val="4"/>
        <w:ind w:left="0" w:leftChars="0" w:firstLine="0" w:firstLineChars="0"/>
        <w:jc w:val="center"/>
        <w:rPr>
          <w:rFonts w:hint="default" w:ascii="Times New Roman" w:hAnsi="Times New Roman" w:eastAsia="方正小标宋简体" w:cs="方正小标宋简体"/>
          <w:b w:val="0"/>
          <w:bCs/>
          <w:smallCaps w:val="0"/>
          <w:sz w:val="44"/>
          <w:szCs w:val="44"/>
          <w:highlight w:val="none"/>
          <w:lang w:val="en-US" w:eastAsia="zh-CN"/>
        </w:rPr>
      </w:pPr>
      <w:bookmarkStart w:id="84" w:name="_Toc4246"/>
      <w:r>
        <w:rPr>
          <w:rFonts w:hint="eastAsia" w:ascii="Times New Roman" w:eastAsia="方正小标宋简体" w:cs="方正小标宋简体"/>
          <w:b w:val="0"/>
          <w:bCs/>
          <w:smallCaps w:val="0"/>
          <w:sz w:val="44"/>
          <w:szCs w:val="44"/>
          <w:highlight w:val="none"/>
          <w:lang w:val="en-US" w:eastAsia="zh-CN"/>
        </w:rPr>
        <w:t>拟委派的审核人员汇总表</w:t>
      </w:r>
      <w:bookmarkEnd w:id="84"/>
    </w:p>
    <w:tbl>
      <w:tblPr>
        <w:tblStyle w:val="17"/>
        <w:tblW w:w="76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restart"/>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Merge w:val="restart"/>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Merge w:val="restart"/>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3261" w:type="dxa"/>
            <w:gridSpan w:val="2"/>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执业或职业资格证明</w:t>
            </w:r>
          </w:p>
        </w:tc>
        <w:tc>
          <w:tcPr>
            <w:tcW w:w="1069" w:type="dxa"/>
            <w:vMerge w:val="restart"/>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7118F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1" w:type="dxa"/>
            <w:vMerge w:val="continue"/>
            <w:vAlign w:val="center"/>
          </w:tcPr>
          <w:p w14:paraId="67A1635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Merge w:val="continue"/>
            <w:vAlign w:val="center"/>
          </w:tcPr>
          <w:p w14:paraId="1FA3882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214" w:type="dxa"/>
            <w:vMerge w:val="continue"/>
            <w:vAlign w:val="center"/>
          </w:tcPr>
          <w:p w14:paraId="03418B6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548" w:type="dxa"/>
            <w:vAlign w:val="center"/>
          </w:tcPr>
          <w:p w14:paraId="5C8F4CAB">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证书名称</w:t>
            </w:r>
          </w:p>
        </w:tc>
        <w:tc>
          <w:tcPr>
            <w:tcW w:w="1713" w:type="dxa"/>
            <w:vAlign w:val="center"/>
          </w:tcPr>
          <w:p w14:paraId="7E1126B1">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证号</w:t>
            </w:r>
          </w:p>
        </w:tc>
        <w:tc>
          <w:tcPr>
            <w:tcW w:w="1069" w:type="dxa"/>
            <w:vMerge w:val="continue"/>
            <w:vAlign w:val="center"/>
          </w:tcPr>
          <w:p w14:paraId="12E2DFA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pStyle w:val="2"/>
        <w:spacing w:line="240" w:lineRule="auto"/>
        <w:ind w:firstLine="482" w:firstLineChars="200"/>
        <w:rPr>
          <w:rFonts w:hint="eastAsia" w:ascii="Times New Roman" w:hAnsi="Times New Roman" w:eastAsia="仿宋" w:cs="仿宋"/>
          <w:b/>
          <w:smallCaps w:val="0"/>
          <w:sz w:val="24"/>
          <w:szCs w:val="24"/>
          <w:highlight w:val="none"/>
          <w:lang w:val="en-US" w:eastAsia="zh-CN"/>
        </w:rPr>
      </w:pPr>
      <w:bookmarkStart w:id="85" w:name="_Toc17880"/>
      <w:bookmarkStart w:id="86" w:name="_Toc16696"/>
      <w:bookmarkStart w:id="87" w:name="_Toc3730"/>
      <w:bookmarkStart w:id="88" w:name="_Toc1699"/>
      <w:bookmarkStart w:id="89" w:name="_Toc13518"/>
      <w:bookmarkStart w:id="90" w:name="_Toc12763"/>
      <w:r>
        <w:rPr>
          <w:rFonts w:hint="eastAsia" w:ascii="Times New Roman" w:hAnsi="Times New Roman" w:eastAsia="仿宋" w:cs="仿宋"/>
          <w:b/>
          <w:smallCaps w:val="0"/>
          <w:sz w:val="24"/>
          <w:szCs w:val="24"/>
          <w:highlight w:val="none"/>
          <w:lang w:val="en-US" w:eastAsia="zh-CN"/>
        </w:rPr>
        <w:t>说明：</w:t>
      </w:r>
      <w:bookmarkEnd w:id="85"/>
      <w:bookmarkEnd w:id="86"/>
      <w:bookmarkEnd w:id="87"/>
      <w:bookmarkEnd w:id="88"/>
      <w:bookmarkEnd w:id="89"/>
      <w:bookmarkEnd w:id="90"/>
    </w:p>
    <w:p w14:paraId="56B306C8">
      <w:pPr>
        <w:numPr>
          <w:ilvl w:val="0"/>
          <w:numId w:val="14"/>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本表内职务应按在服务团队中所承担的角色清晰填列；</w:t>
      </w:r>
    </w:p>
    <w:p w14:paraId="1015FA4B">
      <w:pPr>
        <w:numPr>
          <w:ilvl w:val="0"/>
          <w:numId w:val="14"/>
        </w:numPr>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投标人同时应提交与本表信息、顺序严格一致、且加盖公章的服务团队成员执业或职业资格证明；</w:t>
      </w:r>
    </w:p>
    <w:p w14:paraId="1A8442C9">
      <w:pPr>
        <w:numPr>
          <w:ilvl w:val="0"/>
          <w:numId w:val="14"/>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投标人认为有必要提交的其他服务团队成员资质及信息应清晰列示于备注栏并提供相应资质、证明文件；</w:t>
      </w:r>
    </w:p>
    <w:p w14:paraId="60ED933D">
      <w:pPr>
        <w:pStyle w:val="2"/>
        <w:numPr>
          <w:ilvl w:val="0"/>
          <w:numId w:val="14"/>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91" w:name="_Toc21932"/>
      <w:bookmarkStart w:id="92" w:name="_Toc32145"/>
      <w:bookmarkStart w:id="93" w:name="_Toc5886"/>
      <w:bookmarkStart w:id="94" w:name="_Toc19198"/>
      <w:bookmarkStart w:id="95" w:name="_Toc21900"/>
      <w:bookmarkStart w:id="96" w:name="_Toc5587"/>
      <w:r>
        <w:rPr>
          <w:rFonts w:hint="eastAsia" w:ascii="仿宋_GB2312" w:hAnsi="仿宋_GB2312" w:eastAsia="仿宋_GB2312" w:cs="仿宋_GB2312"/>
          <w:b w:val="0"/>
          <w:bCs/>
          <w:smallCaps w:val="0"/>
          <w:sz w:val="21"/>
          <w:szCs w:val="21"/>
          <w:highlight w:val="none"/>
          <w:lang w:val="en-US" w:eastAsia="zh-CN"/>
        </w:rPr>
        <w:t>本表经法定代表人或授权代表人签名，与全部随附文件均应加盖投标人单位公章；</w:t>
      </w:r>
      <w:bookmarkEnd w:id="91"/>
      <w:bookmarkEnd w:id="92"/>
      <w:bookmarkEnd w:id="93"/>
      <w:bookmarkEnd w:id="94"/>
      <w:bookmarkEnd w:id="95"/>
      <w:bookmarkEnd w:id="96"/>
    </w:p>
    <w:p w14:paraId="2BDCEF51">
      <w:pPr>
        <w:pStyle w:val="2"/>
        <w:numPr>
          <w:ilvl w:val="0"/>
          <w:numId w:val="14"/>
        </w:numPr>
        <w:spacing w:line="240" w:lineRule="auto"/>
        <w:ind w:left="0" w:leftChars="0" w:firstLine="420" w:firstLineChars="200"/>
        <w:rPr>
          <w:rFonts w:hint="eastAsia" w:ascii="仿宋_GB2312" w:hAnsi="仿宋_GB2312" w:eastAsia="仿宋_GB2312" w:cs="仿宋_GB2312"/>
          <w:b w:val="0"/>
          <w:bCs/>
          <w:smallCaps w:val="0"/>
          <w:sz w:val="21"/>
          <w:szCs w:val="21"/>
          <w:highlight w:val="none"/>
          <w:lang w:val="en-US" w:eastAsia="zh-CN"/>
        </w:rPr>
      </w:pPr>
      <w:bookmarkStart w:id="97" w:name="_Toc9434"/>
      <w:bookmarkStart w:id="98" w:name="_Toc7230"/>
      <w:bookmarkStart w:id="99" w:name="_Toc1495"/>
      <w:bookmarkStart w:id="100" w:name="_Toc4868"/>
      <w:bookmarkStart w:id="101" w:name="_Toc2792"/>
      <w:bookmarkStart w:id="102" w:name="_Toc22688"/>
      <w:r>
        <w:rPr>
          <w:rFonts w:hint="eastAsia" w:ascii="仿宋_GB2312" w:hAnsi="仿宋_GB2312" w:eastAsia="仿宋_GB2312" w:cs="仿宋_GB2312"/>
          <w:b w:val="0"/>
          <w:bCs/>
          <w:smallCaps w:val="0"/>
          <w:sz w:val="21"/>
          <w:szCs w:val="21"/>
          <w:highlight w:val="none"/>
          <w:lang w:val="en-US" w:eastAsia="zh-CN"/>
        </w:rPr>
        <w:t>如未按以上要求提交本表的，招标人有权根据具体情况决定废标或提出现场澄清要求，如招标人提出澄清要求后，投标人提供信息仍然有误的，予以废标。</w:t>
      </w:r>
      <w:bookmarkEnd w:id="97"/>
      <w:bookmarkEnd w:id="98"/>
      <w:bookmarkEnd w:id="99"/>
      <w:bookmarkEnd w:id="100"/>
      <w:bookmarkEnd w:id="101"/>
      <w:bookmarkEnd w:id="102"/>
    </w:p>
    <w:p w14:paraId="5FEA1D85">
      <w:pPr>
        <w:pStyle w:val="2"/>
        <w:rPr>
          <w:rFonts w:hint="eastAsia" w:ascii="仿宋_GB2312" w:hAnsi="仿宋_GB2312" w:eastAsia="仿宋_GB2312" w:cs="仿宋_GB2312"/>
          <w:b w:val="0"/>
          <w:bCs/>
          <w:smallCaps w:val="0"/>
          <w:sz w:val="21"/>
          <w:szCs w:val="21"/>
          <w:highlight w:val="none"/>
          <w:lang w:val="en-US" w:eastAsia="zh-CN"/>
        </w:rPr>
      </w:pPr>
      <w:r>
        <w:rPr>
          <w:rFonts w:hint="eastAsia" w:ascii="仿宋_GB2312" w:hAnsi="仿宋_GB2312" w:eastAsia="仿宋_GB2312" w:cs="仿宋_GB2312"/>
          <w:b w:val="0"/>
          <w:bCs/>
          <w:smallCaps w:val="0"/>
          <w:sz w:val="21"/>
          <w:szCs w:val="21"/>
          <w:highlight w:val="none"/>
          <w:lang w:val="en-US" w:eastAsia="zh-CN"/>
        </w:rPr>
        <w:t xml:space="preserve">    </w:t>
      </w:r>
    </w:p>
    <w:p w14:paraId="6A1014D0">
      <w:pPr>
        <w:rPr>
          <w:rFonts w:hint="eastAsia" w:ascii="Times New Roman" w:hAnsi="Times New Roman" w:eastAsia="仿宋" w:cs="仿宋"/>
          <w:b w:val="0"/>
          <w:bCs/>
          <w:smallCaps w:val="0"/>
          <w:sz w:val="21"/>
          <w:szCs w:val="21"/>
          <w:highlight w:val="none"/>
          <w:lang w:val="en-US" w:eastAsia="zh-CN"/>
        </w:rPr>
      </w:pPr>
    </w:p>
    <w:p w14:paraId="55467F98">
      <w:pPr>
        <w:pStyle w:val="2"/>
        <w:rPr>
          <w:rFonts w:hint="eastAsia" w:ascii="Times New Roman" w:hAnsi="Times New Roman" w:eastAsia="仿宋" w:cs="仿宋"/>
          <w:b w:val="0"/>
          <w:bCs/>
          <w:smallCaps w:val="0"/>
          <w:sz w:val="21"/>
          <w:szCs w:val="21"/>
          <w:highlight w:val="none"/>
          <w:lang w:val="en-US" w:eastAsia="zh-CN"/>
        </w:rPr>
      </w:pPr>
    </w:p>
    <w:p w14:paraId="60BEAC05">
      <w:pPr>
        <w:rPr>
          <w:rFonts w:hint="eastAsia" w:ascii="Times New Roman" w:hAnsi="Times New Roman" w:eastAsia="仿宋" w:cs="仿宋"/>
          <w:b w:val="0"/>
          <w:bCs/>
          <w:smallCaps w:val="0"/>
          <w:sz w:val="21"/>
          <w:szCs w:val="21"/>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lang w:val="en-US" w:eastAsia="zh-CN"/>
        </w:rPr>
        <w:t>投标人</w:t>
      </w:r>
      <w:r>
        <w:rPr>
          <w:rFonts w:hint="eastAsia" w:ascii="仿宋_GB2312" w:hAnsi="仿宋_GB2312" w:eastAsia="仿宋_GB2312" w:cs="仿宋_GB2312"/>
          <w:b/>
          <w:bCs w:val="0"/>
          <w:smallCaps w:val="0"/>
          <w:kern w:val="0"/>
          <w:sz w:val="24"/>
          <w:szCs w:val="24"/>
          <w:highlight w:val="none"/>
        </w:rPr>
        <w:t>名称（公章）：</w:t>
      </w:r>
    </w:p>
    <w:p w14:paraId="0BC24529">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rPr>
        <w:t>法定代表人（法定授权代表人）签名：</w:t>
      </w:r>
    </w:p>
    <w:p w14:paraId="6759BBAC">
      <w:pPr>
        <w:pStyle w:val="2"/>
        <w:rPr>
          <w:rFonts w:hint="eastAsia" w:ascii="仿宋_GB2312" w:hAnsi="仿宋_GB2312" w:eastAsia="仿宋_GB2312" w:cs="仿宋_GB2312"/>
          <w:b/>
          <w:bCs w:val="0"/>
          <w:smallCaps w:val="0"/>
          <w:sz w:val="24"/>
          <w:szCs w:val="24"/>
          <w:highlight w:val="none"/>
          <w:lang w:val="en-US" w:eastAsia="zh-CN"/>
        </w:rPr>
      </w:pPr>
      <w:bookmarkStart w:id="103" w:name="_Toc18850"/>
      <w:bookmarkStart w:id="104" w:name="_Toc15640"/>
      <w:bookmarkStart w:id="105" w:name="_Toc3934"/>
      <w:bookmarkStart w:id="106" w:name="_Toc13121"/>
      <w:bookmarkStart w:id="107" w:name="_Toc7551"/>
      <w:bookmarkStart w:id="108" w:name="_Toc5756"/>
      <w:r>
        <w:rPr>
          <w:rFonts w:hint="eastAsia" w:ascii="仿宋_GB2312" w:hAnsi="仿宋_GB2312" w:eastAsia="仿宋_GB2312" w:cs="仿宋_GB2312"/>
          <w:b/>
          <w:bCs w:val="0"/>
          <w:smallCaps w:val="0"/>
          <w:kern w:val="0"/>
          <w:sz w:val="24"/>
          <w:szCs w:val="24"/>
          <w:highlight w:val="none"/>
        </w:rPr>
        <w:t>日期：</w:t>
      </w:r>
      <w:bookmarkEnd w:id="103"/>
      <w:bookmarkEnd w:id="104"/>
      <w:bookmarkEnd w:id="105"/>
      <w:bookmarkEnd w:id="106"/>
      <w:bookmarkEnd w:id="107"/>
      <w:bookmarkEnd w:id="108"/>
    </w:p>
    <w:p w14:paraId="23A475B8">
      <w:pPr>
        <w:rPr>
          <w:rFonts w:hint="eastAsia" w:ascii="Times New Roman" w:hAnsi="Times New Roman" w:eastAsia="仿宋" w:cs="仿宋"/>
          <w:b/>
          <w:smallCaps w:val="0"/>
          <w:sz w:val="21"/>
          <w:szCs w:val="21"/>
          <w:highlight w:val="none"/>
        </w:rPr>
      </w:pPr>
    </w:p>
    <w:p w14:paraId="30BEE018">
      <w:pPr>
        <w:pStyle w:val="2"/>
        <w:spacing w:line="240" w:lineRule="auto"/>
        <w:rPr>
          <w:rFonts w:hint="eastAsia" w:ascii="Times New Roman" w:hAnsi="Times New Roman" w:eastAsia="仿宋" w:cs="仿宋"/>
          <w:b/>
          <w:smallCaps w:val="0"/>
          <w:sz w:val="21"/>
          <w:szCs w:val="21"/>
          <w:highlight w:val="none"/>
        </w:rPr>
      </w:pPr>
    </w:p>
    <w:p w14:paraId="40F1D8BA">
      <w:pPr>
        <w:rPr>
          <w:rFonts w:hint="eastAsia" w:ascii="Times New Roman" w:hAnsi="Times New Roman" w:eastAsia="仿宋" w:cs="仿宋"/>
          <w:b/>
          <w:smallCaps w:val="0"/>
          <w:sz w:val="21"/>
          <w:szCs w:val="21"/>
          <w:highlight w:val="none"/>
        </w:rPr>
      </w:pPr>
    </w:p>
    <w:p w14:paraId="0138BBA4">
      <w:pPr>
        <w:pStyle w:val="2"/>
        <w:spacing w:line="240" w:lineRule="auto"/>
        <w:rPr>
          <w:rFonts w:hint="eastAsia" w:ascii="Times New Roman" w:hAnsi="Times New Roman" w:eastAsia="仿宋" w:cs="仿宋"/>
          <w:b/>
          <w:smallCaps w:val="0"/>
          <w:sz w:val="21"/>
          <w:szCs w:val="21"/>
          <w:highlight w:val="none"/>
        </w:rPr>
      </w:pPr>
    </w:p>
    <w:p w14:paraId="55B35953">
      <w:pPr>
        <w:rPr>
          <w:rFonts w:hint="eastAsia" w:ascii="Times New Roman" w:hAnsi="Times New Roman" w:eastAsia="仿宋" w:cs="仿宋"/>
          <w:b/>
          <w:smallCaps w:val="0"/>
          <w:sz w:val="21"/>
          <w:szCs w:val="21"/>
          <w:highlight w:val="none"/>
        </w:rPr>
      </w:pPr>
    </w:p>
    <w:p w14:paraId="09AFA7FD">
      <w:pPr>
        <w:rPr>
          <w:rFonts w:hint="eastAsia" w:ascii="Times New Roman" w:hAnsi="Times New Roman" w:eastAsia="仿宋" w:cs="仿宋"/>
          <w:b/>
          <w:smallCaps w:val="0"/>
          <w:sz w:val="21"/>
          <w:szCs w:val="21"/>
          <w:highlight w:val="none"/>
        </w:rPr>
      </w:pPr>
    </w:p>
    <w:p w14:paraId="6DB98B70">
      <w:pPr>
        <w:rPr>
          <w:rFonts w:hint="eastAsia" w:ascii="Times New Roman" w:hAnsi="Times New Roman" w:eastAsia="仿宋" w:cs="仿宋"/>
          <w:b/>
          <w:smallCaps w:val="0"/>
          <w:sz w:val="21"/>
          <w:szCs w:val="21"/>
          <w:highlight w:val="none"/>
        </w:rPr>
      </w:pPr>
    </w:p>
    <w:p w14:paraId="0EDD619D">
      <w:pPr>
        <w:rPr>
          <w:rFonts w:hint="eastAsia" w:ascii="Times New Roman" w:hAnsi="Times New Roman" w:eastAsia="仿宋" w:cs="仿宋"/>
          <w:b/>
          <w:smallCaps w:val="0"/>
          <w:sz w:val="21"/>
          <w:szCs w:val="21"/>
          <w:highlight w:val="none"/>
        </w:rPr>
      </w:pPr>
    </w:p>
    <w:p w14:paraId="2906F4E6">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bookmarkEnd w:id="60"/>
    <w:bookmarkEnd w:id="61"/>
    <w:bookmarkEnd w:id="62"/>
    <w:bookmarkEnd w:id="63"/>
    <w:p w14:paraId="44BBA6B7">
      <w:pPr>
        <w:pStyle w:val="4"/>
        <w:keepNext/>
        <w:keepLines/>
        <w:pageBreakBefore w:val="0"/>
        <w:widowControl w:val="0"/>
        <w:kinsoku/>
        <w:wordWrap/>
        <w:overflowPunct/>
        <w:topLinePunct w:val="0"/>
        <w:autoSpaceDE/>
        <w:autoSpaceDN/>
        <w:bidi w:val="0"/>
        <w:adjustRightInd/>
        <w:snapToGrid/>
        <w:spacing w:before="0" w:after="0" w:line="560" w:lineRule="exact"/>
        <w:ind w:firstLine="0" w:firstLineChars="0"/>
        <w:jc w:val="left"/>
        <w:textAlignment w:val="auto"/>
        <w:rPr>
          <w:rFonts w:hint="eastAsia" w:ascii="Times New Roman" w:hAnsi="Times New Roman" w:eastAsia="黑体" w:cs="黑体"/>
          <w:b w:val="0"/>
          <w:bCs/>
          <w:smallCaps w:val="0"/>
          <w:sz w:val="32"/>
          <w:szCs w:val="32"/>
          <w:highlight w:val="none"/>
        </w:rPr>
      </w:pPr>
      <w:bookmarkStart w:id="109" w:name="_Toc32462"/>
      <w:bookmarkStart w:id="110" w:name="_Toc20116"/>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rPr>
        <w:t>：</w:t>
      </w:r>
      <w:bookmarkEnd w:id="109"/>
      <w:r>
        <w:rPr>
          <w:rFonts w:hint="eastAsia" w:ascii="Times New Roman" w:hAnsi="Times New Roman" w:eastAsia="黑体" w:cs="黑体"/>
          <w:b w:val="0"/>
          <w:bCs/>
          <w:smallCaps w:val="0"/>
          <w:sz w:val="32"/>
          <w:szCs w:val="32"/>
          <w:highlight w:val="none"/>
          <w:lang w:val="en-US" w:eastAsia="zh-CN"/>
        </w:rPr>
        <w:t>招标文件响应</w:t>
      </w:r>
      <w:r>
        <w:rPr>
          <w:rFonts w:hint="eastAsia" w:ascii="Times New Roman" w:hAnsi="Times New Roman" w:eastAsia="黑体" w:cs="黑体"/>
          <w:b w:val="0"/>
          <w:bCs/>
          <w:smallCaps w:val="0"/>
          <w:sz w:val="32"/>
          <w:szCs w:val="32"/>
          <w:highlight w:val="none"/>
        </w:rPr>
        <w:t>情况</w:t>
      </w:r>
      <w:r>
        <w:rPr>
          <w:rFonts w:hint="eastAsia" w:ascii="Times New Roman" w:hAnsi="Times New Roman" w:eastAsia="黑体" w:cs="黑体"/>
          <w:b w:val="0"/>
          <w:bCs/>
          <w:smallCaps w:val="0"/>
          <w:sz w:val="32"/>
          <w:szCs w:val="32"/>
          <w:highlight w:val="none"/>
          <w:lang w:val="en-US" w:eastAsia="zh-CN"/>
        </w:rPr>
        <w:t>偏离表</w:t>
      </w:r>
      <w:bookmarkEnd w:id="110"/>
    </w:p>
    <w:p w14:paraId="799A27FE">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p>
    <w:p w14:paraId="10BFD498">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r>
        <w:rPr>
          <w:rFonts w:hint="eastAsia" w:ascii="Times New Roman" w:hAnsi="Times New Roman" w:eastAsia="方正小标宋简体" w:cs="方正小标宋简体"/>
          <w:b w:val="0"/>
          <w:bCs/>
          <w:smallCaps w:val="0"/>
          <w:sz w:val="44"/>
          <w:szCs w:val="44"/>
          <w:highlight w:val="none"/>
          <w:lang w:val="en-US" w:eastAsia="zh-CN"/>
        </w:rPr>
        <w:t>招标文件</w:t>
      </w:r>
      <w:r>
        <w:rPr>
          <w:rFonts w:hint="eastAsia" w:ascii="Times New Roman" w:hAnsi="Times New Roman" w:eastAsia="方正小标宋简体" w:cs="方正小标宋简体"/>
          <w:b w:val="0"/>
          <w:bCs/>
          <w:smallCaps w:val="0"/>
          <w:sz w:val="44"/>
          <w:szCs w:val="44"/>
          <w:highlight w:val="none"/>
          <w:lang w:val="zh-CN"/>
        </w:rPr>
        <w:t>响应情况</w:t>
      </w:r>
      <w:r>
        <w:rPr>
          <w:rFonts w:hint="eastAsia" w:ascii="Times New Roman" w:hAnsi="Times New Roman" w:eastAsia="方正小标宋简体" w:cs="方正小标宋简体"/>
          <w:b w:val="0"/>
          <w:bCs/>
          <w:smallCaps w:val="0"/>
          <w:sz w:val="44"/>
          <w:szCs w:val="44"/>
          <w:highlight w:val="none"/>
          <w:lang w:val="en-US" w:eastAsia="zh-CN"/>
        </w:rPr>
        <w:t>偏离表</w:t>
      </w:r>
    </w:p>
    <w:p w14:paraId="62D60452">
      <w:pPr>
        <w:pStyle w:val="2"/>
        <w:spacing w:line="240" w:lineRule="auto"/>
        <w:rPr>
          <w:rFonts w:hint="eastAsia" w:ascii="Times New Roman" w:hAnsi="Times New Roman" w:eastAsia="仿宋" w:cs="仿宋"/>
          <w:b w:val="0"/>
          <w:bCs/>
          <w:smallCaps w:val="0"/>
          <w:sz w:val="20"/>
          <w:szCs w:val="10"/>
          <w:highlight w:val="none"/>
          <w:lang w:val="zh-CN"/>
        </w:rPr>
      </w:pPr>
    </w:p>
    <w:p w14:paraId="44BBBFFE">
      <w:pPr>
        <w:pStyle w:val="2"/>
        <w:keepNext/>
        <w:keepLines/>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sz w:val="24"/>
          <w:szCs w:val="15"/>
          <w:highlight w:val="none"/>
          <w:lang w:val="zh-CN"/>
        </w:rPr>
      </w:pPr>
      <w:bookmarkStart w:id="111" w:name="_Toc11676"/>
      <w:bookmarkStart w:id="112" w:name="_Toc13749"/>
      <w:bookmarkStart w:id="113" w:name="_Toc21071"/>
      <w:bookmarkStart w:id="114" w:name="_Toc7581"/>
      <w:bookmarkStart w:id="115" w:name="_Toc16751"/>
      <w:bookmarkStart w:id="116" w:name="_Toc31831"/>
      <w:r>
        <w:rPr>
          <w:rFonts w:hint="eastAsia" w:ascii="仿宋_GB2312" w:hAnsi="仿宋_GB2312" w:eastAsia="仿宋_GB2312" w:cs="仿宋_GB2312"/>
          <w:b w:val="0"/>
          <w:bCs/>
          <w:smallCaps w:val="0"/>
          <w:sz w:val="24"/>
          <w:szCs w:val="15"/>
          <w:highlight w:val="none"/>
          <w:lang w:val="en-US" w:eastAsia="zh-CN"/>
        </w:rPr>
        <w:t>投标人</w:t>
      </w:r>
      <w:r>
        <w:rPr>
          <w:rFonts w:hint="eastAsia" w:ascii="仿宋_GB2312" w:hAnsi="仿宋_GB2312" w:eastAsia="仿宋_GB2312" w:cs="仿宋_GB2312"/>
          <w:b w:val="0"/>
          <w:bCs/>
          <w:smallCaps w:val="0"/>
          <w:sz w:val="24"/>
          <w:szCs w:val="15"/>
          <w:highlight w:val="none"/>
          <w:lang w:val="zh-CN"/>
        </w:rPr>
        <w:t xml:space="preserve">：                 </w:t>
      </w:r>
      <w:r>
        <w:rPr>
          <w:rFonts w:hint="eastAsia" w:ascii="仿宋_GB2312" w:hAnsi="仿宋_GB2312" w:eastAsia="仿宋_GB2312" w:cs="仿宋_GB2312"/>
          <w:b w:val="0"/>
          <w:bCs/>
          <w:smallCaps w:val="0"/>
          <w:sz w:val="24"/>
          <w:szCs w:val="15"/>
          <w:highlight w:val="none"/>
          <w:lang w:val="en-US" w:eastAsia="zh-CN"/>
        </w:rPr>
        <w:t xml:space="preserve">  </w:t>
      </w:r>
      <w:r>
        <w:rPr>
          <w:rFonts w:hint="eastAsia" w:ascii="仿宋_GB2312" w:hAnsi="仿宋_GB2312" w:eastAsia="仿宋_GB2312" w:cs="仿宋_GB2312"/>
          <w:b w:val="0"/>
          <w:bCs/>
          <w:smallCaps w:val="0"/>
          <w:sz w:val="24"/>
          <w:szCs w:val="15"/>
          <w:highlight w:val="none"/>
          <w:lang w:val="zh-CN"/>
        </w:rPr>
        <w:t xml:space="preserve"> </w:t>
      </w:r>
      <w:r>
        <w:rPr>
          <w:rFonts w:hint="eastAsia" w:ascii="仿宋_GB2312" w:hAnsi="仿宋_GB2312" w:eastAsia="仿宋_GB2312" w:cs="仿宋_GB2312"/>
          <w:b w:val="0"/>
          <w:bCs/>
          <w:smallCaps w:val="0"/>
          <w:sz w:val="24"/>
          <w:szCs w:val="15"/>
          <w:highlight w:val="none"/>
          <w:lang w:val="en-US" w:eastAsia="zh-CN"/>
        </w:rPr>
        <w:t>招标</w:t>
      </w:r>
      <w:r>
        <w:rPr>
          <w:rFonts w:hint="eastAsia" w:ascii="仿宋_GB2312" w:hAnsi="仿宋_GB2312" w:eastAsia="仿宋_GB2312" w:cs="仿宋_GB2312"/>
          <w:b w:val="0"/>
          <w:bCs/>
          <w:smallCaps w:val="0"/>
          <w:sz w:val="24"/>
          <w:szCs w:val="15"/>
          <w:highlight w:val="none"/>
          <w:lang w:val="zh-CN"/>
        </w:rPr>
        <w:t>编号：</w:t>
      </w:r>
      <w:bookmarkEnd w:id="111"/>
      <w:bookmarkEnd w:id="112"/>
      <w:bookmarkEnd w:id="113"/>
      <w:bookmarkEnd w:id="114"/>
      <w:bookmarkEnd w:id="115"/>
      <w:bookmarkEnd w:id="116"/>
    </w:p>
    <w:tbl>
      <w:tblPr>
        <w:tblStyle w:val="16"/>
        <w:tblpPr w:leftFromText="180" w:rightFromText="180" w:vertAnchor="text" w:horzAnchor="page" w:tblpX="1742" w:tblpY="162"/>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99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629" w:type="dxa"/>
            <w:tcBorders>
              <w:tl2br w:val="nil"/>
              <w:tr2bl w:val="nil"/>
            </w:tcBorders>
            <w:vAlign w:val="center"/>
          </w:tcPr>
          <w:p w14:paraId="44B84B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16FF171C">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73EA74E1">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D19C454">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28128F5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18"/>
                <w:szCs w:val="18"/>
                <w:highlight w:val="none"/>
                <w:u w:val="none"/>
                <w:lang w:val="en-US" w:eastAsia="zh-CN" w:bidi="ar"/>
              </w:rPr>
              <w:t>（选填正偏离、负偏离）</w:t>
            </w:r>
          </w:p>
        </w:tc>
        <w:tc>
          <w:tcPr>
            <w:tcW w:w="1616" w:type="dxa"/>
            <w:tcBorders>
              <w:tl2br w:val="nil"/>
              <w:tr2bl w:val="nil"/>
            </w:tcBorders>
            <w:vAlign w:val="center"/>
          </w:tcPr>
          <w:p w14:paraId="343F9CFB">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1D4A27B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0B19F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FAC0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29" w:type="dxa"/>
            <w:tcBorders>
              <w:tl2br w:val="nil"/>
              <w:tr2bl w:val="nil"/>
            </w:tcBorders>
            <w:vAlign w:val="center"/>
          </w:tcPr>
          <w:p w14:paraId="2EE2DBB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702FCE3F">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860AC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1D301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80A71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33CFE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A7BA5B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3D7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629" w:type="dxa"/>
            <w:tcBorders>
              <w:tl2br w:val="nil"/>
              <w:tr2bl w:val="nil"/>
            </w:tcBorders>
            <w:vAlign w:val="center"/>
          </w:tcPr>
          <w:p w14:paraId="1DA0D8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44EE02F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CD1B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8E6A62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4823E5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18D916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2CBC5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286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629" w:type="dxa"/>
            <w:tcBorders>
              <w:tl2br w:val="nil"/>
              <w:tr2bl w:val="nil"/>
            </w:tcBorders>
            <w:vAlign w:val="center"/>
          </w:tcPr>
          <w:p w14:paraId="2F50989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10A32FFA">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7BD4E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F0357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45C660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74B852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542861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3DD3B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629" w:type="dxa"/>
            <w:tcBorders>
              <w:tl2br w:val="nil"/>
              <w:tr2bl w:val="nil"/>
            </w:tcBorders>
            <w:vAlign w:val="center"/>
          </w:tcPr>
          <w:p w14:paraId="166966B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8D6EFE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A10320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7822DD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58D9DF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52181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7484B9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C85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629" w:type="dxa"/>
            <w:tcBorders>
              <w:tl2br w:val="nil"/>
              <w:tr2bl w:val="nil"/>
            </w:tcBorders>
            <w:vAlign w:val="center"/>
          </w:tcPr>
          <w:p w14:paraId="60291AB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2C32754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1821BD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F359A7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C1879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5B7CCD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58869B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776B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629" w:type="dxa"/>
            <w:tcBorders>
              <w:tl2br w:val="nil"/>
              <w:tr2bl w:val="nil"/>
            </w:tcBorders>
            <w:vAlign w:val="center"/>
          </w:tcPr>
          <w:p w14:paraId="239510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745AFBC5">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28E62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BC399B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9EDF95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EFDEF7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3050A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4305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629" w:type="dxa"/>
            <w:tcBorders>
              <w:tl2br w:val="nil"/>
              <w:tr2bl w:val="nil"/>
            </w:tcBorders>
            <w:vAlign w:val="center"/>
          </w:tcPr>
          <w:p w14:paraId="525B92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54F3D51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7C5F045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A48553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1EDEEB0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4AC88B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154E72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0685F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29" w:type="dxa"/>
            <w:tcBorders>
              <w:tl2br w:val="nil"/>
              <w:tr2bl w:val="nil"/>
            </w:tcBorders>
          </w:tcPr>
          <w:p w14:paraId="1A5D8E5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03A609F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437D647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6F11069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2F8AFA4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43B2E9B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1804C26E">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A955AA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说明：</w:t>
      </w:r>
    </w:p>
    <w:p w14:paraId="253D038C">
      <w:pPr>
        <w:keepNext w:val="0"/>
        <w:keepLines w:val="0"/>
        <w:pageBreakBefore w:val="0"/>
        <w:widowControl/>
        <w:numPr>
          <w:ilvl w:val="0"/>
          <w:numId w:val="15"/>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eastAsia" w:ascii="仿宋_GB2312" w:hAnsi="仿宋_GB2312" w:eastAsia="仿宋_GB2312" w:cs="仿宋_GB2312"/>
          <w:b w:val="0"/>
          <w:bCs w:val="0"/>
          <w:smallCaps w:val="0"/>
          <w:kern w:val="0"/>
          <w:sz w:val="21"/>
          <w:szCs w:val="21"/>
          <w:highlight w:val="none"/>
          <w:lang w:val="en-US" w:eastAsia="zh-CN"/>
        </w:rPr>
        <w:t>偏离性质以招标人列示招标文件条款为基准，作出对招标人有利修改的为正偏离，反之为负偏离。</w:t>
      </w:r>
    </w:p>
    <w:p w14:paraId="381C6287">
      <w:pPr>
        <w:keepNext w:val="0"/>
        <w:keepLines w:val="0"/>
        <w:pageBreakBefore w:val="0"/>
        <w:widowControl w:val="0"/>
        <w:numPr>
          <w:ilvl w:val="0"/>
          <w:numId w:val="15"/>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应准确完整阅读</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并就</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内条款与</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招标人</w:t>
      </w:r>
      <w:r>
        <w:rPr>
          <w:rFonts w:hint="eastAsia" w:ascii="仿宋_GB2312" w:hAnsi="仿宋_GB2312" w:eastAsia="仿宋_GB2312" w:cs="仿宋_GB2312"/>
          <w:b w:val="0"/>
          <w:bCs w:val="0"/>
          <w:smallCaps w:val="0"/>
          <w:sz w:val="21"/>
          <w:szCs w:val="21"/>
          <w:highlight w:val="none"/>
        </w:rPr>
        <w:t>有权判定为废标。</w:t>
      </w:r>
    </w:p>
    <w:p w14:paraId="5731B313">
      <w:pPr>
        <w:keepNext w:val="0"/>
        <w:keepLines w:val="0"/>
        <w:pageBreakBefore w:val="0"/>
        <w:widowControl w:val="0"/>
        <w:numPr>
          <w:ilvl w:val="0"/>
          <w:numId w:val="15"/>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eastAsia" w:ascii="仿宋_GB2312" w:hAnsi="仿宋_GB2312" w:eastAsia="仿宋_GB2312" w:cs="仿宋_GB2312"/>
          <w:b w:val="0"/>
          <w:bCs w:val="0"/>
          <w:smallCaps w:val="0"/>
          <w:kern w:val="2"/>
          <w:sz w:val="21"/>
          <w:szCs w:val="21"/>
          <w:highlight w:val="none"/>
        </w:rPr>
        <w:t>注明相关</w:t>
      </w:r>
      <w:r>
        <w:rPr>
          <w:rFonts w:hint="eastAsia" w:ascii="仿宋_GB2312" w:hAnsi="仿宋_GB2312" w:eastAsia="仿宋_GB2312" w:cs="仿宋_GB2312"/>
          <w:b w:val="0"/>
          <w:bCs w:val="0"/>
          <w:smallCaps w:val="0"/>
          <w:kern w:val="2"/>
          <w:sz w:val="21"/>
          <w:szCs w:val="21"/>
          <w:highlight w:val="none"/>
          <w:lang w:val="en-US" w:eastAsia="zh-CN"/>
        </w:rPr>
        <w:t>招标文件</w:t>
      </w:r>
      <w:r>
        <w:rPr>
          <w:rFonts w:hint="eastAsia" w:ascii="仿宋_GB2312" w:hAnsi="仿宋_GB2312" w:eastAsia="仿宋_GB2312" w:cs="仿宋_GB2312"/>
          <w:b w:val="0"/>
          <w:bCs w:val="0"/>
          <w:smallCaps w:val="0"/>
          <w:kern w:val="2"/>
          <w:sz w:val="21"/>
          <w:szCs w:val="21"/>
          <w:highlight w:val="none"/>
        </w:rPr>
        <w:t>响应的服务承诺及</w:t>
      </w:r>
      <w:r>
        <w:rPr>
          <w:rFonts w:hint="eastAsia" w:ascii="仿宋_GB2312" w:hAnsi="仿宋_GB2312" w:eastAsia="仿宋_GB2312" w:cs="仿宋_GB2312"/>
          <w:b w:val="0"/>
          <w:bCs w:val="0"/>
          <w:smallCaps w:val="0"/>
          <w:kern w:val="2"/>
          <w:sz w:val="21"/>
          <w:szCs w:val="21"/>
          <w:highlight w:val="none"/>
          <w:lang w:val="en-US" w:eastAsia="zh-CN"/>
        </w:rPr>
        <w:t>投标文件</w:t>
      </w:r>
      <w:r>
        <w:rPr>
          <w:rFonts w:hint="eastAsia" w:ascii="仿宋_GB2312" w:hAnsi="仿宋_GB2312" w:eastAsia="仿宋_GB2312" w:cs="仿宋_GB2312"/>
          <w:b w:val="0"/>
          <w:bCs w:val="0"/>
          <w:smallCaps w:val="0"/>
          <w:kern w:val="2"/>
          <w:sz w:val="21"/>
          <w:szCs w:val="21"/>
          <w:highlight w:val="none"/>
        </w:rPr>
        <w:t>对应页数。</w:t>
      </w:r>
    </w:p>
    <w:p w14:paraId="0C58A6BD">
      <w:pPr>
        <w:pStyle w:val="2"/>
        <w:rPr>
          <w:rFonts w:hint="eastAsia" w:ascii="Times New Roman" w:hAnsi="Times New Roman"/>
          <w:smallCaps w:val="0"/>
          <w:sz w:val="32"/>
          <w:szCs w:val="18"/>
          <w:highlight w:val="none"/>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09651FD">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en-US" w:eastAsia="zh-CN"/>
        </w:rPr>
      </w:pPr>
      <w:bookmarkStart w:id="117" w:name="_Toc27241"/>
      <w:bookmarkStart w:id="118" w:name="_Toc21663"/>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5</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服务项目报价单</w:t>
      </w:r>
      <w:bookmarkEnd w:id="117"/>
    </w:p>
    <w:p w14:paraId="4C86F667">
      <w:pPr>
        <w:rPr>
          <w:rFonts w:hint="eastAsia"/>
          <w:lang w:val="zh-CN"/>
        </w:rPr>
      </w:pPr>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44"/>
          <w:szCs w:val="44"/>
          <w:highlight w:val="none"/>
          <w:lang w:val="en-US" w:eastAsia="zh-CN"/>
        </w:rPr>
      </w:pPr>
      <w:r>
        <w:rPr>
          <w:rFonts w:hint="eastAsia" w:ascii="Times New Roman" w:hAnsi="Times New Roman" w:eastAsia="方正小标宋简体" w:cs="方正小标宋简体"/>
          <w:b w:val="0"/>
          <w:bCs w:val="0"/>
          <w:smallCaps w:val="0"/>
          <w:sz w:val="44"/>
          <w:szCs w:val="44"/>
          <w:highlight w:val="none"/>
          <w:lang w:val="en-US" w:eastAsia="zh-CN"/>
        </w:rPr>
        <w:t>服务项目报价单</w:t>
      </w:r>
    </w:p>
    <w:p w14:paraId="04648AB3">
      <w:pPr>
        <w:pStyle w:val="2"/>
        <w:spacing w:line="240" w:lineRule="auto"/>
        <w:rPr>
          <w:rFonts w:hint="eastAsia" w:ascii="仿宋_GB2312" w:hAnsi="仿宋_GB2312" w:eastAsia="仿宋_GB2312" w:cs="仿宋_GB2312"/>
          <w:smallCaps w:val="0"/>
          <w:sz w:val="24"/>
          <w:szCs w:val="24"/>
          <w:highlight w:val="none"/>
          <w:lang w:val="en-US" w:eastAsia="zh-CN"/>
        </w:rPr>
      </w:pPr>
    </w:p>
    <w:p w14:paraId="6D770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致：深圳市鹏劳人力资源管理有限公司</w:t>
      </w:r>
    </w:p>
    <w:p w14:paraId="67DA54C8">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Cs/>
          <w:smallCaps w:val="0"/>
          <w:sz w:val="24"/>
          <w:szCs w:val="24"/>
          <w:highlight w:val="none"/>
        </w:rPr>
      </w:pPr>
      <w:r>
        <w:rPr>
          <w:rFonts w:hint="eastAsia" w:ascii="Times New Roman" w:hAnsi="Times New Roman" w:eastAsia="仿宋_GB2312" w:cs="仿宋_GB2312"/>
          <w:bCs/>
          <w:smallCaps w:val="0"/>
          <w:sz w:val="24"/>
          <w:szCs w:val="24"/>
          <w:highlight w:val="none"/>
          <w:lang w:val="en-US" w:eastAsia="zh-CN"/>
        </w:rPr>
        <w:t>2025-2027年度质量、环境及职业健康安全管理体系认证服务项目（二次）</w:t>
      </w:r>
      <w:r>
        <w:rPr>
          <w:rFonts w:hint="eastAsia" w:ascii="Times New Roman" w:hAnsi="Times New Roman" w:eastAsia="仿宋_GB2312" w:cs="仿宋_GB2312"/>
          <w:bCs/>
          <w:smallCaps w:val="0"/>
          <w:sz w:val="24"/>
          <w:szCs w:val="24"/>
          <w:highlight w:val="none"/>
        </w:rPr>
        <w:t>（</w:t>
      </w:r>
      <w:r>
        <w:rPr>
          <w:rFonts w:hint="eastAsia" w:ascii="Times New Roman" w:hAnsi="Times New Roman" w:eastAsia="仿宋_GB2312" w:cs="仿宋_GB2312"/>
          <w:bCs/>
          <w:smallCaps w:val="0"/>
          <w:sz w:val="24"/>
          <w:szCs w:val="24"/>
          <w:highlight w:val="none"/>
          <w:lang w:val="en-US" w:eastAsia="zh-CN"/>
        </w:rPr>
        <w:t>采购</w:t>
      </w:r>
      <w:r>
        <w:rPr>
          <w:rFonts w:hint="eastAsia" w:ascii="Times New Roman" w:hAnsi="Times New Roman" w:eastAsia="仿宋_GB2312" w:cs="仿宋_GB2312"/>
          <w:bCs/>
          <w:smallCaps w:val="0"/>
          <w:sz w:val="24"/>
          <w:szCs w:val="24"/>
          <w:highlight w:val="none"/>
        </w:rPr>
        <w:t>编号：</w:t>
      </w:r>
      <w:r>
        <w:rPr>
          <w:rFonts w:hint="eastAsia" w:ascii="Times New Roman" w:hAnsi="Times New Roman" w:eastAsia="仿宋_GB2312" w:cs="仿宋_GB2312"/>
          <w:bCs/>
          <w:smallCaps w:val="0"/>
          <w:sz w:val="24"/>
          <w:szCs w:val="24"/>
          <w:highlight w:val="none"/>
          <w:lang w:eastAsia="zh-CN"/>
        </w:rPr>
        <w:t>PLHR-ZB-FW-202504</w:t>
      </w:r>
      <w:r>
        <w:rPr>
          <w:rFonts w:hint="eastAsia" w:ascii="Times New Roman" w:hAnsi="Times New Roman" w:eastAsia="仿宋_GB2312" w:cs="仿宋_GB2312"/>
          <w:bCs/>
          <w:smallCaps w:val="0"/>
          <w:sz w:val="24"/>
          <w:szCs w:val="24"/>
          <w:highlight w:val="none"/>
          <w:lang w:val="en-US" w:eastAsia="zh-CN"/>
        </w:rPr>
        <w:t>01</w:t>
      </w:r>
      <w:r>
        <w:rPr>
          <w:rFonts w:hint="eastAsia" w:ascii="Times New Roman" w:hAnsi="Times New Roman" w:eastAsia="仿宋_GB2312" w:cs="仿宋_GB2312"/>
          <w:bCs/>
          <w:smallCaps w:val="0"/>
          <w:sz w:val="24"/>
          <w:szCs w:val="24"/>
          <w:highlight w:val="none"/>
        </w:rPr>
        <w:t>）项目报价如下</w:t>
      </w:r>
      <w:r>
        <w:rPr>
          <w:rFonts w:hint="eastAsia" w:ascii="仿宋_GB2312" w:hAnsi="仿宋_GB2312" w:eastAsia="仿宋_GB2312" w:cs="仿宋_GB2312"/>
          <w:bCs/>
          <w:smallCaps w:val="0"/>
          <w:sz w:val="24"/>
          <w:szCs w:val="24"/>
          <w:highlight w:val="none"/>
        </w:rPr>
        <w:t>：</w:t>
      </w:r>
    </w:p>
    <w:tbl>
      <w:tblPr>
        <w:tblStyle w:val="16"/>
        <w:tblW w:w="9859" w:type="dxa"/>
        <w:tblInd w:w="-11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367"/>
        <w:gridCol w:w="1166"/>
        <w:gridCol w:w="1380"/>
        <w:gridCol w:w="1381"/>
        <w:gridCol w:w="1497"/>
      </w:tblGrid>
      <w:tr w14:paraId="5E0EF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9859" w:type="dxa"/>
            <w:gridSpan w:val="6"/>
            <w:tcBorders>
              <w:tl2br w:val="nil"/>
              <w:tr2bl w:val="nil"/>
            </w:tcBorders>
            <w:noWrap/>
            <w:vAlign w:val="center"/>
          </w:tcPr>
          <w:p w14:paraId="0A25E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一、认证服务预算</w:t>
            </w:r>
          </w:p>
        </w:tc>
      </w:tr>
      <w:tr w14:paraId="7C676F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68" w:type="dxa"/>
            <w:tcBorders>
              <w:tl2br w:val="nil"/>
              <w:tr2bl w:val="nil"/>
            </w:tcBorders>
            <w:noWrap/>
            <w:vAlign w:val="center"/>
          </w:tcPr>
          <w:p w14:paraId="12A85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认证年度</w:t>
            </w:r>
          </w:p>
        </w:tc>
        <w:tc>
          <w:tcPr>
            <w:tcW w:w="3367" w:type="dxa"/>
            <w:tcBorders>
              <w:tl2br w:val="nil"/>
              <w:tr2bl w:val="nil"/>
            </w:tcBorders>
            <w:noWrap/>
            <w:vAlign w:val="center"/>
          </w:tcPr>
          <w:p w14:paraId="47389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认证周期名称</w:t>
            </w:r>
          </w:p>
        </w:tc>
        <w:tc>
          <w:tcPr>
            <w:tcW w:w="1166" w:type="dxa"/>
            <w:tcBorders>
              <w:tl2br w:val="nil"/>
              <w:tr2bl w:val="nil"/>
            </w:tcBorders>
            <w:noWrap w:val="0"/>
            <w:vAlign w:val="center"/>
          </w:tcPr>
          <w:p w14:paraId="266F7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服务天数</w:t>
            </w:r>
            <w:r>
              <w:rPr>
                <w:rStyle w:val="27"/>
                <w:rFonts w:hint="eastAsia" w:ascii="Times New Roman" w:hAnsi="Times New Roman" w:eastAsia="宋体" w:cs="宋体"/>
                <w:b/>
                <w:bCs/>
                <w:sz w:val="20"/>
                <w:szCs w:val="20"/>
                <w:highlight w:val="none"/>
                <w:lang w:val="en-US" w:eastAsia="zh-CN" w:bidi="ar"/>
              </w:rPr>
              <w:t>（天）</w:t>
            </w:r>
          </w:p>
        </w:tc>
        <w:tc>
          <w:tcPr>
            <w:tcW w:w="1380" w:type="dxa"/>
            <w:tcBorders>
              <w:tl2br w:val="nil"/>
              <w:tr2bl w:val="nil"/>
            </w:tcBorders>
            <w:noWrap w:val="0"/>
            <w:vAlign w:val="center"/>
          </w:tcPr>
          <w:p w14:paraId="4023B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分项预算</w:t>
            </w:r>
          </w:p>
          <w:p w14:paraId="544EB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381" w:type="dxa"/>
            <w:tcBorders>
              <w:tl2br w:val="nil"/>
              <w:tr2bl w:val="nil"/>
            </w:tcBorders>
            <w:noWrap/>
            <w:vAlign w:val="center"/>
          </w:tcPr>
          <w:p w14:paraId="27BDC2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预算小计</w:t>
            </w:r>
          </w:p>
          <w:p w14:paraId="553839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（含增值税）</w:t>
            </w:r>
          </w:p>
        </w:tc>
        <w:tc>
          <w:tcPr>
            <w:tcW w:w="1497" w:type="dxa"/>
            <w:tcBorders>
              <w:tl2br w:val="nil"/>
              <w:tr2bl w:val="nil"/>
            </w:tcBorders>
            <w:noWrap/>
            <w:vAlign w:val="center"/>
          </w:tcPr>
          <w:p w14:paraId="799520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备注</w:t>
            </w:r>
          </w:p>
        </w:tc>
      </w:tr>
      <w:tr w14:paraId="49ECF6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68" w:type="dxa"/>
            <w:vMerge w:val="restart"/>
            <w:tcBorders>
              <w:tl2br w:val="nil"/>
              <w:tr2bl w:val="nil"/>
            </w:tcBorders>
            <w:noWrap/>
            <w:vAlign w:val="center"/>
          </w:tcPr>
          <w:p w14:paraId="22309927">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2025</w:t>
            </w:r>
          </w:p>
        </w:tc>
        <w:tc>
          <w:tcPr>
            <w:tcW w:w="3367" w:type="dxa"/>
            <w:tcBorders>
              <w:tl2br w:val="nil"/>
              <w:tr2bl w:val="nil"/>
            </w:tcBorders>
            <w:noWrap/>
            <w:vAlign w:val="center"/>
          </w:tcPr>
          <w:p w14:paraId="26331D62">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质量管理体系监督2阶段审核费</w:t>
            </w:r>
          </w:p>
        </w:tc>
        <w:tc>
          <w:tcPr>
            <w:tcW w:w="1166" w:type="dxa"/>
            <w:tcBorders>
              <w:tl2br w:val="nil"/>
              <w:tr2bl w:val="nil"/>
            </w:tcBorders>
            <w:noWrap/>
            <w:vAlign w:val="center"/>
          </w:tcPr>
          <w:p w14:paraId="4253604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5B5585E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restart"/>
            <w:tcBorders>
              <w:tl2br w:val="nil"/>
              <w:tr2bl w:val="nil"/>
            </w:tcBorders>
            <w:noWrap/>
            <w:vAlign w:val="center"/>
          </w:tcPr>
          <w:p w14:paraId="0380463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vMerge w:val="restart"/>
            <w:tcBorders>
              <w:tl2br w:val="nil"/>
              <w:tr2bl w:val="nil"/>
            </w:tcBorders>
            <w:noWrap/>
            <w:vAlign w:val="center"/>
          </w:tcPr>
          <w:p w14:paraId="1F2DD61E">
            <w:pPr>
              <w:rPr>
                <w:rFonts w:hint="eastAsia" w:ascii="Times New Roman" w:hAnsi="Times New Roman" w:eastAsia="宋体" w:cs="宋体"/>
                <w:i w:val="0"/>
                <w:iCs w:val="0"/>
                <w:color w:val="000000"/>
                <w:sz w:val="21"/>
                <w:szCs w:val="21"/>
                <w:highlight w:val="none"/>
                <w:u w:val="none"/>
              </w:rPr>
            </w:pPr>
          </w:p>
        </w:tc>
      </w:tr>
      <w:tr w14:paraId="45B2A6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068" w:type="dxa"/>
            <w:vMerge w:val="continue"/>
            <w:tcBorders>
              <w:tl2br w:val="nil"/>
              <w:tr2bl w:val="nil"/>
            </w:tcBorders>
            <w:noWrap/>
            <w:vAlign w:val="center"/>
          </w:tcPr>
          <w:p w14:paraId="079BC233">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0B4A0D8D">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环境与职业健康体系再认证审核费</w:t>
            </w:r>
          </w:p>
        </w:tc>
        <w:tc>
          <w:tcPr>
            <w:tcW w:w="1166" w:type="dxa"/>
            <w:tcBorders>
              <w:tl2br w:val="nil"/>
              <w:tr2bl w:val="nil"/>
            </w:tcBorders>
            <w:noWrap/>
            <w:vAlign w:val="center"/>
          </w:tcPr>
          <w:p w14:paraId="1088492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43B1AFF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continue"/>
            <w:tcBorders>
              <w:tl2br w:val="nil"/>
              <w:tr2bl w:val="nil"/>
            </w:tcBorders>
            <w:noWrap/>
            <w:vAlign w:val="center"/>
          </w:tcPr>
          <w:p w14:paraId="4D6F01B4">
            <w:pPr>
              <w:jc w:val="center"/>
              <w:rPr>
                <w:rFonts w:hint="eastAsia" w:ascii="Times New Roman" w:hAnsi="Times New Roman" w:eastAsia="宋体" w:cs="宋体"/>
                <w:i w:val="0"/>
                <w:iCs w:val="0"/>
                <w:color w:val="000000"/>
                <w:sz w:val="21"/>
                <w:szCs w:val="21"/>
                <w:highlight w:val="none"/>
                <w:u w:val="none"/>
              </w:rPr>
            </w:pPr>
          </w:p>
        </w:tc>
        <w:tc>
          <w:tcPr>
            <w:tcW w:w="1497" w:type="dxa"/>
            <w:vMerge w:val="continue"/>
            <w:tcBorders>
              <w:tl2br w:val="nil"/>
              <w:tr2bl w:val="nil"/>
            </w:tcBorders>
            <w:noWrap/>
            <w:vAlign w:val="center"/>
          </w:tcPr>
          <w:p w14:paraId="14BDC261">
            <w:pPr>
              <w:rPr>
                <w:rFonts w:hint="eastAsia" w:ascii="Times New Roman" w:hAnsi="Times New Roman" w:eastAsia="宋体" w:cs="宋体"/>
                <w:i w:val="0"/>
                <w:iCs w:val="0"/>
                <w:color w:val="000000"/>
                <w:sz w:val="21"/>
                <w:szCs w:val="21"/>
                <w:highlight w:val="none"/>
                <w:u w:val="none"/>
              </w:rPr>
            </w:pPr>
          </w:p>
        </w:tc>
      </w:tr>
      <w:tr w14:paraId="62E6F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68" w:type="dxa"/>
            <w:vMerge w:val="restart"/>
            <w:tcBorders>
              <w:tl2br w:val="nil"/>
              <w:tr2bl w:val="nil"/>
            </w:tcBorders>
            <w:noWrap/>
            <w:vAlign w:val="center"/>
          </w:tcPr>
          <w:p w14:paraId="722B0CE5">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2026</w:t>
            </w:r>
          </w:p>
        </w:tc>
        <w:tc>
          <w:tcPr>
            <w:tcW w:w="3367" w:type="dxa"/>
            <w:tcBorders>
              <w:tl2br w:val="nil"/>
              <w:tr2bl w:val="nil"/>
            </w:tcBorders>
            <w:noWrap/>
            <w:vAlign w:val="center"/>
          </w:tcPr>
          <w:p w14:paraId="38EEF0BF">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质量管理体系再认证审核费</w:t>
            </w:r>
          </w:p>
        </w:tc>
        <w:tc>
          <w:tcPr>
            <w:tcW w:w="1166" w:type="dxa"/>
            <w:tcBorders>
              <w:tl2br w:val="nil"/>
              <w:tr2bl w:val="nil"/>
            </w:tcBorders>
            <w:noWrap/>
            <w:vAlign w:val="center"/>
          </w:tcPr>
          <w:p w14:paraId="4BA8DF8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1F2C9283">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restart"/>
            <w:tcBorders>
              <w:tl2br w:val="nil"/>
              <w:tr2bl w:val="nil"/>
            </w:tcBorders>
            <w:noWrap/>
            <w:vAlign w:val="center"/>
          </w:tcPr>
          <w:p w14:paraId="624AC4E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vMerge w:val="restart"/>
            <w:tcBorders>
              <w:tl2br w:val="nil"/>
              <w:tr2bl w:val="nil"/>
            </w:tcBorders>
            <w:noWrap/>
            <w:vAlign w:val="center"/>
          </w:tcPr>
          <w:p w14:paraId="1093C578">
            <w:pPr>
              <w:rPr>
                <w:rFonts w:hint="eastAsia" w:ascii="Times New Roman" w:hAnsi="Times New Roman" w:eastAsia="宋体" w:cs="宋体"/>
                <w:i w:val="0"/>
                <w:iCs w:val="0"/>
                <w:color w:val="000000"/>
                <w:sz w:val="21"/>
                <w:szCs w:val="21"/>
                <w:highlight w:val="none"/>
                <w:u w:val="none"/>
              </w:rPr>
            </w:pPr>
          </w:p>
        </w:tc>
      </w:tr>
      <w:tr w14:paraId="5A090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068" w:type="dxa"/>
            <w:vMerge w:val="continue"/>
            <w:tcBorders>
              <w:tl2br w:val="nil"/>
              <w:tr2bl w:val="nil"/>
            </w:tcBorders>
            <w:noWrap/>
            <w:vAlign w:val="center"/>
          </w:tcPr>
          <w:p w14:paraId="5CBF9647">
            <w:pPr>
              <w:jc w:val="center"/>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39A21C88">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环境与职业健康体系监督1审核费</w:t>
            </w:r>
          </w:p>
        </w:tc>
        <w:tc>
          <w:tcPr>
            <w:tcW w:w="1166" w:type="dxa"/>
            <w:tcBorders>
              <w:tl2br w:val="nil"/>
              <w:tr2bl w:val="nil"/>
            </w:tcBorders>
            <w:noWrap/>
            <w:vAlign w:val="center"/>
          </w:tcPr>
          <w:p w14:paraId="66B8B19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588E20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continue"/>
            <w:tcBorders>
              <w:tl2br w:val="nil"/>
              <w:tr2bl w:val="nil"/>
            </w:tcBorders>
            <w:noWrap/>
            <w:vAlign w:val="center"/>
          </w:tcPr>
          <w:p w14:paraId="0713ADDF">
            <w:pPr>
              <w:jc w:val="center"/>
              <w:rPr>
                <w:rFonts w:hint="eastAsia" w:ascii="Times New Roman" w:hAnsi="Times New Roman" w:eastAsia="宋体" w:cs="宋体"/>
                <w:i w:val="0"/>
                <w:iCs w:val="0"/>
                <w:color w:val="000000"/>
                <w:sz w:val="21"/>
                <w:szCs w:val="21"/>
                <w:highlight w:val="none"/>
                <w:u w:val="none"/>
              </w:rPr>
            </w:pPr>
          </w:p>
        </w:tc>
        <w:tc>
          <w:tcPr>
            <w:tcW w:w="1497" w:type="dxa"/>
            <w:vMerge w:val="continue"/>
            <w:tcBorders>
              <w:tl2br w:val="nil"/>
              <w:tr2bl w:val="nil"/>
            </w:tcBorders>
            <w:noWrap/>
            <w:vAlign w:val="center"/>
          </w:tcPr>
          <w:p w14:paraId="67980139">
            <w:pPr>
              <w:rPr>
                <w:rFonts w:hint="eastAsia" w:ascii="Times New Roman" w:hAnsi="Times New Roman" w:eastAsia="宋体" w:cs="宋体"/>
                <w:i w:val="0"/>
                <w:iCs w:val="0"/>
                <w:color w:val="000000"/>
                <w:sz w:val="21"/>
                <w:szCs w:val="21"/>
                <w:highlight w:val="none"/>
                <w:u w:val="none"/>
              </w:rPr>
            </w:pPr>
          </w:p>
        </w:tc>
      </w:tr>
      <w:tr w14:paraId="0B770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68" w:type="dxa"/>
            <w:vMerge w:val="restart"/>
            <w:tcBorders>
              <w:tl2br w:val="nil"/>
              <w:tr2bl w:val="nil"/>
            </w:tcBorders>
            <w:noWrap/>
            <w:vAlign w:val="center"/>
          </w:tcPr>
          <w:p w14:paraId="3905D614">
            <w:pPr>
              <w:keepNext w:val="0"/>
              <w:keepLines w:val="0"/>
              <w:widowControl/>
              <w:suppressLineNumbers w:val="0"/>
              <w:jc w:val="center"/>
              <w:textAlignment w:val="center"/>
              <w:rPr>
                <w:rFonts w:hint="default" w:ascii="Times New Roman" w:hAnsi="Times New Roman" w:eastAsia="宋体" w:cs="宋体"/>
                <w:b/>
                <w:bCs/>
                <w:i w:val="0"/>
                <w:iCs w:val="0"/>
                <w:color w:val="000000"/>
                <w:sz w:val="21"/>
                <w:szCs w:val="21"/>
                <w:highlight w:val="none"/>
                <w:u w:val="none"/>
                <w:lang w:val="en-US"/>
              </w:rPr>
            </w:pPr>
            <w:r>
              <w:rPr>
                <w:rFonts w:hint="eastAsia" w:ascii="Times New Roman" w:hAnsi="Times New Roman" w:eastAsia="宋体" w:cs="宋体"/>
                <w:b/>
                <w:bCs/>
                <w:i w:val="0"/>
                <w:iCs w:val="0"/>
                <w:color w:val="000000"/>
                <w:kern w:val="0"/>
                <w:sz w:val="21"/>
                <w:szCs w:val="21"/>
                <w:highlight w:val="none"/>
                <w:u w:val="none"/>
                <w:lang w:val="en-US" w:eastAsia="zh-CN" w:bidi="ar"/>
              </w:rPr>
              <w:t>2027</w:t>
            </w:r>
          </w:p>
        </w:tc>
        <w:tc>
          <w:tcPr>
            <w:tcW w:w="3367" w:type="dxa"/>
            <w:tcBorders>
              <w:tl2br w:val="nil"/>
              <w:tr2bl w:val="nil"/>
            </w:tcBorders>
            <w:noWrap/>
            <w:vAlign w:val="center"/>
          </w:tcPr>
          <w:p w14:paraId="5D6913D7">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质量管理体系监督1阶段审核费</w:t>
            </w:r>
          </w:p>
        </w:tc>
        <w:tc>
          <w:tcPr>
            <w:tcW w:w="1166" w:type="dxa"/>
            <w:tcBorders>
              <w:tl2br w:val="nil"/>
              <w:tr2bl w:val="nil"/>
            </w:tcBorders>
            <w:noWrap/>
            <w:vAlign w:val="center"/>
          </w:tcPr>
          <w:p w14:paraId="0DED743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632A3CF4">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restart"/>
            <w:tcBorders>
              <w:tl2br w:val="nil"/>
              <w:tr2bl w:val="nil"/>
            </w:tcBorders>
            <w:noWrap/>
            <w:vAlign w:val="center"/>
          </w:tcPr>
          <w:p w14:paraId="2808CCB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vMerge w:val="restart"/>
            <w:tcBorders>
              <w:tl2br w:val="nil"/>
              <w:tr2bl w:val="nil"/>
            </w:tcBorders>
            <w:noWrap/>
            <w:vAlign w:val="center"/>
          </w:tcPr>
          <w:p w14:paraId="5B837CE1">
            <w:pPr>
              <w:rPr>
                <w:rFonts w:hint="eastAsia" w:ascii="Times New Roman" w:hAnsi="Times New Roman" w:eastAsia="宋体" w:cs="宋体"/>
                <w:i w:val="0"/>
                <w:iCs w:val="0"/>
                <w:color w:val="000000"/>
                <w:sz w:val="21"/>
                <w:szCs w:val="21"/>
                <w:highlight w:val="none"/>
                <w:u w:val="none"/>
              </w:rPr>
            </w:pPr>
          </w:p>
        </w:tc>
      </w:tr>
      <w:tr w14:paraId="1622F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068" w:type="dxa"/>
            <w:vMerge w:val="continue"/>
            <w:tcBorders>
              <w:tl2br w:val="nil"/>
              <w:tr2bl w:val="nil"/>
            </w:tcBorders>
            <w:noWrap/>
            <w:vAlign w:val="center"/>
          </w:tcPr>
          <w:p w14:paraId="41402D27">
            <w:pPr>
              <w:jc w:val="center"/>
              <w:rPr>
                <w:rFonts w:hint="eastAsia" w:ascii="Times New Roman" w:hAnsi="Times New Roman" w:eastAsia="宋体" w:cs="宋体"/>
                <w:i w:val="0"/>
                <w:iCs w:val="0"/>
                <w:color w:val="000000"/>
                <w:sz w:val="21"/>
                <w:szCs w:val="21"/>
                <w:highlight w:val="none"/>
                <w:u w:val="none"/>
              </w:rPr>
            </w:pPr>
          </w:p>
        </w:tc>
        <w:tc>
          <w:tcPr>
            <w:tcW w:w="3367" w:type="dxa"/>
            <w:tcBorders>
              <w:tl2br w:val="nil"/>
              <w:tr2bl w:val="nil"/>
            </w:tcBorders>
            <w:noWrap/>
            <w:vAlign w:val="center"/>
          </w:tcPr>
          <w:p w14:paraId="3BDE4F49">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i w:val="0"/>
                <w:iCs w:val="0"/>
                <w:color w:val="000000"/>
                <w:kern w:val="0"/>
                <w:sz w:val="21"/>
                <w:szCs w:val="21"/>
                <w:highlight w:val="none"/>
                <w:u w:val="none"/>
                <w:lang w:val="en-US" w:eastAsia="zh-CN" w:bidi="ar"/>
              </w:rPr>
              <w:t>环境与职业健康体系监督2审核费</w:t>
            </w:r>
          </w:p>
        </w:tc>
        <w:tc>
          <w:tcPr>
            <w:tcW w:w="1166" w:type="dxa"/>
            <w:tcBorders>
              <w:tl2br w:val="nil"/>
              <w:tr2bl w:val="nil"/>
            </w:tcBorders>
            <w:noWrap/>
            <w:vAlign w:val="center"/>
          </w:tcPr>
          <w:p w14:paraId="39DAB16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583DF01">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vMerge w:val="continue"/>
            <w:tcBorders>
              <w:tl2br w:val="nil"/>
              <w:tr2bl w:val="nil"/>
            </w:tcBorders>
            <w:noWrap/>
            <w:vAlign w:val="center"/>
          </w:tcPr>
          <w:p w14:paraId="05390FFD">
            <w:pPr>
              <w:jc w:val="right"/>
              <w:rPr>
                <w:rFonts w:hint="eastAsia" w:ascii="Times New Roman" w:hAnsi="Times New Roman" w:eastAsia="宋体" w:cs="宋体"/>
                <w:i w:val="0"/>
                <w:iCs w:val="0"/>
                <w:color w:val="000000"/>
                <w:sz w:val="21"/>
                <w:szCs w:val="21"/>
                <w:highlight w:val="none"/>
                <w:u w:val="none"/>
              </w:rPr>
            </w:pPr>
          </w:p>
        </w:tc>
        <w:tc>
          <w:tcPr>
            <w:tcW w:w="1497" w:type="dxa"/>
            <w:vMerge w:val="continue"/>
            <w:tcBorders>
              <w:tl2br w:val="nil"/>
              <w:tr2bl w:val="nil"/>
            </w:tcBorders>
            <w:noWrap/>
            <w:vAlign w:val="center"/>
          </w:tcPr>
          <w:p w14:paraId="17AE63D7">
            <w:pPr>
              <w:rPr>
                <w:rFonts w:hint="eastAsia" w:ascii="Times New Roman" w:hAnsi="Times New Roman" w:eastAsia="宋体" w:cs="宋体"/>
                <w:i w:val="0"/>
                <w:iCs w:val="0"/>
                <w:color w:val="000000"/>
                <w:sz w:val="21"/>
                <w:szCs w:val="21"/>
                <w:highlight w:val="none"/>
                <w:u w:val="none"/>
              </w:rPr>
            </w:pPr>
          </w:p>
        </w:tc>
      </w:tr>
      <w:tr w14:paraId="58D7B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435" w:type="dxa"/>
            <w:gridSpan w:val="2"/>
            <w:tcBorders>
              <w:tl2br w:val="nil"/>
              <w:tr2bl w:val="nil"/>
            </w:tcBorders>
            <w:noWrap/>
            <w:vAlign w:val="center"/>
          </w:tcPr>
          <w:p w14:paraId="133BB695">
            <w:pPr>
              <w:keepNext w:val="0"/>
              <w:keepLines w:val="0"/>
              <w:widowControl/>
              <w:suppressLineNumbers w:val="0"/>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166" w:type="dxa"/>
            <w:tcBorders>
              <w:tl2br w:val="nil"/>
              <w:tr2bl w:val="nil"/>
            </w:tcBorders>
            <w:noWrap/>
            <w:vAlign w:val="center"/>
          </w:tcPr>
          <w:p w14:paraId="3E0E278E">
            <w:pPr>
              <w:jc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380" w:type="dxa"/>
            <w:tcBorders>
              <w:tl2br w:val="nil"/>
              <w:tr2bl w:val="nil"/>
            </w:tcBorders>
            <w:noWrap/>
            <w:vAlign w:val="center"/>
          </w:tcPr>
          <w:p w14:paraId="7794F7D9">
            <w:pPr>
              <w:jc w:val="center"/>
              <w:rPr>
                <w:rFonts w:hint="default" w:ascii="Times New Roman" w:hAnsi="Times New Roman" w:eastAsia="宋体" w:cs="宋体"/>
                <w:i w:val="0"/>
                <w:iCs w:val="0"/>
                <w:color w:val="000000"/>
                <w:sz w:val="21"/>
                <w:szCs w:val="21"/>
                <w:highlight w:val="none"/>
                <w:u w:val="none"/>
                <w:lang w:val="en-US" w:eastAsia="zh-CN"/>
              </w:rPr>
            </w:pPr>
          </w:p>
        </w:tc>
        <w:tc>
          <w:tcPr>
            <w:tcW w:w="1381" w:type="dxa"/>
            <w:tcBorders>
              <w:tl2br w:val="nil"/>
              <w:tr2bl w:val="nil"/>
            </w:tcBorders>
            <w:noWrap/>
            <w:vAlign w:val="center"/>
          </w:tcPr>
          <w:p w14:paraId="5493040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5D056291">
            <w:pPr>
              <w:rPr>
                <w:rFonts w:hint="eastAsia" w:ascii="Times New Roman" w:hAnsi="Times New Roman" w:eastAsia="宋体" w:cs="宋体"/>
                <w:i w:val="0"/>
                <w:iCs w:val="0"/>
                <w:color w:val="000000"/>
                <w:sz w:val="21"/>
                <w:szCs w:val="21"/>
                <w:highlight w:val="none"/>
                <w:u w:val="none"/>
              </w:rPr>
            </w:pPr>
          </w:p>
        </w:tc>
      </w:tr>
      <w:tr w14:paraId="4B9E2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859" w:type="dxa"/>
            <w:gridSpan w:val="6"/>
            <w:tcBorders>
              <w:tl2br w:val="nil"/>
              <w:tr2bl w:val="nil"/>
            </w:tcBorders>
            <w:noWrap/>
            <w:vAlign w:val="center"/>
          </w:tcPr>
          <w:p w14:paraId="026EB9B5">
            <w:pP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b/>
                <w:bCs/>
                <w:i w:val="0"/>
                <w:iCs w:val="0"/>
                <w:color w:val="000000"/>
                <w:sz w:val="21"/>
                <w:szCs w:val="21"/>
                <w:highlight w:val="none"/>
                <w:u w:val="none"/>
                <w:lang w:val="en-US" w:eastAsia="zh-CN"/>
              </w:rPr>
              <w:t>二、其他随附服务预算</w:t>
            </w:r>
          </w:p>
        </w:tc>
      </w:tr>
      <w:tr w14:paraId="6C9D0B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68" w:type="dxa"/>
            <w:vMerge w:val="restart"/>
            <w:tcBorders>
              <w:tl2br w:val="nil"/>
              <w:tr2bl w:val="nil"/>
            </w:tcBorders>
            <w:noWrap/>
            <w:vAlign w:val="center"/>
          </w:tcPr>
          <w:p w14:paraId="58633932">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3367" w:type="dxa"/>
            <w:tcBorders>
              <w:tl2br w:val="nil"/>
              <w:tr2bl w:val="nil"/>
            </w:tcBorders>
            <w:noWrap/>
            <w:vAlign w:val="center"/>
          </w:tcPr>
          <w:p w14:paraId="375B1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内审员资格培训费标准</w:t>
            </w:r>
          </w:p>
        </w:tc>
        <w:tc>
          <w:tcPr>
            <w:tcW w:w="1166" w:type="dxa"/>
            <w:tcBorders>
              <w:tl2br w:val="nil"/>
              <w:tr2bl w:val="nil"/>
            </w:tcBorders>
            <w:noWrap/>
            <w:vAlign w:val="center"/>
          </w:tcPr>
          <w:p w14:paraId="25E49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1" w:type="dxa"/>
            <w:gridSpan w:val="2"/>
            <w:tcBorders>
              <w:tl2br w:val="nil"/>
              <w:tr2bl w:val="nil"/>
            </w:tcBorders>
            <w:noWrap/>
            <w:vAlign w:val="center"/>
          </w:tcPr>
          <w:p w14:paraId="22B711D6">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72FFECEC">
            <w:pPr>
              <w:rPr>
                <w:rFonts w:hint="eastAsia" w:ascii="Times New Roman" w:hAnsi="Times New Roman" w:eastAsia="宋体" w:cs="宋体"/>
                <w:i w:val="0"/>
                <w:iCs w:val="0"/>
                <w:color w:val="000000"/>
                <w:sz w:val="21"/>
                <w:szCs w:val="21"/>
                <w:highlight w:val="none"/>
                <w:u w:val="none"/>
              </w:rPr>
            </w:pPr>
          </w:p>
        </w:tc>
      </w:tr>
      <w:tr w14:paraId="08E7F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68" w:type="dxa"/>
            <w:vMerge w:val="continue"/>
            <w:tcBorders>
              <w:tl2br w:val="nil"/>
              <w:tr2bl w:val="nil"/>
            </w:tcBorders>
            <w:noWrap/>
            <w:vAlign w:val="center"/>
          </w:tcPr>
          <w:p w14:paraId="22737201">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3367" w:type="dxa"/>
            <w:tcBorders>
              <w:tl2br w:val="nil"/>
              <w:tr2bl w:val="nil"/>
            </w:tcBorders>
            <w:noWrap/>
            <w:vAlign w:val="center"/>
          </w:tcPr>
          <w:p w14:paraId="2A0FE3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内审员资格证书收费标准</w:t>
            </w:r>
          </w:p>
        </w:tc>
        <w:tc>
          <w:tcPr>
            <w:tcW w:w="1166" w:type="dxa"/>
            <w:tcBorders>
              <w:tl2br w:val="nil"/>
              <w:tr2bl w:val="nil"/>
            </w:tcBorders>
            <w:noWrap/>
            <w:vAlign w:val="center"/>
          </w:tcPr>
          <w:p w14:paraId="034256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2761" w:type="dxa"/>
            <w:gridSpan w:val="2"/>
            <w:tcBorders>
              <w:tl2br w:val="nil"/>
              <w:tr2bl w:val="nil"/>
            </w:tcBorders>
            <w:noWrap/>
            <w:vAlign w:val="center"/>
          </w:tcPr>
          <w:p w14:paraId="3421CE6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256F1916">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ascii="Times New Roman" w:hAnsi="Times New Roman" w:eastAsia="宋体" w:cs="宋体"/>
                <w:i w:val="0"/>
                <w:iCs w:val="0"/>
                <w:color w:val="000000"/>
                <w:sz w:val="21"/>
                <w:szCs w:val="21"/>
                <w:highlight w:val="none"/>
                <w:u w:val="none"/>
                <w:lang w:val="en-US" w:eastAsia="zh-CN"/>
              </w:rPr>
            </w:pPr>
          </w:p>
        </w:tc>
      </w:tr>
      <w:tr w14:paraId="00E5B4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068" w:type="dxa"/>
            <w:tcBorders>
              <w:tl2br w:val="nil"/>
              <w:tr2bl w:val="nil"/>
            </w:tcBorders>
            <w:noWrap/>
            <w:vAlign w:val="center"/>
          </w:tcPr>
          <w:p w14:paraId="2FDC4A80">
            <w:pPr>
              <w:keepNext w:val="0"/>
              <w:keepLines w:val="0"/>
              <w:pageBreakBefore w:val="0"/>
              <w:kinsoku/>
              <w:wordWrap/>
              <w:overflowPunct/>
              <w:topLinePunct w:val="0"/>
              <w:autoSpaceDE/>
              <w:autoSpaceDN/>
              <w:bidi w:val="0"/>
              <w:adjustRightInd/>
              <w:snapToGrid/>
              <w:spacing w:line="240" w:lineRule="exact"/>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三体系整合辅导</w:t>
            </w:r>
          </w:p>
        </w:tc>
        <w:tc>
          <w:tcPr>
            <w:tcW w:w="3367" w:type="dxa"/>
            <w:tcBorders>
              <w:tl2br w:val="nil"/>
              <w:tr2bl w:val="nil"/>
            </w:tcBorders>
            <w:noWrap/>
            <w:vAlign w:val="center"/>
          </w:tcPr>
          <w:p w14:paraId="0CCF28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default" w:ascii="Times New Roman" w:hAnsi="Times New Roman" w:eastAsia="宋体" w:cs="宋体"/>
                <w:i w:val="0"/>
                <w:iCs w:val="0"/>
                <w:color w:val="000000"/>
                <w:kern w:val="0"/>
                <w:sz w:val="21"/>
                <w:szCs w:val="21"/>
                <w:highlight w:val="none"/>
                <w:u w:val="none"/>
                <w:lang w:val="en-US" w:eastAsia="zh-CN" w:bidi="ar"/>
              </w:rPr>
              <w:t>现有体系整合</w:t>
            </w:r>
            <w:r>
              <w:rPr>
                <w:rFonts w:hint="eastAsia" w:ascii="Times New Roman" w:hAnsi="Times New Roman" w:eastAsia="宋体" w:cs="宋体"/>
                <w:i w:val="0"/>
                <w:iCs w:val="0"/>
                <w:color w:val="000000"/>
                <w:kern w:val="0"/>
                <w:sz w:val="21"/>
                <w:szCs w:val="21"/>
                <w:highlight w:val="none"/>
                <w:u w:val="none"/>
                <w:lang w:val="en-US" w:eastAsia="zh-CN" w:bidi="ar"/>
              </w:rPr>
              <w:t>辅导</w:t>
            </w:r>
          </w:p>
        </w:tc>
        <w:tc>
          <w:tcPr>
            <w:tcW w:w="1166" w:type="dxa"/>
            <w:tcBorders>
              <w:tl2br w:val="nil"/>
              <w:tr2bl w:val="nil"/>
            </w:tcBorders>
            <w:noWrap/>
            <w:vAlign w:val="center"/>
          </w:tcPr>
          <w:p w14:paraId="68CFD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拟定</w:t>
            </w:r>
            <w:r>
              <w:rPr>
                <w:rFonts w:hint="eastAsia" w:ascii="Times New Roman" w:hAnsi="Times New Roman" w:eastAsia="宋体" w:cs="宋体"/>
                <w:i w:val="0"/>
                <w:iCs w:val="0"/>
                <w:color w:val="000000"/>
                <w:sz w:val="21"/>
                <w:szCs w:val="21"/>
                <w:highlight w:val="none"/>
                <w:u w:val="single"/>
                <w:lang w:val="en-US" w:eastAsia="zh-CN"/>
              </w:rPr>
              <w:t xml:space="preserve">   </w:t>
            </w:r>
            <w:r>
              <w:rPr>
                <w:rFonts w:hint="eastAsia" w:ascii="Times New Roman" w:hAnsi="Times New Roman" w:eastAsia="宋体" w:cs="宋体"/>
                <w:i w:val="0"/>
                <w:iCs w:val="0"/>
                <w:color w:val="000000"/>
                <w:sz w:val="21"/>
                <w:szCs w:val="21"/>
                <w:highlight w:val="none"/>
                <w:u w:val="none"/>
                <w:lang w:val="en-US" w:eastAsia="zh-CN"/>
              </w:rPr>
              <w:t>天</w:t>
            </w:r>
          </w:p>
        </w:tc>
        <w:tc>
          <w:tcPr>
            <w:tcW w:w="2761" w:type="dxa"/>
            <w:gridSpan w:val="2"/>
            <w:tcBorders>
              <w:tl2br w:val="nil"/>
              <w:tr2bl w:val="nil"/>
            </w:tcBorders>
            <w:noWrap/>
            <w:vAlign w:val="center"/>
          </w:tcPr>
          <w:p w14:paraId="29CAB04A">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462C8AFA">
            <w:pPr>
              <w:rPr>
                <w:rFonts w:hint="eastAsia" w:ascii="Times New Roman" w:hAnsi="Times New Roman" w:eastAsia="宋体" w:cs="宋体"/>
                <w:i w:val="0"/>
                <w:iCs w:val="0"/>
                <w:color w:val="000000"/>
                <w:sz w:val="21"/>
                <w:szCs w:val="21"/>
                <w:highlight w:val="none"/>
                <w:u w:val="none"/>
              </w:rPr>
            </w:pPr>
          </w:p>
        </w:tc>
      </w:tr>
      <w:tr w14:paraId="3D84F6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601" w:type="dxa"/>
            <w:gridSpan w:val="3"/>
            <w:tcBorders>
              <w:tl2br w:val="nil"/>
              <w:tr2bl w:val="nil"/>
            </w:tcBorders>
            <w:noWrap/>
            <w:vAlign w:val="center"/>
          </w:tcPr>
          <w:p w14:paraId="1D7BE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随附服务费用小计（含增值税）</w:t>
            </w:r>
          </w:p>
        </w:tc>
        <w:tc>
          <w:tcPr>
            <w:tcW w:w="2761" w:type="dxa"/>
            <w:gridSpan w:val="2"/>
            <w:tcBorders>
              <w:tl2br w:val="nil"/>
              <w:tr2bl w:val="nil"/>
            </w:tcBorders>
            <w:noWrap/>
            <w:vAlign w:val="center"/>
          </w:tcPr>
          <w:p w14:paraId="1BDC831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757143AF">
            <w:pPr>
              <w:rPr>
                <w:rFonts w:hint="eastAsia" w:ascii="Times New Roman" w:hAnsi="Times New Roman" w:eastAsia="宋体" w:cs="宋体"/>
                <w:i w:val="0"/>
                <w:iCs w:val="0"/>
                <w:color w:val="000000"/>
                <w:sz w:val="21"/>
                <w:szCs w:val="21"/>
                <w:highlight w:val="none"/>
                <w:u w:val="none"/>
              </w:rPr>
            </w:pPr>
          </w:p>
        </w:tc>
      </w:tr>
      <w:tr w14:paraId="2AE1D0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435" w:type="dxa"/>
            <w:gridSpan w:val="2"/>
            <w:tcBorders>
              <w:tl2br w:val="nil"/>
              <w:tr2bl w:val="nil"/>
            </w:tcBorders>
            <w:noWrap/>
            <w:vAlign w:val="center"/>
          </w:tcPr>
          <w:p w14:paraId="5C2D8C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项目预算合计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166" w:type="dxa"/>
            <w:tcBorders>
              <w:tl2br w:val="nil"/>
              <w:tr2bl w:val="nil"/>
            </w:tcBorders>
            <w:noWrap/>
            <w:vAlign w:val="center"/>
          </w:tcPr>
          <w:p w14:paraId="4545C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p>
        </w:tc>
        <w:tc>
          <w:tcPr>
            <w:tcW w:w="2761" w:type="dxa"/>
            <w:gridSpan w:val="2"/>
            <w:tcBorders>
              <w:tl2br w:val="nil"/>
              <w:tr2bl w:val="nil"/>
            </w:tcBorders>
            <w:noWrap/>
            <w:vAlign w:val="center"/>
          </w:tcPr>
          <w:p w14:paraId="695FFC08">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1497" w:type="dxa"/>
            <w:tcBorders>
              <w:tl2br w:val="nil"/>
              <w:tr2bl w:val="nil"/>
            </w:tcBorders>
            <w:noWrap/>
            <w:vAlign w:val="center"/>
          </w:tcPr>
          <w:p w14:paraId="4F3071E5">
            <w:pPr>
              <w:rPr>
                <w:rFonts w:hint="eastAsia" w:ascii="Times New Roman" w:hAnsi="Times New Roman" w:eastAsia="宋体" w:cs="宋体"/>
                <w:i w:val="0"/>
                <w:iCs w:val="0"/>
                <w:color w:val="000000"/>
                <w:sz w:val="21"/>
                <w:szCs w:val="21"/>
                <w:highlight w:val="none"/>
                <w:u w:val="none"/>
              </w:rPr>
            </w:pPr>
          </w:p>
        </w:tc>
      </w:tr>
    </w:tbl>
    <w:p w14:paraId="5CC6A9C4">
      <w:pPr>
        <w:keepNext w:val="0"/>
        <w:keepLines w:val="0"/>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 xml:space="preserve">报价要求： </w:t>
      </w:r>
    </w:p>
    <w:p w14:paraId="71E67C2A">
      <w:pPr>
        <w:keepNext w:val="0"/>
        <w:keepLines w:val="0"/>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投标人</w:t>
      </w:r>
      <w:r>
        <w:rPr>
          <w:rFonts w:hint="eastAsia" w:ascii="仿宋_GB2312" w:hAnsi="仿宋_GB2312" w:eastAsia="仿宋_GB2312" w:cs="仿宋_GB2312"/>
          <w:bCs/>
          <w:smallCaps w:val="0"/>
          <w:sz w:val="22"/>
          <w:szCs w:val="22"/>
          <w:highlight w:val="none"/>
        </w:rPr>
        <w:t>应按表格如实准确填列，不可缺项、漏项、错项，否则可能导致废标；</w:t>
      </w:r>
    </w:p>
    <w:p w14:paraId="3222B642">
      <w:pPr>
        <w:keepNext w:val="0"/>
        <w:keepLines w:val="0"/>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本表报价以人民币（元）为单位；如报价</w:t>
      </w:r>
      <w:r>
        <w:rPr>
          <w:rFonts w:hint="eastAsia" w:ascii="仿宋_GB2312" w:hAnsi="仿宋_GB2312" w:eastAsia="仿宋_GB2312" w:cs="仿宋_GB2312"/>
          <w:bCs/>
          <w:smallCaps w:val="0"/>
          <w:sz w:val="22"/>
          <w:szCs w:val="22"/>
          <w:highlight w:val="none"/>
        </w:rPr>
        <w:t>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2"/>
          <w:szCs w:val="22"/>
          <w:highlight w:val="none"/>
          <w:lang w:eastAsia="zh-CN"/>
        </w:rPr>
        <w:t>；</w:t>
      </w:r>
    </w:p>
    <w:p w14:paraId="5FE118E3">
      <w:pPr>
        <w:pStyle w:val="2"/>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 w:val="0"/>
          <w:bCs/>
          <w:smallCaps w:val="0"/>
          <w:sz w:val="22"/>
          <w:szCs w:val="22"/>
          <w:highlight w:val="none"/>
          <w:lang w:val="en-US" w:eastAsia="zh-CN"/>
        </w:rPr>
      </w:pPr>
      <w:bookmarkStart w:id="119" w:name="_Toc10648"/>
      <w:bookmarkStart w:id="120" w:name="_Toc14380"/>
      <w:bookmarkStart w:id="121" w:name="_Toc4684"/>
      <w:bookmarkStart w:id="122" w:name="_Toc22763"/>
      <w:bookmarkStart w:id="123" w:name="_Toc16251"/>
      <w:bookmarkStart w:id="124" w:name="_Toc27203"/>
      <w:r>
        <w:rPr>
          <w:rFonts w:hint="eastAsia" w:ascii="仿宋_GB2312" w:hAnsi="仿宋_GB2312" w:eastAsia="仿宋_GB2312" w:cs="仿宋_GB2312"/>
          <w:b w:val="0"/>
          <w:bCs/>
          <w:smallCaps w:val="0"/>
          <w:sz w:val="22"/>
          <w:szCs w:val="22"/>
          <w:highlight w:val="none"/>
          <w:lang w:val="en-US" w:eastAsia="zh-CN"/>
        </w:rPr>
        <w:t>投标人可以随附其他投标人认为需要对本报价表做出必要补充说明的文件；</w:t>
      </w:r>
      <w:bookmarkEnd w:id="119"/>
      <w:bookmarkEnd w:id="120"/>
      <w:bookmarkEnd w:id="121"/>
      <w:bookmarkEnd w:id="122"/>
      <w:bookmarkEnd w:id="123"/>
      <w:bookmarkEnd w:id="124"/>
    </w:p>
    <w:p w14:paraId="3806D927">
      <w:pPr>
        <w:keepNext w:val="0"/>
        <w:keepLines w:val="0"/>
        <w:pageBreakBefore w:val="0"/>
        <w:widowControl w:val="0"/>
        <w:numPr>
          <w:ilvl w:val="0"/>
          <w:numId w:val="16"/>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r>
        <w:rPr>
          <w:rFonts w:hint="eastAsia" w:ascii="仿宋_GB2312" w:hAnsi="仿宋_GB2312" w:eastAsia="仿宋_GB2312" w:cs="仿宋_GB2312"/>
          <w:bCs/>
          <w:smallCaps w:val="0"/>
          <w:sz w:val="22"/>
          <w:szCs w:val="22"/>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105C4E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6E4D2201">
      <w:pPr>
        <w:pStyle w:val="2"/>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 w:cs="仿宋"/>
          <w:b/>
          <w:smallCaps w:val="0"/>
          <w:kern w:val="0"/>
          <w:sz w:val="21"/>
          <w:szCs w:val="21"/>
          <w:highlight w:val="none"/>
        </w:rPr>
      </w:pPr>
      <w:bookmarkStart w:id="125" w:name="_Toc11411"/>
      <w:bookmarkStart w:id="126" w:name="_Toc22566"/>
      <w:bookmarkStart w:id="127" w:name="_Toc4691"/>
      <w:bookmarkStart w:id="128" w:name="_Toc5679"/>
      <w:bookmarkStart w:id="129" w:name="_Toc26065"/>
      <w:bookmarkStart w:id="130" w:name="_Toc6249"/>
      <w:r>
        <w:rPr>
          <w:rFonts w:hint="eastAsia" w:ascii="Times New Roman" w:hAnsi="Times New Roman" w:eastAsia="仿宋" w:cs="仿宋"/>
          <w:b/>
          <w:smallCaps w:val="0"/>
          <w:kern w:val="0"/>
          <w:sz w:val="21"/>
          <w:szCs w:val="21"/>
          <w:highlight w:val="none"/>
        </w:rPr>
        <w:t>日期：</w:t>
      </w:r>
      <w:bookmarkEnd w:id="125"/>
      <w:bookmarkEnd w:id="126"/>
      <w:bookmarkEnd w:id="127"/>
      <w:bookmarkEnd w:id="128"/>
      <w:bookmarkEnd w:id="129"/>
      <w:bookmarkEnd w:id="130"/>
    </w:p>
    <w:p w14:paraId="7FF36E0C">
      <w:pPr>
        <w:rPr>
          <w:rFonts w:hint="eastAsia"/>
        </w:rPr>
      </w:pPr>
    </w:p>
    <w:p w14:paraId="160E588B">
      <w:pPr>
        <w:rPr>
          <w:rFonts w:hint="eastAsia"/>
        </w:rPr>
      </w:pPr>
    </w:p>
    <w:p w14:paraId="7BF86C81">
      <w:pPr>
        <w:rPr>
          <w:rFonts w:hint="eastAsia"/>
        </w:rPr>
      </w:pPr>
    </w:p>
    <w:p w14:paraId="5FF03C2C">
      <w:pPr>
        <w:rPr>
          <w:rFonts w:hint="eastAsia" w:ascii="Times New Roman" w:hAnsi="Times New Roman" w:eastAsia="仿宋" w:cs="仿宋"/>
          <w:b/>
          <w:smallCaps w:val="0"/>
          <w:kern w:val="0"/>
          <w:sz w:val="21"/>
          <w:szCs w:val="21"/>
          <w:highlight w:val="none"/>
        </w:rPr>
      </w:pPr>
    </w:p>
    <w:p w14:paraId="4D4EA708">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31" w:name="_Toc22098"/>
      <w:r>
        <w:rPr>
          <w:rFonts w:hint="eastAsia" w:ascii="Times New Roman" w:hAnsi="Times New Roman" w:eastAsia="黑体" w:cs="黑体"/>
          <w:b w:val="0"/>
          <w:bCs/>
          <w:smallCaps w:val="0"/>
          <w:sz w:val="32"/>
          <w:szCs w:val="32"/>
          <w:highlight w:val="none"/>
          <w:lang w:val="en-US" w:eastAsia="zh-CN"/>
        </w:rPr>
        <w:t>格</w:t>
      </w:r>
      <w:r>
        <w:rPr>
          <w:rFonts w:hint="eastAsia" w:ascii="Times New Roman" w:hAnsi="Times New Roman" w:eastAsia="黑体" w:cs="黑体"/>
          <w:b w:val="0"/>
          <w:bCs/>
          <w:smallCaps w:val="0"/>
          <w:sz w:val="32"/>
          <w:szCs w:val="32"/>
          <w:highlight w:val="none"/>
          <w:lang w:val="zh-CN"/>
        </w:rPr>
        <w:t>式</w:t>
      </w:r>
      <w:r>
        <w:rPr>
          <w:rFonts w:hint="eastAsia" w:ascii="Times New Roman" w:hAnsi="Times New Roman" w:eastAsia="黑体" w:cs="黑体"/>
          <w:b w:val="0"/>
          <w:bCs/>
          <w:smallCaps w:val="0"/>
          <w:sz w:val="32"/>
          <w:szCs w:val="32"/>
          <w:highlight w:val="none"/>
          <w:lang w:val="en-US" w:eastAsia="zh-CN"/>
        </w:rPr>
        <w:t>6</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廉洁</w:t>
      </w:r>
      <w:r>
        <w:rPr>
          <w:rFonts w:hint="eastAsia" w:ascii="Times New Roman" w:hAnsi="Times New Roman" w:eastAsia="黑体" w:cs="黑体"/>
          <w:b w:val="0"/>
          <w:bCs/>
          <w:smallCaps w:val="0"/>
          <w:sz w:val="32"/>
          <w:szCs w:val="32"/>
          <w:highlight w:val="none"/>
          <w:lang w:val="zh-CN"/>
        </w:rPr>
        <w:t>承诺函</w:t>
      </w:r>
      <w:bookmarkEnd w:id="118"/>
      <w:bookmarkEnd w:id="131"/>
    </w:p>
    <w:p w14:paraId="7E984DBC">
      <w:pPr>
        <w:rPr>
          <w:rFonts w:hint="eastAsia"/>
          <w:lang w:val="zh-CN"/>
        </w:rPr>
      </w:pPr>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lang w:val="en-US" w:eastAsia="zh-CN"/>
        </w:rPr>
        <w:t>廉洁</w:t>
      </w:r>
      <w:r>
        <w:rPr>
          <w:rFonts w:hint="eastAsia" w:ascii="Times New Roman" w:hAnsi="Times New Roman" w:eastAsia="方正小标宋简体" w:cs="方正小标宋简体"/>
          <w:b w:val="0"/>
          <w:bCs/>
          <w:smallCaps w:val="0"/>
          <w:sz w:val="44"/>
          <w:szCs w:val="44"/>
          <w:highlight w:val="none"/>
        </w:rPr>
        <w:t>承诺函</w:t>
      </w:r>
    </w:p>
    <w:p w14:paraId="1C71023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Times New Roman" w:hAnsi="Times New Roman" w:eastAsia="仿宋" w:cs="仿宋"/>
          <w:bCs/>
          <w:smallCaps w:val="0"/>
          <w:sz w:val="24"/>
          <w:szCs w:val="24"/>
          <w:highlight w:val="none"/>
        </w:rPr>
      </w:pPr>
    </w:p>
    <w:p w14:paraId="13594F7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致 深圳市鹏劳人力资源管理有限公司：</w:t>
      </w:r>
    </w:p>
    <w:p w14:paraId="05D4E3F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我司有意参与贵</w:t>
      </w:r>
      <w:r>
        <w:rPr>
          <w:rFonts w:hint="eastAsia" w:ascii="Times New Roman" w:hAnsi="Times New Roman" w:eastAsia="仿宋_GB2312" w:cs="仿宋_GB2312"/>
          <w:b w:val="0"/>
          <w:bCs/>
          <w:smallCaps w:val="0"/>
          <w:kern w:val="0"/>
          <w:sz w:val="24"/>
          <w:szCs w:val="24"/>
          <w:highlight w:val="none"/>
          <w:lang w:eastAsia="zh-CN"/>
        </w:rPr>
        <w:t>司【202</w:t>
      </w:r>
      <w:r>
        <w:rPr>
          <w:rFonts w:hint="eastAsia" w:ascii="Times New Roman" w:hAnsi="Times New Roman" w:eastAsia="仿宋_GB2312" w:cs="仿宋_GB2312"/>
          <w:b w:val="0"/>
          <w:bCs/>
          <w:smallCaps w:val="0"/>
          <w:kern w:val="0"/>
          <w:sz w:val="24"/>
          <w:szCs w:val="24"/>
          <w:highlight w:val="none"/>
          <w:lang w:val="en-US" w:eastAsia="zh-CN"/>
        </w:rPr>
        <w:t>5</w:t>
      </w:r>
      <w:r>
        <w:rPr>
          <w:rFonts w:hint="eastAsia" w:ascii="Times New Roman" w:hAnsi="Times New Roman" w:eastAsia="仿宋_GB2312" w:cs="仿宋_GB2312"/>
          <w:b w:val="0"/>
          <w:bCs/>
          <w:smallCaps w:val="0"/>
          <w:kern w:val="0"/>
          <w:sz w:val="24"/>
          <w:szCs w:val="24"/>
          <w:highlight w:val="none"/>
          <w:lang w:eastAsia="zh-CN"/>
        </w:rPr>
        <w:t>-202</w:t>
      </w:r>
      <w:r>
        <w:rPr>
          <w:rFonts w:hint="eastAsia" w:ascii="Times New Roman" w:hAnsi="Times New Roman" w:eastAsia="仿宋_GB2312" w:cs="仿宋_GB2312"/>
          <w:b w:val="0"/>
          <w:bCs/>
          <w:smallCaps w:val="0"/>
          <w:kern w:val="0"/>
          <w:sz w:val="24"/>
          <w:szCs w:val="24"/>
          <w:highlight w:val="none"/>
          <w:lang w:val="en-US" w:eastAsia="zh-CN"/>
        </w:rPr>
        <w:t>7</w:t>
      </w:r>
      <w:r>
        <w:rPr>
          <w:rFonts w:hint="eastAsia" w:ascii="Times New Roman" w:hAnsi="Times New Roman" w:eastAsia="仿宋_GB2312" w:cs="仿宋_GB2312"/>
          <w:b w:val="0"/>
          <w:bCs/>
          <w:smallCaps w:val="0"/>
          <w:kern w:val="0"/>
          <w:sz w:val="24"/>
          <w:szCs w:val="24"/>
          <w:highlight w:val="none"/>
          <w:lang w:eastAsia="zh-CN"/>
        </w:rPr>
        <w:t>年度质量、环境及职业健康安全管理体系认证</w:t>
      </w:r>
      <w:r>
        <w:rPr>
          <w:rFonts w:hint="eastAsia" w:ascii="Times New Roman" w:hAnsi="Times New Roman" w:eastAsia="仿宋_GB2312" w:cs="仿宋_GB2312"/>
          <w:b w:val="0"/>
          <w:bCs/>
          <w:smallCaps w:val="0"/>
          <w:kern w:val="0"/>
          <w:sz w:val="24"/>
          <w:szCs w:val="24"/>
          <w:highlight w:val="none"/>
          <w:lang w:val="en-US" w:eastAsia="zh-CN"/>
        </w:rPr>
        <w:t>服务采购项目</w:t>
      </w:r>
      <w:r>
        <w:rPr>
          <w:rFonts w:hint="eastAsia" w:ascii="Times New Roman" w:hAnsi="Times New Roman" w:eastAsia="仿宋_GB2312" w:cs="仿宋_GB2312"/>
          <w:b w:val="0"/>
          <w:bCs/>
          <w:smallCaps w:val="0"/>
          <w:kern w:val="0"/>
          <w:sz w:val="24"/>
          <w:szCs w:val="24"/>
          <w:highlight w:val="none"/>
          <w:lang w:eastAsia="zh-CN"/>
        </w:rPr>
        <w:t>】（项目编号：PLHR-ZB-FW-202504</w:t>
      </w:r>
      <w:r>
        <w:rPr>
          <w:rFonts w:hint="eastAsia" w:ascii="Times New Roman" w:hAnsi="Times New Roman" w:eastAsia="仿宋_GB2312" w:cs="仿宋_GB2312"/>
          <w:b w:val="0"/>
          <w:bCs/>
          <w:smallCaps w:val="0"/>
          <w:kern w:val="0"/>
          <w:sz w:val="24"/>
          <w:szCs w:val="24"/>
          <w:highlight w:val="none"/>
          <w:lang w:val="en-US" w:eastAsia="zh-CN"/>
        </w:rPr>
        <w:t>01</w:t>
      </w:r>
      <w:r>
        <w:rPr>
          <w:rFonts w:hint="eastAsia" w:ascii="仿宋_GB2312" w:hAnsi="仿宋_GB2312" w:eastAsia="仿宋_GB2312" w:cs="仿宋_GB2312"/>
          <w:b w:val="0"/>
          <w:bCs/>
          <w:smallCaps w:val="0"/>
          <w:kern w:val="0"/>
          <w:sz w:val="24"/>
          <w:szCs w:val="24"/>
          <w:highlight w:val="none"/>
          <w:lang w:eastAsia="zh-CN"/>
        </w:rPr>
        <w:t>）</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，为保证招投标工作的公平公正及充分竞争，在此，我司郑重承诺如下：</w:t>
      </w:r>
    </w:p>
    <w:p w14:paraId="0A65A19F">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一、我司承诺在</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过程中对于如下行为坚决抵制并向贵司及时通报：</w:t>
      </w:r>
    </w:p>
    <w:p w14:paraId="2E2E965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或</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相关单位人员利用职务上的便利，自行或通过他人向我司推荐供应商（分包商）；</w:t>
      </w:r>
    </w:p>
    <w:p w14:paraId="065E41C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2.其他</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参与方自行或委托他人私下与我司联系串通</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事宜；</w:t>
      </w:r>
    </w:p>
    <w:p w14:paraId="6FA3A73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相关单位的人员在招标投标过程中，人为设置障碍，索要或暗示索要现金、股票、股权、各种有价证券、支付凭证或贵重物品等。</w:t>
      </w:r>
    </w:p>
    <w:p w14:paraId="1965DC4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二、我司承诺依法合规参与本项目竞争，严格本公司投标代表及相关员工管理，具体内容如下：</w:t>
      </w:r>
    </w:p>
    <w:p w14:paraId="3FA4FFF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1.我司不会以任何理由任何方式进行串通投标等不正当竞争的违法违规行为；</w:t>
      </w:r>
    </w:p>
    <w:p w14:paraId="54720A40">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2.我司或我司员工不以任何理由任何方式，向贵司及招标相关单位的人员赠送现金、股票、股权、各种有价证券、支付凭证或贵重物品等；</w:t>
      </w:r>
    </w:p>
    <w:p w14:paraId="33A4C15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3.我司或我司员工不以任何理由任何方式，向贵司及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相关单位的人员发出健身、娱乐活动的邀请，或对贵司及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相关单位的人员进行超标准接待；</w:t>
      </w:r>
    </w:p>
    <w:p w14:paraId="0F9CA32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4.参与贵司项目投标及与投标相关的交流调研过程中，我司保证向贵司所提供信息的真实性和准确性，且不会将拟投标项目进行任何形式的转包或挂靠。</w:t>
      </w:r>
    </w:p>
    <w:p w14:paraId="0AF052E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5.参与贵司项目投标过程中，我司承诺所有</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相关信息交流在工作场所公开进行，文件传递应通过公司传真或工作邮箱。不私下打探</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项目非公开信息（如其他投标人信息、标底详细信息、评标专家信息、评标过程信息等），不与贵司及招标相关单位的人员就招标相关信息进行私下商谈或者达成利益默契。</w:t>
      </w:r>
    </w:p>
    <w:p w14:paraId="20CE2F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6.我司及我司派出的投标代表及工作人员授权贵司对本项目下我司投标工作进行监督，在贵司办公场所内合理使用包括录音录像、派员监督等手段开展监督工作。</w:t>
      </w:r>
    </w:p>
    <w:p w14:paraId="3C67E3BE">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7.如果我司中选，将严格遵照本项目招标文件需求、投标承诺及合同约定做到诚信履约，为贵司提供最优服务；</w:t>
      </w:r>
    </w:p>
    <w:p w14:paraId="01C5F75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8.我司已认真核实了投标文件的全部资料，所有资料均为真实资料。我公司对投标文件中全部投标资料的真实性负责。</w:t>
      </w:r>
    </w:p>
    <w:p w14:paraId="28B2A97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以上承诺，如有违反，我司将配合贵司进行调查和严肃处理，并自行承担不能参与本项目投标或</w:t>
      </w:r>
      <w:r>
        <w:rPr>
          <w:rFonts w:hint="eastAsia" w:ascii="仿宋_GB2312" w:hAnsi="仿宋_GB2312" w:eastAsia="仿宋_GB2312" w:cs="仿宋_GB2312"/>
          <w:b w:val="0"/>
          <w:bCs/>
          <w:smallCaps w:val="0"/>
          <w:kern w:val="0"/>
          <w:sz w:val="24"/>
          <w:szCs w:val="24"/>
          <w:highlight w:val="none"/>
          <w:lang w:val="en-US" w:eastAsia="zh-CN"/>
        </w:rPr>
        <w:t>失去</w:t>
      </w:r>
      <w:r>
        <w:rPr>
          <w:rFonts w:hint="eastAsia" w:ascii="仿宋_GB2312" w:hAnsi="仿宋_GB2312" w:eastAsia="仿宋_GB2312" w:cs="仿宋_GB2312"/>
          <w:b w:val="0"/>
          <w:bCs/>
          <w:smallCaps w:val="0"/>
          <w:kern w:val="0"/>
          <w:sz w:val="24"/>
          <w:szCs w:val="24"/>
          <w:highlight w:val="none"/>
          <w:lang w:eastAsia="zh-CN"/>
        </w:rPr>
        <w:t>承包本项目的资格、以及今后可能不能参加贵司其他项目的投标、无法进入贵司供应商库等一切不利后果，并承担由此给贵司带来的损失。</w:t>
      </w:r>
    </w:p>
    <w:p w14:paraId="5F3ABD96">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val="en-US"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36DB">
    <w:pPr>
      <w:pStyle w:val="11"/>
      <w:jc w:val="right"/>
      <w:rPr>
        <w:rFonts w:hint="default" w:asciiTheme="minorEastAsia" w:hAnsiTheme="minorEastAsia" w:eastAsia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ascii="宋体" w:hAnsi="宋体" w:eastAsia="宋体" w:cs="宋体"/>
        <w:b/>
        <w:bCs/>
        <w:lang w:val="en-US" w:eastAsia="zh-CN"/>
      </w:rPr>
      <w:t>PLHR-</w:t>
    </w:r>
    <w:r>
      <w:rPr>
        <w:rFonts w:hint="eastAsia" w:ascii="宋体" w:hAnsi="宋体" w:cs="宋体"/>
        <w:b/>
        <w:bCs/>
        <w:lang w:val="en-US" w:eastAsia="zh-CN"/>
      </w:rPr>
      <w:t>ZB</w:t>
    </w:r>
    <w:r>
      <w:rPr>
        <w:rFonts w:hint="eastAsia" w:ascii="宋体" w:hAnsi="宋体" w:eastAsia="宋体" w:cs="宋体"/>
        <w:b/>
        <w:bCs/>
        <w:lang w:val="en-US" w:eastAsia="zh-CN"/>
      </w:rPr>
      <w:t>-FW-202</w:t>
    </w:r>
    <w:r>
      <w:rPr>
        <w:rFonts w:hint="eastAsia" w:ascii="宋体" w:hAnsi="宋体" w:cs="宋体"/>
        <w:b/>
        <w:bCs/>
        <w:lang w:val="en-US" w:eastAsia="zh-CN"/>
      </w:rPr>
      <w:t>50401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default"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ascii="宋体" w:hAnsi="宋体" w:eastAsia="宋体" w:cs="宋体"/>
        <w:b/>
        <w:bCs/>
        <w:lang w:val="en-US" w:eastAsia="zh-CN"/>
      </w:rPr>
      <w:t>PLHR-</w:t>
    </w:r>
    <w:r>
      <w:rPr>
        <w:rFonts w:hint="eastAsia" w:ascii="宋体" w:hAnsi="宋体" w:cs="宋体"/>
        <w:b/>
        <w:bCs/>
        <w:lang w:val="en-US" w:eastAsia="zh-CN"/>
      </w:rPr>
      <w:t>ZB</w:t>
    </w:r>
    <w:r>
      <w:rPr>
        <w:rFonts w:hint="eastAsia" w:ascii="宋体" w:hAnsi="宋体" w:eastAsia="宋体" w:cs="宋体"/>
        <w:b/>
        <w:bCs/>
        <w:lang w:val="en-US" w:eastAsia="zh-CN"/>
      </w:rPr>
      <w:t>-FW-202</w:t>
    </w:r>
    <w:r>
      <w:rPr>
        <w:rFonts w:hint="eastAsia" w:ascii="宋体" w:hAnsi="宋体" w:cs="宋体"/>
        <w:b/>
        <w:bCs/>
        <w:lang w:val="en-US" w:eastAsia="zh-CN"/>
      </w:rPr>
      <w:t>50401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default" w:asciiTheme="minorEastAsia" w:hAnsiTheme="minorEastAsia" w:eastAsia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rPr>
      <w:t xml:space="preserve"> </w:t>
    </w:r>
    <w:r>
      <w:rPr>
        <w:rFonts w:hint="eastAsia" w:asciiTheme="minorEastAsia" w:hAnsiTheme="minorEastAsia" w:eastAsiaTheme="minorEastAsia"/>
        <w:b/>
        <w:sz w:val="20"/>
        <w:lang w:eastAsia="zh-CN"/>
      </w:rPr>
      <w:t>PLHR-ZB-FW-202504</w:t>
    </w:r>
    <w:r>
      <w:rPr>
        <w:rFonts w:hint="eastAsia" w:asciiTheme="minorEastAsia" w:hAnsiTheme="minorEastAsia" w:eastAsiaTheme="minorEastAsia"/>
        <w:b/>
        <w:sz w:val="20"/>
        <w:lang w:val="en-US" w:eastAsia="zh-CN"/>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C2DCC68"/>
    <w:multiLevelType w:val="singleLevel"/>
    <w:tmpl w:val="8C2DCC6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3">
    <w:nsid w:val="A251CBA4"/>
    <w:multiLevelType w:val="singleLevel"/>
    <w:tmpl w:val="A251CBA4"/>
    <w:lvl w:ilvl="0" w:tentative="0">
      <w:start w:val="1"/>
      <w:numFmt w:val="decimal"/>
      <w:suff w:val="nothing"/>
      <w:lvlText w:val="%1."/>
      <w:lvlJc w:val="left"/>
      <w:rPr>
        <w:rFonts w:hint="default"/>
        <w:sz w:val="32"/>
        <w:szCs w:val="32"/>
      </w:rPr>
    </w:lvl>
  </w:abstractNum>
  <w:abstractNum w:abstractNumId="4">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F63AE51"/>
    <w:multiLevelType w:val="singleLevel"/>
    <w:tmpl w:val="EF63AE51"/>
    <w:lvl w:ilvl="0" w:tentative="0">
      <w:start w:val="1"/>
      <w:numFmt w:val="chineseCounting"/>
      <w:suff w:val="nothing"/>
      <w:lvlText w:val="%1、"/>
      <w:lvlJc w:val="left"/>
      <w:pPr>
        <w:ind w:left="0" w:firstLine="420"/>
      </w:pPr>
      <w:rPr>
        <w:rFonts w:hint="eastAsia" w:ascii="仿宋_GB2312" w:hAnsi="仿宋_GB2312" w:eastAsia="仿宋_GB2312" w:cs="仿宋_GB2312"/>
        <w:sz w:val="24"/>
        <w:szCs w:val="24"/>
      </w:rPr>
    </w:lvl>
  </w:abstractNum>
  <w:abstractNum w:abstractNumId="6">
    <w:nsid w:val="F9580FDD"/>
    <w:multiLevelType w:val="singleLevel"/>
    <w:tmpl w:val="F9580FDD"/>
    <w:lvl w:ilvl="0" w:tentative="0">
      <w:start w:val="1"/>
      <w:numFmt w:val="decimal"/>
      <w:suff w:val="nothing"/>
      <w:lvlText w:val="%1."/>
      <w:lvlJc w:val="left"/>
      <w:pPr>
        <w:ind w:left="425" w:hanging="425"/>
      </w:pPr>
      <w:rPr>
        <w:rFonts w:hint="default"/>
      </w:rPr>
    </w:lvl>
  </w:abstractNum>
  <w:abstractNum w:abstractNumId="7">
    <w:nsid w:val="1CD3F32C"/>
    <w:multiLevelType w:val="singleLevel"/>
    <w:tmpl w:val="1CD3F32C"/>
    <w:lvl w:ilvl="0" w:tentative="0">
      <w:start w:val="1"/>
      <w:numFmt w:val="chineseCounting"/>
      <w:suff w:val="nothing"/>
      <w:lvlText w:val="%1、"/>
      <w:lvlJc w:val="left"/>
      <w:rPr>
        <w:rFonts w:hint="eastAsia" w:ascii="黑体" w:hAnsi="黑体" w:eastAsia="黑体" w:cs="黑体"/>
        <w:sz w:val="32"/>
        <w:szCs w:val="32"/>
        <w:lang w:val="en-US"/>
      </w:rPr>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9">
    <w:nsid w:val="20397642"/>
    <w:multiLevelType w:val="singleLevel"/>
    <w:tmpl w:val="2039764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2920851E"/>
    <w:multiLevelType w:val="singleLevel"/>
    <w:tmpl w:val="2920851E"/>
    <w:lvl w:ilvl="0" w:tentative="0">
      <w:start w:val="1"/>
      <w:numFmt w:val="decimal"/>
      <w:suff w:val="nothing"/>
      <w:lvlText w:val="%1."/>
      <w:lvlJc w:val="left"/>
      <w:pPr>
        <w:ind w:left="425" w:hanging="425"/>
      </w:pPr>
      <w:rPr>
        <w:rFonts w:hint="default" w:ascii="仿宋_GB2312" w:hAnsi="仿宋_GB2312" w:eastAsia="仿宋_GB2312" w:cs="仿宋_GB2312"/>
        <w:sz w:val="22"/>
        <w:szCs w:val="22"/>
      </w:rPr>
    </w:lvl>
  </w:abstractNum>
  <w:abstractNum w:abstractNumId="11">
    <w:nsid w:val="385FAC55"/>
    <w:multiLevelType w:val="singleLevel"/>
    <w:tmpl w:val="385FAC55"/>
    <w:lvl w:ilvl="0" w:tentative="0">
      <w:start w:val="1"/>
      <w:numFmt w:val="decimal"/>
      <w:suff w:val="nothing"/>
      <w:lvlText w:val="%1．"/>
      <w:lvlJc w:val="left"/>
      <w:pPr>
        <w:ind w:left="0" w:firstLine="400"/>
      </w:pPr>
      <w:rPr>
        <w:rFonts w:hint="default" w:ascii="仿宋_GB2312" w:hAnsi="仿宋_GB2312" w:eastAsia="仿宋_GB2312" w:cs="仿宋_GB2312"/>
      </w:rPr>
    </w:lvl>
  </w:abstractNum>
  <w:abstractNum w:abstractNumId="12">
    <w:nsid w:val="3C327599"/>
    <w:multiLevelType w:val="singleLevel"/>
    <w:tmpl w:val="3C327599"/>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3">
    <w:nsid w:val="4008D06E"/>
    <w:multiLevelType w:val="singleLevel"/>
    <w:tmpl w:val="4008D06E"/>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14">
    <w:nsid w:val="5950DBB9"/>
    <w:multiLevelType w:val="singleLevel"/>
    <w:tmpl w:val="5950DBB9"/>
    <w:lvl w:ilvl="0" w:tentative="0">
      <w:start w:val="1"/>
      <w:numFmt w:val="decimal"/>
      <w:suff w:val="nothing"/>
      <w:lvlText w:val="%1."/>
      <w:lvlJc w:val="left"/>
      <w:pPr>
        <w:ind w:left="425" w:hanging="425"/>
      </w:pPr>
      <w:rPr>
        <w:rFonts w:hint="default" w:ascii="仿宋_GB2312" w:hAnsi="仿宋_GB2312" w:eastAsia="仿宋_GB2312" w:cs="仿宋_GB2312"/>
      </w:rPr>
    </w:lvl>
  </w:abstractNum>
  <w:abstractNum w:abstractNumId="15">
    <w:nsid w:val="6CF48CA5"/>
    <w:multiLevelType w:val="singleLevel"/>
    <w:tmpl w:val="6CF48CA5"/>
    <w:lvl w:ilvl="0" w:tentative="0">
      <w:start w:val="1"/>
      <w:numFmt w:val="decimal"/>
      <w:suff w:val="nothing"/>
      <w:lvlText w:val="%1."/>
      <w:lvlJc w:val="left"/>
      <w:pPr>
        <w:ind w:left="425" w:hanging="425"/>
      </w:pPr>
      <w:rPr>
        <w:rFonts w:hint="default" w:ascii="仿宋_GB2312" w:hAnsi="仿宋_GB2312" w:eastAsia="仿宋_GB2312" w:cs="仿宋_GB2312"/>
        <w:b w:val="0"/>
        <w:bCs w:val="0"/>
        <w:sz w:val="24"/>
        <w:szCs w:val="24"/>
      </w:rPr>
    </w:lvl>
  </w:abstractNum>
  <w:num w:numId="1">
    <w:abstractNumId w:val="7"/>
  </w:num>
  <w:num w:numId="2">
    <w:abstractNumId w:val="4"/>
  </w:num>
  <w:num w:numId="3">
    <w:abstractNumId w:val="13"/>
  </w:num>
  <w:num w:numId="4">
    <w:abstractNumId w:val="9"/>
  </w:num>
  <w:num w:numId="5">
    <w:abstractNumId w:val="0"/>
  </w:num>
  <w:num w:numId="6">
    <w:abstractNumId w:val="1"/>
  </w:num>
  <w:num w:numId="7">
    <w:abstractNumId w:val="12"/>
  </w:num>
  <w:num w:numId="8">
    <w:abstractNumId w:val="8"/>
  </w:num>
  <w:num w:numId="9">
    <w:abstractNumId w:val="2"/>
  </w:num>
  <w:num w:numId="10">
    <w:abstractNumId w:val="3"/>
  </w:num>
  <w:num w:numId="11">
    <w:abstractNumId w:val="5"/>
  </w:num>
  <w:num w:numId="12">
    <w:abstractNumId w:val="10"/>
  </w:num>
  <w:num w:numId="13">
    <w:abstractNumId w:val="11"/>
  </w:num>
  <w:num w:numId="14">
    <w:abstractNumId w:val="6"/>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2B2C0A"/>
    <w:rsid w:val="023267E6"/>
    <w:rsid w:val="02F079B0"/>
    <w:rsid w:val="0377167F"/>
    <w:rsid w:val="03B96977"/>
    <w:rsid w:val="057C50CE"/>
    <w:rsid w:val="061F37CD"/>
    <w:rsid w:val="06996401"/>
    <w:rsid w:val="070B1734"/>
    <w:rsid w:val="085F39D9"/>
    <w:rsid w:val="0A47511D"/>
    <w:rsid w:val="0AA43652"/>
    <w:rsid w:val="0B0667E4"/>
    <w:rsid w:val="0B1C1901"/>
    <w:rsid w:val="0BF876D6"/>
    <w:rsid w:val="0C474AE5"/>
    <w:rsid w:val="0E6D1D7A"/>
    <w:rsid w:val="0EF46860"/>
    <w:rsid w:val="0FA80D1D"/>
    <w:rsid w:val="104840C6"/>
    <w:rsid w:val="1061296D"/>
    <w:rsid w:val="11540454"/>
    <w:rsid w:val="11FC12FC"/>
    <w:rsid w:val="13302979"/>
    <w:rsid w:val="14844E6E"/>
    <w:rsid w:val="15004E24"/>
    <w:rsid w:val="151F4689"/>
    <w:rsid w:val="1532320F"/>
    <w:rsid w:val="162C51BF"/>
    <w:rsid w:val="16D042DD"/>
    <w:rsid w:val="17441C6B"/>
    <w:rsid w:val="18695096"/>
    <w:rsid w:val="18EA3108"/>
    <w:rsid w:val="18EC6C42"/>
    <w:rsid w:val="19066D08"/>
    <w:rsid w:val="19741246"/>
    <w:rsid w:val="19E738FF"/>
    <w:rsid w:val="19F56E1C"/>
    <w:rsid w:val="1A6803B6"/>
    <w:rsid w:val="1B7347CD"/>
    <w:rsid w:val="1BCE28BC"/>
    <w:rsid w:val="1CDD1759"/>
    <w:rsid w:val="1CEF3EB9"/>
    <w:rsid w:val="1E3556EC"/>
    <w:rsid w:val="1E3B1FCF"/>
    <w:rsid w:val="1E5B441F"/>
    <w:rsid w:val="1F4B2D15"/>
    <w:rsid w:val="1FC23F2E"/>
    <w:rsid w:val="209A29A9"/>
    <w:rsid w:val="211A411E"/>
    <w:rsid w:val="211B7FF0"/>
    <w:rsid w:val="22A12A68"/>
    <w:rsid w:val="22C856C9"/>
    <w:rsid w:val="22E35977"/>
    <w:rsid w:val="22EA5F0F"/>
    <w:rsid w:val="22F3485E"/>
    <w:rsid w:val="241F74C4"/>
    <w:rsid w:val="25232865"/>
    <w:rsid w:val="2524556B"/>
    <w:rsid w:val="253E70C7"/>
    <w:rsid w:val="25D95F7D"/>
    <w:rsid w:val="262D044F"/>
    <w:rsid w:val="266D115F"/>
    <w:rsid w:val="271E423C"/>
    <w:rsid w:val="27734588"/>
    <w:rsid w:val="27A6555F"/>
    <w:rsid w:val="27D1591C"/>
    <w:rsid w:val="28037CAD"/>
    <w:rsid w:val="2A385615"/>
    <w:rsid w:val="2AB2053C"/>
    <w:rsid w:val="2B483082"/>
    <w:rsid w:val="2B6856E5"/>
    <w:rsid w:val="2BA51B7B"/>
    <w:rsid w:val="2BB10F01"/>
    <w:rsid w:val="2D0B0DBF"/>
    <w:rsid w:val="2D13235D"/>
    <w:rsid w:val="2E157B6E"/>
    <w:rsid w:val="2F327322"/>
    <w:rsid w:val="3032221A"/>
    <w:rsid w:val="303B15E4"/>
    <w:rsid w:val="30915FA1"/>
    <w:rsid w:val="30AD6B0E"/>
    <w:rsid w:val="30ED42CD"/>
    <w:rsid w:val="313E1D96"/>
    <w:rsid w:val="3212745D"/>
    <w:rsid w:val="34771C85"/>
    <w:rsid w:val="36217364"/>
    <w:rsid w:val="367E6AA5"/>
    <w:rsid w:val="368E7C0F"/>
    <w:rsid w:val="37082952"/>
    <w:rsid w:val="378B48FB"/>
    <w:rsid w:val="3790083E"/>
    <w:rsid w:val="37B97E31"/>
    <w:rsid w:val="38462317"/>
    <w:rsid w:val="3972236C"/>
    <w:rsid w:val="3ADA6F7F"/>
    <w:rsid w:val="3C8C2B8B"/>
    <w:rsid w:val="3CC05722"/>
    <w:rsid w:val="3CD0472B"/>
    <w:rsid w:val="3CFB0E50"/>
    <w:rsid w:val="3D356C6B"/>
    <w:rsid w:val="3DA86C84"/>
    <w:rsid w:val="3DB76864"/>
    <w:rsid w:val="3EF3039C"/>
    <w:rsid w:val="3F9E7736"/>
    <w:rsid w:val="40603EF4"/>
    <w:rsid w:val="41F155A2"/>
    <w:rsid w:val="42102F28"/>
    <w:rsid w:val="42665D63"/>
    <w:rsid w:val="4374082A"/>
    <w:rsid w:val="442237E4"/>
    <w:rsid w:val="444E4946"/>
    <w:rsid w:val="446B33BA"/>
    <w:rsid w:val="446E1EBF"/>
    <w:rsid w:val="451163D6"/>
    <w:rsid w:val="45702CAD"/>
    <w:rsid w:val="464060FB"/>
    <w:rsid w:val="482B7710"/>
    <w:rsid w:val="48825F81"/>
    <w:rsid w:val="48F246AF"/>
    <w:rsid w:val="491D2636"/>
    <w:rsid w:val="4A204B0B"/>
    <w:rsid w:val="4AF646D8"/>
    <w:rsid w:val="4BF11736"/>
    <w:rsid w:val="4CB7032D"/>
    <w:rsid w:val="4CEC3B57"/>
    <w:rsid w:val="4DAF39A5"/>
    <w:rsid w:val="4E7F3FFB"/>
    <w:rsid w:val="4FFB5C91"/>
    <w:rsid w:val="503569BD"/>
    <w:rsid w:val="5088682A"/>
    <w:rsid w:val="50D448C3"/>
    <w:rsid w:val="53806410"/>
    <w:rsid w:val="5385504E"/>
    <w:rsid w:val="541008E5"/>
    <w:rsid w:val="54690411"/>
    <w:rsid w:val="54D5111E"/>
    <w:rsid w:val="55080000"/>
    <w:rsid w:val="55CE57CA"/>
    <w:rsid w:val="56CF0295"/>
    <w:rsid w:val="57816E0F"/>
    <w:rsid w:val="588A6436"/>
    <w:rsid w:val="58C6460A"/>
    <w:rsid w:val="59BD4EBB"/>
    <w:rsid w:val="5A7A73EE"/>
    <w:rsid w:val="5BC56459"/>
    <w:rsid w:val="5C5D10A2"/>
    <w:rsid w:val="5C741C2D"/>
    <w:rsid w:val="5CE81550"/>
    <w:rsid w:val="5D0E58F9"/>
    <w:rsid w:val="5D1076B3"/>
    <w:rsid w:val="5DB474E2"/>
    <w:rsid w:val="5FF74A9D"/>
    <w:rsid w:val="601975C1"/>
    <w:rsid w:val="60646C21"/>
    <w:rsid w:val="610B58E7"/>
    <w:rsid w:val="61164808"/>
    <w:rsid w:val="616C398A"/>
    <w:rsid w:val="622E5D25"/>
    <w:rsid w:val="62DD6477"/>
    <w:rsid w:val="62ED51EE"/>
    <w:rsid w:val="63A212F2"/>
    <w:rsid w:val="63D35E78"/>
    <w:rsid w:val="640122EB"/>
    <w:rsid w:val="64CE1814"/>
    <w:rsid w:val="64E9706B"/>
    <w:rsid w:val="64F04589"/>
    <w:rsid w:val="65EA240F"/>
    <w:rsid w:val="662A1B70"/>
    <w:rsid w:val="670F4BFF"/>
    <w:rsid w:val="68CD2DF1"/>
    <w:rsid w:val="69562DE6"/>
    <w:rsid w:val="69B04E15"/>
    <w:rsid w:val="6B4D2517"/>
    <w:rsid w:val="6BDF5356"/>
    <w:rsid w:val="6E0B7B92"/>
    <w:rsid w:val="6E4D6016"/>
    <w:rsid w:val="6E867C1A"/>
    <w:rsid w:val="6E9973A4"/>
    <w:rsid w:val="6ED23F99"/>
    <w:rsid w:val="6F307C36"/>
    <w:rsid w:val="70352925"/>
    <w:rsid w:val="70B27DFF"/>
    <w:rsid w:val="70EA0CDA"/>
    <w:rsid w:val="72E53E6F"/>
    <w:rsid w:val="72EE4600"/>
    <w:rsid w:val="73730A1E"/>
    <w:rsid w:val="74401BBD"/>
    <w:rsid w:val="74780551"/>
    <w:rsid w:val="74E462FB"/>
    <w:rsid w:val="768C141F"/>
    <w:rsid w:val="76C97DE7"/>
    <w:rsid w:val="76E52A6D"/>
    <w:rsid w:val="774C4260"/>
    <w:rsid w:val="77DA3C2E"/>
    <w:rsid w:val="77FC779F"/>
    <w:rsid w:val="78007FBD"/>
    <w:rsid w:val="78425F77"/>
    <w:rsid w:val="79A92DE5"/>
    <w:rsid w:val="7A990D85"/>
    <w:rsid w:val="7BAD04FE"/>
    <w:rsid w:val="7C517717"/>
    <w:rsid w:val="7C624616"/>
    <w:rsid w:val="7C67749B"/>
    <w:rsid w:val="7CA524D9"/>
    <w:rsid w:val="7DF10ED8"/>
    <w:rsid w:val="7E224027"/>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8"/>
    <w:qFormat/>
    <w:uiPriority w:val="0"/>
    <w:rPr>
      <w:rFonts w:hint="default" w:ascii="Arial" w:hAnsi="Arial" w:cs="Arial"/>
      <w:color w:val="000000"/>
      <w:sz w:val="18"/>
      <w:szCs w:val="18"/>
      <w:u w:val="none"/>
    </w:rPr>
  </w:style>
  <w:style w:type="character" w:customStyle="1" w:styleId="25">
    <w:name w:val="font4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ascii="Arial" w:hAnsi="Arial" w:cs="Arial"/>
      <w:color w:val="000000"/>
      <w:sz w:val="18"/>
      <w:szCs w:val="18"/>
      <w:u w:val="none"/>
    </w:rPr>
  </w:style>
  <w:style w:type="character" w:customStyle="1" w:styleId="27">
    <w:name w:val="font31"/>
    <w:basedOn w:val="18"/>
    <w:qFormat/>
    <w:uiPriority w:val="0"/>
    <w:rPr>
      <w:rFonts w:hint="eastAsia" w:ascii="宋体" w:hAnsi="宋体" w:eastAsia="宋体" w:cs="宋体"/>
      <w:color w:val="000000"/>
      <w:sz w:val="18"/>
      <w:szCs w:val="18"/>
      <w:u w:val="none"/>
    </w:rPr>
  </w:style>
  <w:style w:type="character" w:customStyle="1" w:styleId="28">
    <w:name w:val="font51"/>
    <w:basedOn w:val="18"/>
    <w:qFormat/>
    <w:uiPriority w:val="0"/>
    <w:rPr>
      <w:rFonts w:hint="default" w:ascii="Times New Roman" w:hAnsi="Times New Roman" w:cs="Times New Roman"/>
      <w:color w:val="000000"/>
      <w:sz w:val="20"/>
      <w:szCs w:val="20"/>
      <w:u w:val="none"/>
    </w:rPr>
  </w:style>
  <w:style w:type="character" w:customStyle="1" w:styleId="29">
    <w:name w:val="font01"/>
    <w:basedOn w:val="18"/>
    <w:qFormat/>
    <w:uiPriority w:val="0"/>
    <w:rPr>
      <w:rFonts w:hint="eastAsia" w:ascii="宋体" w:hAnsi="宋体" w:eastAsia="宋体" w:cs="宋体"/>
      <w:color w:val="000000"/>
      <w:sz w:val="20"/>
      <w:szCs w:val="20"/>
      <w:u w:val="none"/>
    </w:rPr>
  </w:style>
  <w:style w:type="character" w:customStyle="1" w:styleId="30">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3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2">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47</Pages>
  <Words>2147</Words>
  <Characters>2485</Characters>
  <Lines>180</Lines>
  <Paragraphs>50</Paragraphs>
  <TotalTime>23</TotalTime>
  <ScaleCrop>false</ScaleCrop>
  <LinksUpToDate>false</LinksUpToDate>
  <CharactersWithSpaces>2632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2020-08-06T18:49:00Z</cp:lastPrinted>
  <dcterms:modified xsi:type="dcterms:W3CDTF">2025-07-25T08:54:14Z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AA61C474F21442DAA5A6B8FA9FBC6C82_13</vt:lpwstr>
  </property>
  <property fmtid="{D5CDD505-2E9C-101B-9397-08002B2CF9AE}" pid="4" name="KSOTemplateDocerSaveRecord">
    <vt:lpwstr>eyJoZGlkIjoiNDgxM2FhMDM0M2U5OGQ2ODA4NWZmYmM5MzU0ZjJmNjMiLCJ1c2VySWQiOiIyNDM2ODYzNCJ9</vt:lpwstr>
  </property>
</Properties>
</file>