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99A7C">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14:paraId="52844E51">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14:paraId="5B1BF616">
      <w:pPr>
        <w:keepNext w:val="0"/>
        <w:keepLines w:val="0"/>
        <w:pageBreakBefore w:val="0"/>
        <w:widowControl w:val="0"/>
        <w:kinsoku/>
        <w:wordWrap/>
        <w:overflowPunct/>
        <w:topLinePunct w:val="0"/>
        <w:autoSpaceDE/>
        <w:autoSpaceDN/>
        <w:bidi w:val="0"/>
        <w:adjustRightInd/>
        <w:snapToGrid/>
        <w:spacing w:beforeLines="30" w:line="560" w:lineRule="exact"/>
        <w:jc w:val="both"/>
        <w:textAlignment w:val="auto"/>
        <w:rPr>
          <w:rFonts w:hint="eastAsia" w:ascii="宋体" w:hAnsi="宋体" w:eastAsia="宋体" w:cs="宋体"/>
          <w:b/>
          <w:bCs w:val="0"/>
          <w:sz w:val="24"/>
          <w:szCs w:val="24"/>
          <w:highlight w:val="none"/>
          <w:lang w:val="en-US" w:eastAsia="zh-CN"/>
        </w:rPr>
      </w:pPr>
    </w:p>
    <w:p w14:paraId="1E97AB90">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ascii="黑体" w:hAnsi="黑体" w:eastAsia="黑体" w:cs="黑体"/>
          <w:b/>
          <w:bCs w:val="0"/>
          <w:sz w:val="52"/>
          <w:szCs w:val="52"/>
          <w:highlight w:val="none"/>
        </w:rPr>
      </w:pPr>
    </w:p>
    <w:p w14:paraId="3102908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spacing w:val="-11"/>
          <w:sz w:val="52"/>
          <w:szCs w:val="52"/>
          <w:highlight w:val="none"/>
        </w:rPr>
      </w:pPr>
      <w:r>
        <w:rPr>
          <w:rFonts w:hint="eastAsia" w:ascii="Times New Roman" w:hAnsi="Times New Roman" w:eastAsia="方正小标宋简体" w:cs="方正小标宋简体"/>
          <w:b w:val="0"/>
          <w:bCs/>
          <w:spacing w:val="-11"/>
          <w:sz w:val="52"/>
          <w:szCs w:val="52"/>
          <w:highlight w:val="none"/>
        </w:rPr>
        <w:t>深圳市鹏劳人力资源管理有限公司</w:t>
      </w:r>
    </w:p>
    <w:p w14:paraId="766491B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spacing w:val="-11"/>
          <w:sz w:val="52"/>
          <w:szCs w:val="52"/>
          <w:highlight w:val="none"/>
          <w:lang w:eastAsia="zh-CN"/>
        </w:rPr>
      </w:pPr>
      <w:r>
        <w:rPr>
          <w:rFonts w:hint="eastAsia" w:ascii="Times New Roman" w:hAnsi="Times New Roman" w:eastAsia="方正小标宋简体" w:cs="方正小标宋简体"/>
          <w:b w:val="0"/>
          <w:bCs/>
          <w:spacing w:val="-11"/>
          <w:sz w:val="52"/>
          <w:szCs w:val="52"/>
          <w:highlight w:val="none"/>
          <w:lang w:eastAsia="zh-CN"/>
        </w:rPr>
        <w:t>202</w:t>
      </w:r>
      <w:r>
        <w:rPr>
          <w:rFonts w:hint="eastAsia" w:ascii="Times New Roman" w:hAnsi="Times New Roman" w:eastAsia="方正小标宋简体" w:cs="方正小标宋简体"/>
          <w:b w:val="0"/>
          <w:bCs/>
          <w:spacing w:val="-11"/>
          <w:sz w:val="52"/>
          <w:szCs w:val="52"/>
          <w:highlight w:val="none"/>
          <w:lang w:val="en-US" w:eastAsia="zh-CN"/>
        </w:rPr>
        <w:t>6-2028</w:t>
      </w:r>
      <w:r>
        <w:rPr>
          <w:rFonts w:hint="eastAsia" w:ascii="Times New Roman" w:hAnsi="Times New Roman" w:eastAsia="方正小标宋简体" w:cs="方正小标宋简体"/>
          <w:b w:val="0"/>
          <w:bCs/>
          <w:spacing w:val="-11"/>
          <w:sz w:val="52"/>
          <w:szCs w:val="52"/>
          <w:highlight w:val="none"/>
          <w:lang w:eastAsia="zh-CN"/>
        </w:rPr>
        <w:t>年度某互联网银行外包项目</w:t>
      </w:r>
    </w:p>
    <w:p w14:paraId="3FC317D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spacing w:val="-11"/>
          <w:sz w:val="52"/>
          <w:szCs w:val="52"/>
          <w:highlight w:val="none"/>
        </w:rPr>
      </w:pPr>
      <w:r>
        <w:rPr>
          <w:rFonts w:hint="default" w:ascii="Times New Roman" w:hAnsi="Times New Roman" w:eastAsia="方正小标宋简体" w:cs="方正小标宋简体"/>
          <w:b w:val="0"/>
          <w:bCs/>
          <w:strike w:val="0"/>
          <w:spacing w:val="-11"/>
          <w:sz w:val="52"/>
          <w:szCs w:val="52"/>
          <w:highlight w:val="none"/>
          <w:lang w:eastAsia="zh-CN"/>
        </w:rPr>
        <w:t>招聘</w:t>
      </w:r>
      <w:r>
        <w:rPr>
          <w:rFonts w:hint="eastAsia" w:ascii="Times New Roman" w:hAnsi="Times New Roman" w:eastAsia="方正小标宋简体" w:cs="方正小标宋简体"/>
          <w:b w:val="0"/>
          <w:bCs/>
          <w:spacing w:val="-11"/>
          <w:sz w:val="52"/>
          <w:szCs w:val="52"/>
          <w:highlight w:val="none"/>
          <w:lang w:eastAsia="zh-CN"/>
        </w:rPr>
        <w:t>服务项目</w:t>
      </w:r>
      <w:r>
        <w:rPr>
          <w:rFonts w:hint="eastAsia" w:ascii="Times New Roman" w:hAnsi="Times New Roman" w:eastAsia="方正小标宋简体" w:cs="方正小标宋简体"/>
          <w:b w:val="0"/>
          <w:bCs/>
          <w:spacing w:val="-11"/>
          <w:sz w:val="52"/>
          <w:szCs w:val="52"/>
          <w:highlight w:val="none"/>
        </w:rPr>
        <w:t>招标文件</w:t>
      </w:r>
    </w:p>
    <w:p w14:paraId="0750F79C">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18E238C4">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311B7EA9">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4A932739">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09DA933E">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val="0"/>
          <w:bCs/>
          <w:sz w:val="40"/>
          <w:szCs w:val="40"/>
          <w:highlight w:val="none"/>
        </w:rPr>
      </w:pPr>
      <w:r>
        <w:rPr>
          <w:rFonts w:hint="eastAsia" w:ascii="Times New Roman" w:hAnsi="Times New Roman" w:eastAsia="方正小标宋简体" w:cs="方正小标宋简体"/>
          <w:b w:val="0"/>
          <w:bCs/>
          <w:sz w:val="40"/>
          <w:szCs w:val="40"/>
          <w:highlight w:val="none"/>
        </w:rPr>
        <w:t>采购类别</w:t>
      </w:r>
      <w:r>
        <w:rPr>
          <w:rFonts w:hint="eastAsia" w:ascii="Times New Roman" w:hAnsi="Times New Roman" w:eastAsia="方正小标宋简体" w:cs="方正小标宋简体"/>
          <w:b w:val="0"/>
          <w:bCs/>
          <w:sz w:val="40"/>
          <w:szCs w:val="40"/>
          <w:highlight w:val="none"/>
          <w:lang w:eastAsia="zh-CN"/>
        </w:rPr>
        <w:t>：</w:t>
      </w:r>
      <w:r>
        <w:rPr>
          <w:rFonts w:hint="eastAsia" w:ascii="Times New Roman" w:hAnsi="Times New Roman" w:eastAsia="方正小标宋简体" w:cs="方正小标宋简体"/>
          <w:b w:val="0"/>
          <w:bCs/>
          <w:sz w:val="40"/>
          <w:szCs w:val="40"/>
          <w:highlight w:val="none"/>
        </w:rPr>
        <w:t>服务采购</w:t>
      </w:r>
    </w:p>
    <w:p w14:paraId="6C92A6A1">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default" w:ascii="Times New Roman" w:hAnsi="Times New Roman" w:eastAsia="方正小标宋简体" w:cs="方正小标宋简体"/>
          <w:b/>
          <w:bCs w:val="0"/>
          <w:sz w:val="24"/>
          <w:szCs w:val="24"/>
          <w:highlight w:val="none"/>
          <w:lang w:val="en-US" w:eastAsia="zh-CN"/>
        </w:rPr>
      </w:pPr>
      <w:r>
        <w:rPr>
          <w:rFonts w:hint="eastAsia" w:ascii="Times New Roman" w:hAnsi="Times New Roman" w:eastAsia="方正小标宋简体" w:cs="方正小标宋简体"/>
          <w:b w:val="0"/>
          <w:bCs/>
          <w:sz w:val="40"/>
          <w:szCs w:val="40"/>
          <w:highlight w:val="none"/>
          <w:lang w:eastAsia="zh-CN"/>
        </w:rPr>
        <w:t>项目</w:t>
      </w:r>
      <w:r>
        <w:rPr>
          <w:rFonts w:hint="eastAsia" w:ascii="Times New Roman" w:hAnsi="Times New Roman" w:eastAsia="方正小标宋简体" w:cs="方正小标宋简体"/>
          <w:b w:val="0"/>
          <w:bCs/>
          <w:sz w:val="40"/>
          <w:szCs w:val="40"/>
          <w:highlight w:val="none"/>
        </w:rPr>
        <w:t>编号：</w:t>
      </w:r>
      <w:r>
        <w:rPr>
          <w:rFonts w:hint="eastAsia" w:ascii="Times New Roman" w:hAnsi="Times New Roman" w:eastAsia="方正小标宋简体" w:cs="方正小标宋简体"/>
          <w:b w:val="0"/>
          <w:bCs/>
          <w:sz w:val="40"/>
          <w:szCs w:val="40"/>
          <w:highlight w:val="none"/>
          <w:lang w:eastAsia="zh-CN"/>
        </w:rPr>
        <w:t>PLHR-ZB-FW-202</w:t>
      </w:r>
      <w:r>
        <w:rPr>
          <w:rFonts w:hint="eastAsia" w:ascii="Times New Roman" w:hAnsi="Times New Roman" w:eastAsia="方正小标宋简体" w:cs="方正小标宋简体"/>
          <w:b w:val="0"/>
          <w:bCs/>
          <w:sz w:val="40"/>
          <w:szCs w:val="40"/>
          <w:highlight w:val="none"/>
          <w:lang w:val="en-US" w:eastAsia="zh-CN"/>
        </w:rPr>
        <w:t>603</w:t>
      </w:r>
    </w:p>
    <w:p w14:paraId="73D4C2D6">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30"/>
          <w:szCs w:val="32"/>
          <w:highlight w:val="none"/>
        </w:rPr>
      </w:pPr>
    </w:p>
    <w:p w14:paraId="6028EC03">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Times New Roman" w:hAnsi="Times New Roman" w:eastAsia="方正小标宋简体" w:cs="方正小标宋简体"/>
          <w:b/>
          <w:bCs w:val="0"/>
          <w:sz w:val="34"/>
          <w:szCs w:val="36"/>
          <w:highlight w:val="none"/>
        </w:rPr>
      </w:pPr>
    </w:p>
    <w:p w14:paraId="42753AE4">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Times New Roman" w:hAnsi="Times New Roman" w:eastAsia="方正小标宋简体" w:cs="方正小标宋简体"/>
          <w:b w:val="0"/>
          <w:bCs/>
          <w:sz w:val="34"/>
          <w:szCs w:val="36"/>
          <w:highlight w:val="none"/>
        </w:rPr>
      </w:pPr>
    </w:p>
    <w:p w14:paraId="48A3B943">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val="0"/>
          <w:bCs/>
          <w:sz w:val="40"/>
          <w:szCs w:val="40"/>
          <w:highlight w:val="none"/>
        </w:rPr>
      </w:pPr>
      <w:r>
        <w:rPr>
          <w:rFonts w:hint="eastAsia" w:ascii="Times New Roman" w:hAnsi="Times New Roman" w:eastAsia="方正小标宋简体" w:cs="方正小标宋简体"/>
          <w:b w:val="0"/>
          <w:bCs/>
          <w:sz w:val="40"/>
          <w:szCs w:val="40"/>
          <w:highlight w:val="none"/>
        </w:rPr>
        <w:t>深圳市鹏劳人力资源管理有限公司</w:t>
      </w:r>
    </w:p>
    <w:p w14:paraId="6FFEA09C">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val="0"/>
          <w:bCs/>
          <w:sz w:val="40"/>
          <w:szCs w:val="40"/>
          <w:highlight w:val="none"/>
        </w:rPr>
      </w:pPr>
      <w:r>
        <w:rPr>
          <w:rFonts w:hint="eastAsia" w:ascii="Times New Roman" w:hAnsi="Times New Roman" w:eastAsia="方正小标宋简体" w:cs="方正小标宋简体"/>
          <w:b w:val="0"/>
          <w:bCs/>
          <w:sz w:val="40"/>
          <w:szCs w:val="40"/>
          <w:highlight w:val="none"/>
        </w:rPr>
        <w:t>二〇二</w:t>
      </w:r>
      <w:r>
        <w:rPr>
          <w:rFonts w:hint="eastAsia" w:ascii="Times New Roman" w:hAnsi="Times New Roman" w:eastAsia="方正小标宋简体" w:cs="方正小标宋简体"/>
          <w:b w:val="0"/>
          <w:bCs/>
          <w:sz w:val="40"/>
          <w:szCs w:val="40"/>
          <w:highlight w:val="none"/>
          <w:lang w:val="en-US" w:eastAsia="zh-CN"/>
        </w:rPr>
        <w:t>六</w:t>
      </w:r>
      <w:r>
        <w:rPr>
          <w:rFonts w:hint="eastAsia" w:ascii="Times New Roman" w:hAnsi="Times New Roman" w:eastAsia="方正小标宋简体" w:cs="方正小标宋简体"/>
          <w:b w:val="0"/>
          <w:bCs/>
          <w:sz w:val="40"/>
          <w:szCs w:val="40"/>
          <w:highlight w:val="none"/>
        </w:rPr>
        <w:t>年</w:t>
      </w:r>
      <w:r>
        <w:rPr>
          <w:rFonts w:hint="eastAsia" w:ascii="Times New Roman" w:hAnsi="Times New Roman" w:eastAsia="方正小标宋简体" w:cs="方正小标宋简体"/>
          <w:b w:val="0"/>
          <w:bCs/>
          <w:sz w:val="40"/>
          <w:szCs w:val="40"/>
          <w:highlight w:val="none"/>
          <w:lang w:val="en-US" w:eastAsia="zh-CN"/>
        </w:rPr>
        <w:t>三</w:t>
      </w:r>
      <w:r>
        <w:rPr>
          <w:rFonts w:hint="eastAsia" w:ascii="Times New Roman" w:hAnsi="Times New Roman" w:eastAsia="方正小标宋简体" w:cs="方正小标宋简体"/>
          <w:b w:val="0"/>
          <w:bCs/>
          <w:sz w:val="40"/>
          <w:szCs w:val="40"/>
          <w:highlight w:val="none"/>
        </w:rPr>
        <w:t>月</w:t>
      </w:r>
    </w:p>
    <w:p w14:paraId="6199C32E">
      <w:pPr>
        <w:pStyle w:val="15"/>
        <w:spacing w:before="0" w:after="0"/>
        <w:ind w:firstLine="0" w:firstLineChars="0"/>
        <w:outlineLvl w:val="9"/>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14:paraId="367E52C5">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rPr>
      </w:pPr>
      <w:bookmarkStart w:id="1" w:name="_Toc21460"/>
      <w:bookmarkStart w:id="2" w:name="_Toc11413"/>
      <w:r>
        <w:rPr>
          <w:rFonts w:hint="eastAsia" w:ascii="方正小标宋简体" w:hAnsi="方正小标宋简体" w:eastAsia="方正小标宋简体" w:cs="方正小标宋简体"/>
          <w:b w:val="0"/>
          <w:bCs/>
          <w:sz w:val="44"/>
          <w:szCs w:val="44"/>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Times New Roman" w:hAnsi="Times New Roman" w:eastAsia="仿宋" w:cs="仿宋"/>
          <w:b w:val="0"/>
          <w:bCs/>
          <w:caps w:val="0"/>
          <w:smallCaps w:val="0"/>
          <w:kern w:val="28"/>
          <w:sz w:val="28"/>
          <w:szCs w:val="28"/>
          <w:highlight w:val="none"/>
        </w:rPr>
      </w:sdtEndPr>
      <w:sdtContent>
        <w:p w14:paraId="1C4D3452">
          <w:pPr>
            <w:spacing w:line="240" w:lineRule="exact"/>
            <w:jc w:val="center"/>
            <w:rPr>
              <w:b/>
              <w:bCs w:val="0"/>
              <w:highlight w:val="none"/>
            </w:rPr>
          </w:pPr>
        </w:p>
        <w:p w14:paraId="4A2C5404">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ind w:firstLine="0" w:firstLineChars="0"/>
            <w:jc w:val="both"/>
            <w:textAlignment w:val="auto"/>
          </w:pPr>
          <w:r>
            <w:rPr>
              <w:rFonts w:hint="eastAsia" w:ascii="黑体" w:hAnsi="黑体" w:eastAsia="黑体" w:cs="黑体"/>
              <w:b w:val="0"/>
              <w:bCs/>
              <w:caps w:val="0"/>
              <w:smallCaps w:val="0"/>
              <w:sz w:val="28"/>
              <w:szCs w:val="28"/>
              <w:highlight w:val="none"/>
            </w:rPr>
            <w:fldChar w:fldCharType="begin"/>
          </w:r>
          <w:r>
            <w:rPr>
              <w:rFonts w:hint="eastAsia" w:ascii="黑体" w:hAnsi="黑体" w:eastAsia="黑体" w:cs="黑体"/>
              <w:b w:val="0"/>
              <w:bCs/>
              <w:caps w:val="0"/>
              <w:smallCaps w:val="0"/>
              <w:sz w:val="28"/>
              <w:szCs w:val="28"/>
              <w:highlight w:val="none"/>
            </w:rPr>
            <w:instrText xml:space="preserve">TOC \o "1-3" \h \u </w:instrText>
          </w:r>
          <w:r>
            <w:rPr>
              <w:rFonts w:hint="eastAsia" w:ascii="黑体" w:hAnsi="黑体" w:eastAsia="黑体" w:cs="黑体"/>
              <w:b w:val="0"/>
              <w:bCs/>
              <w:caps w:val="0"/>
              <w:smallCaps w:val="0"/>
              <w:sz w:val="28"/>
              <w:szCs w:val="28"/>
              <w:highlight w:val="none"/>
            </w:rPr>
            <w:fldChar w:fldCharType="separate"/>
          </w: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_Toc28353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en-US" w:eastAsia="zh-CN"/>
            </w:rPr>
            <w:t>第一部分 招标公告</w:t>
          </w:r>
          <w:r>
            <w:tab/>
          </w:r>
          <w:r>
            <w:fldChar w:fldCharType="begin"/>
          </w:r>
          <w:r>
            <w:instrText xml:space="preserve"> PAGEREF _Toc28353 \h </w:instrText>
          </w:r>
          <w:r>
            <w:fldChar w:fldCharType="separate"/>
          </w:r>
          <w:r>
            <w:t>3</w:t>
          </w:r>
          <w:r>
            <w:fldChar w:fldCharType="end"/>
          </w:r>
          <w:r>
            <w:rPr>
              <w:rFonts w:hint="eastAsia" w:ascii="黑体" w:hAnsi="黑体" w:eastAsia="黑体" w:cs="黑体"/>
              <w:bCs/>
              <w:caps w:val="0"/>
              <w:smallCaps w:val="0"/>
              <w:szCs w:val="28"/>
              <w:highlight w:val="none"/>
            </w:rPr>
            <w:fldChar w:fldCharType="end"/>
          </w:r>
        </w:p>
        <w:p w14:paraId="544D93B3">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_Toc448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一、</w:t>
          </w:r>
          <w:r>
            <w:rPr>
              <w:rFonts w:hint="eastAsia" w:ascii="黑体" w:hAnsi="黑体" w:eastAsia="黑体" w:cs="黑体"/>
              <w:bCs/>
              <w:szCs w:val="32"/>
              <w:highlight w:val="none"/>
            </w:rPr>
            <w:t>项目</w:t>
          </w:r>
          <w:r>
            <w:rPr>
              <w:rFonts w:hint="eastAsia" w:ascii="黑体" w:hAnsi="黑体" w:eastAsia="黑体" w:cs="黑体"/>
              <w:bCs/>
              <w:szCs w:val="32"/>
              <w:highlight w:val="none"/>
              <w:lang w:eastAsia="zh-CN"/>
            </w:rPr>
            <w:t>名称</w:t>
          </w:r>
          <w:r>
            <w:tab/>
          </w:r>
          <w:r>
            <w:fldChar w:fldCharType="begin"/>
          </w:r>
          <w:r>
            <w:instrText xml:space="preserve"> PAGEREF _Toc448 \h </w:instrText>
          </w:r>
          <w:r>
            <w:fldChar w:fldCharType="separate"/>
          </w:r>
          <w:r>
            <w:t>3</w:t>
          </w:r>
          <w:r>
            <w:fldChar w:fldCharType="end"/>
          </w:r>
          <w:r>
            <w:rPr>
              <w:rFonts w:hint="eastAsia" w:ascii="黑体" w:hAnsi="黑体" w:eastAsia="黑体" w:cs="黑体"/>
              <w:bCs/>
              <w:caps w:val="0"/>
              <w:smallCaps w:val="0"/>
              <w:szCs w:val="28"/>
              <w:highlight w:val="none"/>
            </w:rPr>
            <w:fldChar w:fldCharType="end"/>
          </w:r>
        </w:p>
        <w:p w14:paraId="0703AFB3">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_Toc10846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二、</w:t>
          </w:r>
          <w:r>
            <w:rPr>
              <w:rFonts w:hint="eastAsia" w:ascii="黑体" w:hAnsi="黑体" w:eastAsia="黑体" w:cs="黑体"/>
              <w:bCs/>
              <w:szCs w:val="32"/>
              <w:highlight w:val="none"/>
              <w:lang w:val="en-US" w:eastAsia="zh-CN"/>
            </w:rPr>
            <w:t>项目编号</w:t>
          </w:r>
          <w:r>
            <w:tab/>
          </w:r>
          <w:r>
            <w:fldChar w:fldCharType="begin"/>
          </w:r>
          <w:r>
            <w:instrText xml:space="preserve"> PAGEREF _Toc10846 \h </w:instrText>
          </w:r>
          <w:r>
            <w:fldChar w:fldCharType="separate"/>
          </w:r>
          <w:r>
            <w:t>3</w:t>
          </w:r>
          <w:r>
            <w:fldChar w:fldCharType="end"/>
          </w:r>
          <w:r>
            <w:rPr>
              <w:rFonts w:hint="eastAsia" w:ascii="黑体" w:hAnsi="黑体" w:eastAsia="黑体" w:cs="黑体"/>
              <w:bCs/>
              <w:caps w:val="0"/>
              <w:smallCaps w:val="0"/>
              <w:szCs w:val="28"/>
              <w:highlight w:val="none"/>
            </w:rPr>
            <w:fldChar w:fldCharType="end"/>
          </w:r>
        </w:p>
        <w:p w14:paraId="01B34A32">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_Toc2912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trike w:val="0"/>
              <w:kern w:val="2"/>
              <w:szCs w:val="32"/>
              <w:lang w:val="en-US" w:eastAsia="zh-CN" w:bidi="ar-SA"/>
            </w:rPr>
            <w:t>三、</w:t>
          </w:r>
          <w:r>
            <w:rPr>
              <w:rFonts w:hint="eastAsia" w:ascii="黑体" w:hAnsi="黑体" w:eastAsia="黑体" w:cs="黑体"/>
              <w:bCs/>
              <w:strike w:val="0"/>
              <w:szCs w:val="32"/>
              <w:highlight w:val="none"/>
              <w:lang w:val="en-US" w:eastAsia="zh-CN"/>
            </w:rPr>
            <w:t>项目需求</w:t>
          </w:r>
          <w:r>
            <w:tab/>
          </w:r>
          <w:r>
            <w:fldChar w:fldCharType="begin"/>
          </w:r>
          <w:r>
            <w:instrText xml:space="preserve"> PAGEREF _Toc2912 \h </w:instrText>
          </w:r>
          <w:r>
            <w:fldChar w:fldCharType="separate"/>
          </w:r>
          <w:r>
            <w:t>3</w:t>
          </w:r>
          <w:r>
            <w:fldChar w:fldCharType="end"/>
          </w:r>
          <w:r>
            <w:rPr>
              <w:rFonts w:hint="eastAsia" w:ascii="黑体" w:hAnsi="黑体" w:eastAsia="黑体" w:cs="黑体"/>
              <w:bCs/>
              <w:caps w:val="0"/>
              <w:smallCaps w:val="0"/>
              <w:szCs w:val="28"/>
              <w:highlight w:val="none"/>
            </w:rPr>
            <w:fldChar w:fldCharType="end"/>
          </w:r>
        </w:p>
        <w:p w14:paraId="68A8D6E9">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_Toc6327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trike w:val="0"/>
              <w:kern w:val="2"/>
              <w:szCs w:val="32"/>
              <w:lang w:val="en-US" w:eastAsia="zh-CN" w:bidi="ar-SA"/>
            </w:rPr>
            <w:t>四、</w:t>
          </w:r>
          <w:r>
            <w:rPr>
              <w:rFonts w:hint="eastAsia" w:ascii="黑体" w:hAnsi="黑体" w:eastAsia="黑体" w:cs="黑体"/>
              <w:bCs/>
              <w:strike w:val="0"/>
              <w:szCs w:val="32"/>
              <w:highlight w:val="none"/>
              <w:lang w:val="en-US" w:eastAsia="zh-CN"/>
            </w:rPr>
            <w:t>项目要求</w:t>
          </w:r>
          <w:r>
            <w:tab/>
          </w:r>
          <w:r>
            <w:fldChar w:fldCharType="begin"/>
          </w:r>
          <w:r>
            <w:instrText xml:space="preserve"> PAGEREF _Toc6327 \h </w:instrText>
          </w:r>
          <w:r>
            <w:fldChar w:fldCharType="separate"/>
          </w:r>
          <w:r>
            <w:t>4</w:t>
          </w:r>
          <w:r>
            <w:fldChar w:fldCharType="end"/>
          </w:r>
          <w:r>
            <w:rPr>
              <w:rFonts w:hint="eastAsia" w:ascii="黑体" w:hAnsi="黑体" w:eastAsia="黑体" w:cs="黑体"/>
              <w:bCs/>
              <w:caps w:val="0"/>
              <w:smallCaps w:val="0"/>
              <w:szCs w:val="28"/>
              <w:highlight w:val="none"/>
            </w:rPr>
            <w:fldChar w:fldCharType="end"/>
          </w:r>
        </w:p>
        <w:p w14:paraId="125BA7A0">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_Toc23756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五、</w:t>
          </w:r>
          <w:r>
            <w:rPr>
              <w:rFonts w:hint="eastAsia" w:ascii="黑体" w:hAnsi="黑体" w:eastAsia="黑体" w:cs="黑体"/>
              <w:bCs/>
              <w:szCs w:val="32"/>
              <w:highlight w:val="none"/>
              <w:lang w:val="en-US" w:eastAsia="zh-CN"/>
            </w:rPr>
            <w:t>项目期限</w:t>
          </w:r>
          <w:r>
            <w:tab/>
          </w:r>
          <w:r>
            <w:fldChar w:fldCharType="begin"/>
          </w:r>
          <w:r>
            <w:instrText xml:space="preserve"> PAGEREF _Toc23756 \h </w:instrText>
          </w:r>
          <w:r>
            <w:fldChar w:fldCharType="separate"/>
          </w:r>
          <w:r>
            <w:t>4</w:t>
          </w:r>
          <w:r>
            <w:fldChar w:fldCharType="end"/>
          </w:r>
          <w:r>
            <w:rPr>
              <w:rFonts w:hint="eastAsia" w:ascii="黑体" w:hAnsi="黑体" w:eastAsia="黑体" w:cs="黑体"/>
              <w:bCs/>
              <w:caps w:val="0"/>
              <w:smallCaps w:val="0"/>
              <w:szCs w:val="28"/>
              <w:highlight w:val="none"/>
            </w:rPr>
            <w:fldChar w:fldCharType="end"/>
          </w:r>
        </w:p>
        <w:p w14:paraId="17B0FAC8">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_Toc5302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六、</w:t>
          </w:r>
          <w:r>
            <w:rPr>
              <w:rFonts w:hint="eastAsia" w:ascii="黑体" w:hAnsi="黑体" w:eastAsia="黑体" w:cs="黑体"/>
              <w:bCs/>
              <w:szCs w:val="32"/>
              <w:highlight w:val="none"/>
              <w:lang w:val="en-US" w:eastAsia="zh-CN"/>
            </w:rPr>
            <w:t>项目预算</w:t>
          </w:r>
          <w:r>
            <w:tab/>
          </w:r>
          <w:r>
            <w:fldChar w:fldCharType="begin"/>
          </w:r>
          <w:r>
            <w:instrText xml:space="preserve"> PAGEREF _Toc5302 \h </w:instrText>
          </w:r>
          <w:r>
            <w:fldChar w:fldCharType="separate"/>
          </w:r>
          <w:r>
            <w:t>4</w:t>
          </w:r>
          <w:r>
            <w:fldChar w:fldCharType="end"/>
          </w:r>
          <w:r>
            <w:rPr>
              <w:rFonts w:hint="eastAsia" w:ascii="黑体" w:hAnsi="黑体" w:eastAsia="黑体" w:cs="黑体"/>
              <w:bCs/>
              <w:caps w:val="0"/>
              <w:smallCaps w:val="0"/>
              <w:szCs w:val="28"/>
              <w:highlight w:val="none"/>
            </w:rPr>
            <w:fldChar w:fldCharType="end"/>
          </w:r>
        </w:p>
        <w:p w14:paraId="3B28BD05">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_Toc18218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七、</w:t>
          </w:r>
          <w:r>
            <w:rPr>
              <w:rFonts w:hint="eastAsia" w:ascii="黑体" w:hAnsi="黑体" w:eastAsia="黑体" w:cs="黑体"/>
              <w:bCs/>
              <w:szCs w:val="32"/>
              <w:highlight w:val="none"/>
              <w:lang w:val="en-US" w:eastAsia="zh-CN"/>
            </w:rPr>
            <w:t>投标人资质要求</w:t>
          </w:r>
          <w:r>
            <w:tab/>
          </w:r>
          <w:r>
            <w:fldChar w:fldCharType="begin"/>
          </w:r>
          <w:r>
            <w:instrText xml:space="preserve"> PAGEREF _Toc18218 \h </w:instrText>
          </w:r>
          <w:r>
            <w:fldChar w:fldCharType="separate"/>
          </w:r>
          <w:r>
            <w:t>5</w:t>
          </w:r>
          <w:r>
            <w:fldChar w:fldCharType="end"/>
          </w:r>
          <w:r>
            <w:rPr>
              <w:rFonts w:hint="eastAsia" w:ascii="黑体" w:hAnsi="黑体" w:eastAsia="黑体" w:cs="黑体"/>
              <w:bCs/>
              <w:caps w:val="0"/>
              <w:smallCaps w:val="0"/>
              <w:szCs w:val="28"/>
              <w:highlight w:val="none"/>
            </w:rPr>
            <w:fldChar w:fldCharType="end"/>
          </w:r>
        </w:p>
        <w:p w14:paraId="6466A8DA">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_Toc11559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八、</w:t>
          </w:r>
          <w:r>
            <w:rPr>
              <w:rFonts w:hint="eastAsia" w:ascii="黑体" w:hAnsi="黑体" w:eastAsia="黑体" w:cs="黑体"/>
              <w:bCs/>
              <w:szCs w:val="32"/>
              <w:highlight w:val="none"/>
              <w:lang w:val="en-US" w:eastAsia="zh-CN"/>
            </w:rPr>
            <w:t>具体内容</w:t>
          </w:r>
          <w:r>
            <w:tab/>
          </w:r>
          <w:r>
            <w:fldChar w:fldCharType="begin"/>
          </w:r>
          <w:r>
            <w:instrText xml:space="preserve"> PAGEREF _Toc11559 \h </w:instrText>
          </w:r>
          <w:r>
            <w:fldChar w:fldCharType="separate"/>
          </w:r>
          <w:r>
            <w:t>6</w:t>
          </w:r>
          <w:r>
            <w:fldChar w:fldCharType="end"/>
          </w:r>
          <w:r>
            <w:rPr>
              <w:rFonts w:hint="eastAsia" w:ascii="黑体" w:hAnsi="黑体" w:eastAsia="黑体" w:cs="黑体"/>
              <w:bCs/>
              <w:caps w:val="0"/>
              <w:smallCaps w:val="0"/>
              <w:szCs w:val="28"/>
              <w:highlight w:val="none"/>
            </w:rPr>
            <w:fldChar w:fldCharType="end"/>
          </w:r>
        </w:p>
        <w:p w14:paraId="52AD3203">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_Toc8020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九、</w:t>
          </w:r>
          <w:r>
            <w:rPr>
              <w:rFonts w:hint="eastAsia" w:ascii="黑体" w:hAnsi="黑体" w:eastAsia="黑体" w:cs="黑体"/>
              <w:bCs/>
              <w:szCs w:val="32"/>
              <w:highlight w:val="none"/>
              <w:lang w:val="en-US" w:eastAsia="zh-CN"/>
            </w:rPr>
            <w:t>答疑、澄清与补正</w:t>
          </w:r>
          <w:r>
            <w:tab/>
          </w:r>
          <w:r>
            <w:fldChar w:fldCharType="begin"/>
          </w:r>
          <w:r>
            <w:instrText xml:space="preserve"> PAGEREF _Toc8020 \h </w:instrText>
          </w:r>
          <w:r>
            <w:fldChar w:fldCharType="separate"/>
          </w:r>
          <w:r>
            <w:t>6</w:t>
          </w:r>
          <w:r>
            <w:fldChar w:fldCharType="end"/>
          </w:r>
          <w:r>
            <w:rPr>
              <w:rFonts w:hint="eastAsia" w:ascii="黑体" w:hAnsi="黑体" w:eastAsia="黑体" w:cs="黑体"/>
              <w:bCs/>
              <w:caps w:val="0"/>
              <w:smallCaps w:val="0"/>
              <w:szCs w:val="28"/>
              <w:highlight w:val="none"/>
            </w:rPr>
            <w:fldChar w:fldCharType="end"/>
          </w:r>
        </w:p>
        <w:p w14:paraId="5F21BA2E">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_Toc18385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十、</w:t>
          </w:r>
          <w:r>
            <w:rPr>
              <w:rFonts w:hint="eastAsia" w:ascii="黑体" w:hAnsi="黑体" w:eastAsia="黑体" w:cs="黑体"/>
              <w:bCs/>
              <w:szCs w:val="32"/>
              <w:highlight w:val="none"/>
              <w:lang w:val="en-US" w:eastAsia="zh-CN"/>
            </w:rPr>
            <w:t>投标截止时间</w:t>
          </w:r>
          <w:r>
            <w:tab/>
          </w:r>
          <w:r>
            <w:fldChar w:fldCharType="begin"/>
          </w:r>
          <w:r>
            <w:instrText xml:space="preserve"> PAGEREF _Toc18385 \h </w:instrText>
          </w:r>
          <w:r>
            <w:fldChar w:fldCharType="separate"/>
          </w:r>
          <w:r>
            <w:t>7</w:t>
          </w:r>
          <w:r>
            <w:fldChar w:fldCharType="end"/>
          </w:r>
          <w:r>
            <w:rPr>
              <w:rFonts w:hint="eastAsia" w:ascii="黑体" w:hAnsi="黑体" w:eastAsia="黑体" w:cs="黑体"/>
              <w:bCs/>
              <w:caps w:val="0"/>
              <w:smallCaps w:val="0"/>
              <w:szCs w:val="28"/>
              <w:highlight w:val="none"/>
            </w:rPr>
            <w:fldChar w:fldCharType="end"/>
          </w:r>
        </w:p>
        <w:p w14:paraId="126B5633">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_Toc20222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十一、</w:t>
          </w:r>
          <w:r>
            <w:rPr>
              <w:rFonts w:hint="eastAsia" w:ascii="黑体" w:hAnsi="黑体" w:eastAsia="黑体" w:cs="黑体"/>
              <w:bCs/>
              <w:szCs w:val="32"/>
              <w:highlight w:val="none"/>
              <w:lang w:val="en-US" w:eastAsia="zh-CN"/>
            </w:rPr>
            <w:t>开标时间</w:t>
          </w:r>
          <w:r>
            <w:tab/>
          </w:r>
          <w:r>
            <w:fldChar w:fldCharType="begin"/>
          </w:r>
          <w:r>
            <w:instrText xml:space="preserve"> PAGEREF _Toc20222 \h </w:instrText>
          </w:r>
          <w:r>
            <w:fldChar w:fldCharType="separate"/>
          </w:r>
          <w:r>
            <w:t>7</w:t>
          </w:r>
          <w:r>
            <w:fldChar w:fldCharType="end"/>
          </w:r>
          <w:r>
            <w:rPr>
              <w:rFonts w:hint="eastAsia" w:ascii="黑体" w:hAnsi="黑体" w:eastAsia="黑体" w:cs="黑体"/>
              <w:bCs/>
              <w:caps w:val="0"/>
              <w:smallCaps w:val="0"/>
              <w:szCs w:val="28"/>
              <w:highlight w:val="none"/>
            </w:rPr>
            <w:fldChar w:fldCharType="end"/>
          </w:r>
        </w:p>
        <w:p w14:paraId="4F5B27BF">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_Toc32378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十二、</w:t>
          </w:r>
          <w:r>
            <w:rPr>
              <w:rFonts w:hint="eastAsia" w:ascii="黑体" w:hAnsi="黑体" w:eastAsia="黑体" w:cs="黑体"/>
              <w:bCs/>
              <w:szCs w:val="32"/>
              <w:highlight w:val="none"/>
              <w:lang w:val="en-US" w:eastAsia="zh-CN"/>
            </w:rPr>
            <w:t>投标文件递交及开标地点</w:t>
          </w:r>
          <w:r>
            <w:tab/>
          </w:r>
          <w:r>
            <w:fldChar w:fldCharType="begin"/>
          </w:r>
          <w:r>
            <w:instrText xml:space="preserve"> PAGEREF _Toc32378 \h </w:instrText>
          </w:r>
          <w:r>
            <w:fldChar w:fldCharType="separate"/>
          </w:r>
          <w:r>
            <w:t>7</w:t>
          </w:r>
          <w:r>
            <w:fldChar w:fldCharType="end"/>
          </w:r>
          <w:r>
            <w:rPr>
              <w:rFonts w:hint="eastAsia" w:ascii="黑体" w:hAnsi="黑体" w:eastAsia="黑体" w:cs="黑体"/>
              <w:bCs/>
              <w:caps w:val="0"/>
              <w:smallCaps w:val="0"/>
              <w:szCs w:val="28"/>
              <w:highlight w:val="none"/>
            </w:rPr>
            <w:fldChar w:fldCharType="end"/>
          </w:r>
        </w:p>
        <w:p w14:paraId="0C04EE54">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_Toc3122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十三、</w:t>
          </w:r>
          <w:r>
            <w:rPr>
              <w:rFonts w:hint="eastAsia" w:ascii="黑体" w:hAnsi="黑体" w:eastAsia="黑体" w:cs="黑体"/>
              <w:bCs/>
              <w:szCs w:val="32"/>
              <w:highlight w:val="none"/>
              <w:lang w:val="en-US" w:eastAsia="zh-CN"/>
            </w:rPr>
            <w:t>联系方式</w:t>
          </w:r>
          <w:r>
            <w:tab/>
          </w:r>
          <w:r>
            <w:fldChar w:fldCharType="begin"/>
          </w:r>
          <w:r>
            <w:instrText xml:space="preserve"> PAGEREF _Toc3122 \h </w:instrText>
          </w:r>
          <w:r>
            <w:fldChar w:fldCharType="separate"/>
          </w:r>
          <w:r>
            <w:t>7</w:t>
          </w:r>
          <w:r>
            <w:fldChar w:fldCharType="end"/>
          </w:r>
          <w:r>
            <w:rPr>
              <w:rFonts w:hint="eastAsia" w:ascii="黑体" w:hAnsi="黑体" w:eastAsia="黑体" w:cs="黑体"/>
              <w:bCs/>
              <w:caps w:val="0"/>
              <w:smallCaps w:val="0"/>
              <w:szCs w:val="28"/>
              <w:highlight w:val="none"/>
            </w:rPr>
            <w:fldChar w:fldCharType="end"/>
          </w:r>
        </w:p>
        <w:p w14:paraId="2B086029">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_Toc3314 </w:instrText>
          </w:r>
          <w:r>
            <w:rPr>
              <w:rFonts w:hint="eastAsia" w:ascii="黑体" w:hAnsi="黑体" w:eastAsia="黑体" w:cs="黑体"/>
              <w:bCs/>
              <w:caps w:val="0"/>
              <w:smallCaps w:val="0"/>
              <w:szCs w:val="28"/>
              <w:highlight w:val="none"/>
            </w:rPr>
            <w:fldChar w:fldCharType="separate"/>
          </w:r>
          <w:r>
            <w:rPr>
              <w:rFonts w:hint="eastAsia" w:ascii="仿宋_GB2312" w:hAnsi="仿宋_GB2312" w:eastAsia="仿宋_GB2312" w:cs="仿宋_GB2312"/>
              <w:bCs/>
              <w:highlight w:val="none"/>
              <w:lang w:val="en-US" w:eastAsia="zh-CN"/>
            </w:rPr>
            <w:t>附件1：深圳市鹏劳人力资源管理有限公司采购招标报名表</w:t>
          </w:r>
          <w:r>
            <w:tab/>
          </w:r>
          <w:r>
            <w:fldChar w:fldCharType="begin"/>
          </w:r>
          <w:r>
            <w:instrText xml:space="preserve"> PAGEREF _Toc3314 \h </w:instrText>
          </w:r>
          <w:r>
            <w:fldChar w:fldCharType="separate"/>
          </w:r>
          <w:r>
            <w:t>8</w:t>
          </w:r>
          <w:r>
            <w:fldChar w:fldCharType="end"/>
          </w:r>
          <w:r>
            <w:rPr>
              <w:rFonts w:hint="eastAsia" w:ascii="黑体" w:hAnsi="黑体" w:eastAsia="黑体" w:cs="黑体"/>
              <w:bCs/>
              <w:caps w:val="0"/>
              <w:smallCaps w:val="0"/>
              <w:szCs w:val="28"/>
              <w:highlight w:val="none"/>
            </w:rPr>
            <w:fldChar w:fldCharType="end"/>
          </w:r>
        </w:p>
        <w:p w14:paraId="15B0FC1E">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ind w:left="0" w:leftChars="0" w:firstLine="0" w:firstLineChars="0"/>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_Toc20903 </w:instrText>
          </w:r>
          <w:r>
            <w:rPr>
              <w:rFonts w:hint="eastAsia" w:ascii="黑体" w:hAnsi="黑体" w:eastAsia="黑体" w:cs="黑体"/>
              <w:bCs/>
              <w:caps w:val="0"/>
              <w:smallCaps w:val="0"/>
              <w:szCs w:val="28"/>
              <w:highlight w:val="none"/>
            </w:rPr>
            <w:fldChar w:fldCharType="separate"/>
          </w:r>
          <w:r>
            <w:rPr>
              <w:rFonts w:hint="eastAsia" w:ascii="黑体" w:hAnsi="黑体" w:cs="黑体"/>
              <w:bCs/>
              <w:szCs w:val="32"/>
              <w:highlight w:val="none"/>
              <w:lang w:val="en-US" w:eastAsia="zh-CN"/>
            </w:rPr>
            <w:t>第二部分 招标文件</w:t>
          </w:r>
          <w:r>
            <w:tab/>
          </w:r>
          <w:r>
            <w:fldChar w:fldCharType="begin"/>
          </w:r>
          <w:r>
            <w:instrText xml:space="preserve"> PAGEREF _Toc20903 \h </w:instrText>
          </w:r>
          <w:r>
            <w:fldChar w:fldCharType="separate"/>
          </w:r>
          <w:r>
            <w:t>9</w:t>
          </w:r>
          <w:r>
            <w:fldChar w:fldCharType="end"/>
          </w:r>
          <w:r>
            <w:rPr>
              <w:rFonts w:hint="eastAsia" w:ascii="黑体" w:hAnsi="黑体" w:eastAsia="黑体" w:cs="黑体"/>
              <w:bCs/>
              <w:caps w:val="0"/>
              <w:smallCaps w:val="0"/>
              <w:szCs w:val="28"/>
              <w:highlight w:val="none"/>
            </w:rPr>
            <w:fldChar w:fldCharType="end"/>
          </w:r>
        </w:p>
        <w:p w14:paraId="015E9BAF">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_Toc8347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第一章 项目概况</w:t>
          </w:r>
          <w:r>
            <w:rPr>
              <w:rFonts w:hint="eastAsia" w:ascii="黑体" w:hAnsi="黑体" w:cs="黑体"/>
              <w:bCs/>
              <w:szCs w:val="32"/>
              <w:highlight w:val="none"/>
              <w:lang w:val="en-US" w:eastAsia="zh-CN"/>
            </w:rPr>
            <w:t>及招标程序</w:t>
          </w:r>
          <w:r>
            <w:tab/>
          </w:r>
          <w:r>
            <w:fldChar w:fldCharType="begin"/>
          </w:r>
          <w:r>
            <w:instrText xml:space="preserve"> PAGEREF _Toc8347 \h </w:instrText>
          </w:r>
          <w:r>
            <w:fldChar w:fldCharType="separate"/>
          </w:r>
          <w:r>
            <w:t>9</w:t>
          </w:r>
          <w:r>
            <w:fldChar w:fldCharType="end"/>
          </w:r>
          <w:r>
            <w:rPr>
              <w:rFonts w:hint="eastAsia" w:ascii="黑体" w:hAnsi="黑体" w:eastAsia="黑体" w:cs="黑体"/>
              <w:bCs/>
              <w:caps w:val="0"/>
              <w:smallCaps w:val="0"/>
              <w:szCs w:val="28"/>
              <w:highlight w:val="none"/>
            </w:rPr>
            <w:fldChar w:fldCharType="end"/>
          </w:r>
        </w:p>
        <w:p w14:paraId="582761C1">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_Toc18098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zh-CN"/>
            </w:rPr>
            <w:t>一、项目名称</w:t>
          </w:r>
          <w:r>
            <w:tab/>
          </w:r>
          <w:r>
            <w:fldChar w:fldCharType="begin"/>
          </w:r>
          <w:r>
            <w:instrText xml:space="preserve"> PAGEREF _Toc18098 \h </w:instrText>
          </w:r>
          <w:r>
            <w:fldChar w:fldCharType="separate"/>
          </w:r>
          <w:r>
            <w:t>9</w:t>
          </w:r>
          <w:r>
            <w:fldChar w:fldCharType="end"/>
          </w:r>
          <w:r>
            <w:rPr>
              <w:rFonts w:hint="eastAsia" w:ascii="黑体" w:hAnsi="黑体" w:eastAsia="黑体" w:cs="黑体"/>
              <w:bCs/>
              <w:caps w:val="0"/>
              <w:smallCaps w:val="0"/>
              <w:szCs w:val="28"/>
              <w:highlight w:val="none"/>
            </w:rPr>
            <w:fldChar w:fldCharType="end"/>
          </w:r>
        </w:p>
        <w:p w14:paraId="00D1F887">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_Toc7432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zh-CN"/>
            </w:rPr>
            <w:t>二、招标编号</w:t>
          </w:r>
          <w:r>
            <w:tab/>
          </w:r>
          <w:r>
            <w:fldChar w:fldCharType="begin"/>
          </w:r>
          <w:r>
            <w:instrText xml:space="preserve"> PAGEREF _Toc7432 \h </w:instrText>
          </w:r>
          <w:r>
            <w:fldChar w:fldCharType="separate"/>
          </w:r>
          <w:r>
            <w:t>9</w:t>
          </w:r>
          <w:r>
            <w:fldChar w:fldCharType="end"/>
          </w:r>
          <w:r>
            <w:rPr>
              <w:rFonts w:hint="eastAsia" w:ascii="黑体" w:hAnsi="黑体" w:eastAsia="黑体" w:cs="黑体"/>
              <w:bCs/>
              <w:caps w:val="0"/>
              <w:smallCaps w:val="0"/>
              <w:szCs w:val="28"/>
              <w:highlight w:val="none"/>
            </w:rPr>
            <w:fldChar w:fldCharType="end"/>
          </w:r>
        </w:p>
        <w:p w14:paraId="3730CB02">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_Toc31718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三、</w:t>
          </w:r>
          <w:r>
            <w:rPr>
              <w:rFonts w:hint="eastAsia" w:ascii="黑体" w:hAnsi="黑体" w:eastAsia="黑体" w:cs="黑体"/>
              <w:bCs/>
              <w:szCs w:val="32"/>
              <w:highlight w:val="none"/>
              <w:lang w:val="en-US" w:eastAsia="zh-CN"/>
            </w:rPr>
            <w:t>投标人资质要求</w:t>
          </w:r>
          <w:r>
            <w:tab/>
          </w:r>
          <w:r>
            <w:fldChar w:fldCharType="begin"/>
          </w:r>
          <w:r>
            <w:instrText xml:space="preserve"> PAGEREF _Toc31718 \h </w:instrText>
          </w:r>
          <w:r>
            <w:fldChar w:fldCharType="separate"/>
          </w:r>
          <w:r>
            <w:t>9</w:t>
          </w:r>
          <w:r>
            <w:fldChar w:fldCharType="end"/>
          </w:r>
          <w:r>
            <w:rPr>
              <w:rFonts w:hint="eastAsia" w:ascii="黑体" w:hAnsi="黑体" w:eastAsia="黑体" w:cs="黑体"/>
              <w:bCs/>
              <w:caps w:val="0"/>
              <w:smallCaps w:val="0"/>
              <w:szCs w:val="28"/>
              <w:highlight w:val="none"/>
            </w:rPr>
            <w:fldChar w:fldCharType="end"/>
          </w:r>
        </w:p>
        <w:p w14:paraId="53A3F5CA">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_Toc18081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四、</w:t>
          </w:r>
          <w:r>
            <w:rPr>
              <w:rFonts w:hint="eastAsia" w:ascii="黑体" w:hAnsi="黑体" w:eastAsia="黑体" w:cs="黑体"/>
              <w:bCs/>
              <w:szCs w:val="32"/>
              <w:highlight w:val="none"/>
              <w:lang w:val="en-US" w:eastAsia="zh-CN"/>
            </w:rPr>
            <w:t>项目需求</w:t>
          </w:r>
          <w:r>
            <w:tab/>
          </w:r>
          <w:r>
            <w:fldChar w:fldCharType="begin"/>
          </w:r>
          <w:r>
            <w:instrText xml:space="preserve"> PAGEREF _Toc18081 \h </w:instrText>
          </w:r>
          <w:r>
            <w:fldChar w:fldCharType="separate"/>
          </w:r>
          <w:r>
            <w:t>10</w:t>
          </w:r>
          <w:r>
            <w:fldChar w:fldCharType="end"/>
          </w:r>
          <w:r>
            <w:rPr>
              <w:rFonts w:hint="eastAsia" w:ascii="黑体" w:hAnsi="黑体" w:eastAsia="黑体" w:cs="黑体"/>
              <w:bCs/>
              <w:caps w:val="0"/>
              <w:smallCaps w:val="0"/>
              <w:szCs w:val="28"/>
              <w:highlight w:val="none"/>
            </w:rPr>
            <w:fldChar w:fldCharType="end"/>
          </w:r>
        </w:p>
        <w:p w14:paraId="544C15BD">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_Toc18850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五、</w:t>
          </w:r>
          <w:r>
            <w:rPr>
              <w:rFonts w:hint="eastAsia" w:ascii="黑体" w:hAnsi="黑体" w:eastAsia="黑体" w:cs="黑体"/>
              <w:bCs/>
              <w:szCs w:val="32"/>
              <w:highlight w:val="none"/>
              <w:lang w:val="en-US" w:eastAsia="zh-CN"/>
            </w:rPr>
            <w:t>项目要求</w:t>
          </w:r>
          <w:r>
            <w:tab/>
          </w:r>
          <w:r>
            <w:fldChar w:fldCharType="begin"/>
          </w:r>
          <w:r>
            <w:instrText xml:space="preserve"> PAGEREF _Toc18850 \h </w:instrText>
          </w:r>
          <w:r>
            <w:fldChar w:fldCharType="separate"/>
          </w:r>
          <w:r>
            <w:t>10</w:t>
          </w:r>
          <w:r>
            <w:fldChar w:fldCharType="end"/>
          </w:r>
          <w:r>
            <w:rPr>
              <w:rFonts w:hint="eastAsia" w:ascii="黑体" w:hAnsi="黑体" w:eastAsia="黑体" w:cs="黑体"/>
              <w:bCs/>
              <w:caps w:val="0"/>
              <w:smallCaps w:val="0"/>
              <w:szCs w:val="28"/>
              <w:highlight w:val="none"/>
            </w:rPr>
            <w:fldChar w:fldCharType="end"/>
          </w:r>
        </w:p>
        <w:p w14:paraId="1079828E">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_Toc2935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kern w:val="2"/>
              <w:szCs w:val="32"/>
              <w:lang w:val="en-US" w:eastAsia="zh-CN" w:bidi="ar-SA"/>
            </w:rPr>
            <w:t>六、最高限价及报价方式</w:t>
          </w:r>
          <w:r>
            <w:tab/>
          </w:r>
          <w:r>
            <w:fldChar w:fldCharType="begin"/>
          </w:r>
          <w:r>
            <w:instrText xml:space="preserve"> PAGEREF _Toc2935 \h </w:instrText>
          </w:r>
          <w:r>
            <w:fldChar w:fldCharType="separate"/>
          </w:r>
          <w:r>
            <w:t>11</w:t>
          </w:r>
          <w:r>
            <w:fldChar w:fldCharType="end"/>
          </w:r>
          <w:r>
            <w:rPr>
              <w:rFonts w:hint="eastAsia" w:ascii="黑体" w:hAnsi="黑体" w:eastAsia="黑体" w:cs="黑体"/>
              <w:bCs/>
              <w:caps w:val="0"/>
              <w:smallCaps w:val="0"/>
              <w:szCs w:val="28"/>
              <w:highlight w:val="none"/>
            </w:rPr>
            <w:fldChar w:fldCharType="end"/>
          </w:r>
        </w:p>
        <w:p w14:paraId="45AA8022">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_Toc19995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en-US" w:eastAsia="zh-CN"/>
            </w:rPr>
            <w:t>七</w:t>
          </w:r>
          <w:r>
            <w:rPr>
              <w:rFonts w:hint="eastAsia" w:ascii="黑体" w:hAnsi="黑体" w:eastAsia="黑体" w:cs="黑体"/>
              <w:bCs/>
              <w:szCs w:val="32"/>
              <w:highlight w:val="none"/>
            </w:rPr>
            <w:t>、投标文件要求</w:t>
          </w:r>
          <w:r>
            <w:tab/>
          </w:r>
          <w:r>
            <w:fldChar w:fldCharType="begin"/>
          </w:r>
          <w:r>
            <w:instrText xml:space="preserve"> PAGEREF _Toc19995 \h </w:instrText>
          </w:r>
          <w:r>
            <w:fldChar w:fldCharType="separate"/>
          </w:r>
          <w:r>
            <w:t>12</w:t>
          </w:r>
          <w:r>
            <w:fldChar w:fldCharType="end"/>
          </w:r>
          <w:r>
            <w:rPr>
              <w:rFonts w:hint="eastAsia" w:ascii="黑体" w:hAnsi="黑体" w:eastAsia="黑体" w:cs="黑体"/>
              <w:bCs/>
              <w:caps w:val="0"/>
              <w:smallCaps w:val="0"/>
              <w:szCs w:val="28"/>
              <w:highlight w:val="none"/>
            </w:rPr>
            <w:fldChar w:fldCharType="end"/>
          </w:r>
        </w:p>
        <w:p w14:paraId="545F9248">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_Toc16443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en-US" w:eastAsia="zh-CN"/>
            </w:rPr>
            <w:t>八</w:t>
          </w:r>
          <w:r>
            <w:rPr>
              <w:rFonts w:hint="eastAsia" w:ascii="黑体" w:hAnsi="黑体" w:eastAsia="黑体" w:cs="黑体"/>
              <w:bCs/>
              <w:szCs w:val="32"/>
              <w:highlight w:val="none"/>
            </w:rPr>
            <w:t>、投标人须知</w:t>
          </w:r>
          <w:r>
            <w:tab/>
          </w:r>
          <w:r>
            <w:fldChar w:fldCharType="begin"/>
          </w:r>
          <w:r>
            <w:instrText xml:space="preserve"> PAGEREF _Toc16443 \h </w:instrText>
          </w:r>
          <w:r>
            <w:fldChar w:fldCharType="separate"/>
          </w:r>
          <w:r>
            <w:t>14</w:t>
          </w:r>
          <w:r>
            <w:fldChar w:fldCharType="end"/>
          </w:r>
          <w:r>
            <w:rPr>
              <w:rFonts w:hint="eastAsia" w:ascii="黑体" w:hAnsi="黑体" w:eastAsia="黑体" w:cs="黑体"/>
              <w:bCs/>
              <w:caps w:val="0"/>
              <w:smallCaps w:val="0"/>
              <w:szCs w:val="28"/>
              <w:highlight w:val="none"/>
            </w:rPr>
            <w:fldChar w:fldCharType="end"/>
          </w:r>
        </w:p>
        <w:p w14:paraId="4C27FE2A">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_Toc3012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en-US" w:eastAsia="zh-CN"/>
            </w:rPr>
            <w:t>九</w:t>
          </w:r>
          <w:r>
            <w:rPr>
              <w:rFonts w:hint="eastAsia" w:ascii="黑体" w:hAnsi="黑体" w:eastAsia="黑体" w:cs="黑体"/>
              <w:bCs/>
              <w:szCs w:val="32"/>
              <w:highlight w:val="none"/>
            </w:rPr>
            <w:t>、投标文件作废</w:t>
          </w:r>
          <w:r>
            <w:tab/>
          </w:r>
          <w:r>
            <w:fldChar w:fldCharType="begin"/>
          </w:r>
          <w:r>
            <w:instrText xml:space="preserve"> PAGEREF _Toc3012 \h </w:instrText>
          </w:r>
          <w:r>
            <w:fldChar w:fldCharType="separate"/>
          </w:r>
          <w:r>
            <w:t>17</w:t>
          </w:r>
          <w:r>
            <w:fldChar w:fldCharType="end"/>
          </w:r>
          <w:r>
            <w:rPr>
              <w:rFonts w:hint="eastAsia" w:ascii="黑体" w:hAnsi="黑体" w:eastAsia="黑体" w:cs="黑体"/>
              <w:bCs/>
              <w:caps w:val="0"/>
              <w:smallCaps w:val="0"/>
              <w:szCs w:val="28"/>
              <w:highlight w:val="none"/>
            </w:rPr>
            <w:fldChar w:fldCharType="end"/>
          </w:r>
        </w:p>
        <w:p w14:paraId="13E6DDE4">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_Toc1414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lang w:val="en-US" w:eastAsia="zh-CN"/>
            </w:rPr>
            <w:t>十</w:t>
          </w:r>
          <w:r>
            <w:rPr>
              <w:rFonts w:hint="eastAsia" w:ascii="黑体" w:hAnsi="黑体" w:eastAsia="黑体" w:cs="黑体"/>
              <w:bCs/>
              <w:szCs w:val="32"/>
              <w:highlight w:val="none"/>
            </w:rPr>
            <w:t>、其他要求</w:t>
          </w:r>
          <w:r>
            <w:tab/>
          </w:r>
          <w:r>
            <w:fldChar w:fldCharType="begin"/>
          </w:r>
          <w:r>
            <w:instrText xml:space="preserve"> PAGEREF _Toc1414 \h </w:instrText>
          </w:r>
          <w:r>
            <w:fldChar w:fldCharType="separate"/>
          </w:r>
          <w:r>
            <w:t>18</w:t>
          </w:r>
          <w:r>
            <w:fldChar w:fldCharType="end"/>
          </w:r>
          <w:r>
            <w:rPr>
              <w:rFonts w:hint="eastAsia" w:ascii="黑体" w:hAnsi="黑体" w:eastAsia="黑体" w:cs="黑体"/>
              <w:bCs/>
              <w:caps w:val="0"/>
              <w:smallCaps w:val="0"/>
              <w:szCs w:val="28"/>
              <w:highlight w:val="none"/>
            </w:rPr>
            <w:fldChar w:fldCharType="end"/>
          </w:r>
        </w:p>
        <w:p w14:paraId="67C1F8C9">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_Toc28826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十</w:t>
          </w:r>
          <w:r>
            <w:rPr>
              <w:rFonts w:hint="eastAsia" w:ascii="黑体" w:hAnsi="黑体" w:eastAsia="黑体" w:cs="黑体"/>
              <w:bCs/>
              <w:szCs w:val="32"/>
              <w:highlight w:val="none"/>
              <w:lang w:val="en-US" w:eastAsia="zh-CN"/>
            </w:rPr>
            <w:t>一</w:t>
          </w:r>
          <w:r>
            <w:rPr>
              <w:rFonts w:hint="eastAsia" w:ascii="黑体" w:hAnsi="黑体" w:eastAsia="黑体" w:cs="黑体"/>
              <w:bCs/>
              <w:szCs w:val="32"/>
              <w:highlight w:val="none"/>
            </w:rPr>
            <w:t>、投标文件递交</w:t>
          </w:r>
          <w:r>
            <w:tab/>
          </w:r>
          <w:r>
            <w:fldChar w:fldCharType="begin"/>
          </w:r>
          <w:r>
            <w:instrText xml:space="preserve"> PAGEREF _Toc28826 \h </w:instrText>
          </w:r>
          <w:r>
            <w:fldChar w:fldCharType="separate"/>
          </w:r>
          <w:r>
            <w:t>19</w:t>
          </w:r>
          <w:r>
            <w:fldChar w:fldCharType="end"/>
          </w:r>
          <w:r>
            <w:rPr>
              <w:rFonts w:hint="eastAsia" w:ascii="黑体" w:hAnsi="黑体" w:eastAsia="黑体" w:cs="黑体"/>
              <w:bCs/>
              <w:caps w:val="0"/>
              <w:smallCaps w:val="0"/>
              <w:szCs w:val="28"/>
              <w:highlight w:val="none"/>
            </w:rPr>
            <w:fldChar w:fldCharType="end"/>
          </w:r>
        </w:p>
        <w:p w14:paraId="5A8EE2A3">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_Toc11933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十</w:t>
          </w:r>
          <w:r>
            <w:rPr>
              <w:rFonts w:hint="eastAsia" w:ascii="黑体" w:hAnsi="黑体" w:eastAsia="黑体" w:cs="黑体"/>
              <w:bCs/>
              <w:szCs w:val="32"/>
              <w:highlight w:val="none"/>
              <w:lang w:val="en-US" w:eastAsia="zh-CN"/>
            </w:rPr>
            <w:t>二</w:t>
          </w:r>
          <w:r>
            <w:rPr>
              <w:rFonts w:hint="eastAsia" w:ascii="黑体" w:hAnsi="黑体" w:eastAsia="黑体" w:cs="黑体"/>
              <w:bCs/>
              <w:szCs w:val="32"/>
              <w:highlight w:val="none"/>
            </w:rPr>
            <w:t>、开标</w:t>
          </w:r>
          <w:r>
            <w:tab/>
          </w:r>
          <w:r>
            <w:fldChar w:fldCharType="begin"/>
          </w:r>
          <w:r>
            <w:instrText xml:space="preserve"> PAGEREF _Toc11933 \h </w:instrText>
          </w:r>
          <w:r>
            <w:fldChar w:fldCharType="separate"/>
          </w:r>
          <w:r>
            <w:t>19</w:t>
          </w:r>
          <w:r>
            <w:fldChar w:fldCharType="end"/>
          </w:r>
          <w:r>
            <w:rPr>
              <w:rFonts w:hint="eastAsia" w:ascii="黑体" w:hAnsi="黑体" w:eastAsia="黑体" w:cs="黑体"/>
              <w:bCs/>
              <w:caps w:val="0"/>
              <w:smallCaps w:val="0"/>
              <w:szCs w:val="28"/>
              <w:highlight w:val="none"/>
            </w:rPr>
            <w:fldChar w:fldCharType="end"/>
          </w:r>
        </w:p>
        <w:p w14:paraId="1988C7F2">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_Toc9195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十</w:t>
          </w:r>
          <w:r>
            <w:rPr>
              <w:rFonts w:hint="eastAsia" w:ascii="黑体" w:hAnsi="黑体" w:eastAsia="黑体" w:cs="黑体"/>
              <w:bCs/>
              <w:szCs w:val="32"/>
              <w:highlight w:val="none"/>
              <w:lang w:val="en-US" w:eastAsia="zh-CN"/>
            </w:rPr>
            <w:t>三</w:t>
          </w:r>
          <w:r>
            <w:rPr>
              <w:rFonts w:hint="eastAsia" w:ascii="黑体" w:hAnsi="黑体" w:eastAsia="黑体" w:cs="黑体"/>
              <w:bCs/>
              <w:szCs w:val="32"/>
              <w:highlight w:val="none"/>
            </w:rPr>
            <w:t>、评标</w:t>
          </w:r>
          <w:r>
            <w:tab/>
          </w:r>
          <w:r>
            <w:fldChar w:fldCharType="begin"/>
          </w:r>
          <w:r>
            <w:instrText xml:space="preserve"> PAGEREF _Toc9195 \h </w:instrText>
          </w:r>
          <w:r>
            <w:fldChar w:fldCharType="separate"/>
          </w:r>
          <w:r>
            <w:t>20</w:t>
          </w:r>
          <w:r>
            <w:fldChar w:fldCharType="end"/>
          </w:r>
          <w:r>
            <w:rPr>
              <w:rFonts w:hint="eastAsia" w:ascii="黑体" w:hAnsi="黑体" w:eastAsia="黑体" w:cs="黑体"/>
              <w:bCs/>
              <w:caps w:val="0"/>
              <w:smallCaps w:val="0"/>
              <w:szCs w:val="28"/>
              <w:highlight w:val="none"/>
            </w:rPr>
            <w:fldChar w:fldCharType="end"/>
          </w:r>
        </w:p>
        <w:p w14:paraId="28362D9D">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_Toc27062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十</w:t>
          </w:r>
          <w:r>
            <w:rPr>
              <w:rFonts w:hint="eastAsia" w:ascii="黑体" w:hAnsi="黑体" w:eastAsia="黑体" w:cs="黑体"/>
              <w:bCs/>
              <w:szCs w:val="32"/>
              <w:highlight w:val="none"/>
              <w:lang w:val="en-US" w:eastAsia="zh-CN"/>
            </w:rPr>
            <w:t>四</w:t>
          </w:r>
          <w:r>
            <w:rPr>
              <w:rFonts w:hint="eastAsia" w:ascii="黑体" w:hAnsi="黑体" w:eastAsia="黑体" w:cs="黑体"/>
              <w:bCs/>
              <w:szCs w:val="32"/>
              <w:highlight w:val="none"/>
            </w:rPr>
            <w:t>、定标</w:t>
          </w:r>
          <w:r>
            <w:tab/>
          </w:r>
          <w:r>
            <w:fldChar w:fldCharType="begin"/>
          </w:r>
          <w:r>
            <w:instrText xml:space="preserve"> PAGEREF _Toc27062 \h </w:instrText>
          </w:r>
          <w:r>
            <w:fldChar w:fldCharType="separate"/>
          </w:r>
          <w:r>
            <w:t>20</w:t>
          </w:r>
          <w:r>
            <w:fldChar w:fldCharType="end"/>
          </w:r>
          <w:r>
            <w:rPr>
              <w:rFonts w:hint="eastAsia" w:ascii="黑体" w:hAnsi="黑体" w:eastAsia="黑体" w:cs="黑体"/>
              <w:bCs/>
              <w:caps w:val="0"/>
              <w:smallCaps w:val="0"/>
              <w:szCs w:val="28"/>
              <w:highlight w:val="none"/>
            </w:rPr>
            <w:fldChar w:fldCharType="end"/>
          </w:r>
        </w:p>
        <w:p w14:paraId="2039EA3C">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_Toc13778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十</w:t>
          </w:r>
          <w:r>
            <w:rPr>
              <w:rFonts w:hint="eastAsia" w:ascii="黑体" w:hAnsi="黑体" w:eastAsia="黑体" w:cs="黑体"/>
              <w:bCs/>
              <w:szCs w:val="32"/>
              <w:highlight w:val="none"/>
              <w:lang w:val="en-US" w:eastAsia="zh-CN"/>
            </w:rPr>
            <w:t>五</w:t>
          </w:r>
          <w:r>
            <w:rPr>
              <w:rFonts w:hint="eastAsia" w:ascii="黑体" w:hAnsi="黑体" w:eastAsia="黑体" w:cs="黑体"/>
              <w:bCs/>
              <w:szCs w:val="32"/>
              <w:highlight w:val="none"/>
            </w:rPr>
            <w:t>、结算方式</w:t>
          </w:r>
          <w:r>
            <w:tab/>
          </w:r>
          <w:r>
            <w:fldChar w:fldCharType="begin"/>
          </w:r>
          <w:r>
            <w:instrText xml:space="preserve"> PAGEREF _Toc13778 \h </w:instrText>
          </w:r>
          <w:r>
            <w:fldChar w:fldCharType="separate"/>
          </w:r>
          <w:r>
            <w:t>20</w:t>
          </w:r>
          <w:r>
            <w:fldChar w:fldCharType="end"/>
          </w:r>
          <w:r>
            <w:rPr>
              <w:rFonts w:hint="eastAsia" w:ascii="黑体" w:hAnsi="黑体" w:eastAsia="黑体" w:cs="黑体"/>
              <w:bCs/>
              <w:caps w:val="0"/>
              <w:smallCaps w:val="0"/>
              <w:szCs w:val="28"/>
              <w:highlight w:val="none"/>
            </w:rPr>
            <w:fldChar w:fldCharType="end"/>
          </w:r>
        </w:p>
        <w:p w14:paraId="7A8E57C4">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_Toc21079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十</w:t>
          </w:r>
          <w:r>
            <w:rPr>
              <w:rFonts w:hint="eastAsia" w:ascii="黑体" w:hAnsi="黑体" w:eastAsia="黑体" w:cs="黑体"/>
              <w:bCs/>
              <w:szCs w:val="32"/>
              <w:highlight w:val="none"/>
              <w:lang w:val="en-US" w:eastAsia="zh-CN"/>
            </w:rPr>
            <w:t>六</w:t>
          </w:r>
          <w:r>
            <w:rPr>
              <w:rFonts w:hint="eastAsia" w:ascii="黑体" w:hAnsi="黑体" w:eastAsia="黑体" w:cs="黑体"/>
              <w:bCs/>
              <w:szCs w:val="32"/>
              <w:highlight w:val="none"/>
            </w:rPr>
            <w:t>、解释权</w:t>
          </w:r>
          <w:r>
            <w:tab/>
          </w:r>
          <w:r>
            <w:fldChar w:fldCharType="begin"/>
          </w:r>
          <w:r>
            <w:instrText xml:space="preserve"> PAGEREF _Toc21079 \h </w:instrText>
          </w:r>
          <w:r>
            <w:fldChar w:fldCharType="separate"/>
          </w:r>
          <w:r>
            <w:t>21</w:t>
          </w:r>
          <w:r>
            <w:fldChar w:fldCharType="end"/>
          </w:r>
          <w:r>
            <w:rPr>
              <w:rFonts w:hint="eastAsia" w:ascii="黑体" w:hAnsi="黑体" w:eastAsia="黑体" w:cs="黑体"/>
              <w:bCs/>
              <w:caps w:val="0"/>
              <w:smallCaps w:val="0"/>
              <w:szCs w:val="28"/>
              <w:highlight w:val="none"/>
            </w:rPr>
            <w:fldChar w:fldCharType="end"/>
          </w:r>
        </w:p>
        <w:p w14:paraId="797FC16A">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_Toc11757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第二章 评标程序及标准</w:t>
          </w:r>
          <w:r>
            <w:tab/>
          </w:r>
          <w:r>
            <w:fldChar w:fldCharType="begin"/>
          </w:r>
          <w:r>
            <w:instrText xml:space="preserve"> PAGEREF _Toc11757 \h </w:instrText>
          </w:r>
          <w:r>
            <w:fldChar w:fldCharType="separate"/>
          </w:r>
          <w:r>
            <w:t>22</w:t>
          </w:r>
          <w:r>
            <w:fldChar w:fldCharType="end"/>
          </w:r>
          <w:r>
            <w:rPr>
              <w:rFonts w:hint="eastAsia" w:ascii="黑体" w:hAnsi="黑体" w:eastAsia="黑体" w:cs="黑体"/>
              <w:bCs/>
              <w:caps w:val="0"/>
              <w:smallCaps w:val="0"/>
              <w:szCs w:val="28"/>
              <w:highlight w:val="none"/>
            </w:rPr>
            <w:fldChar w:fldCharType="end"/>
          </w:r>
        </w:p>
        <w:p w14:paraId="10663CDC">
          <w:pPr>
            <w:pStyle w:val="16"/>
            <w:keepNext w:val="0"/>
            <w:keepLines w:val="0"/>
            <w:pageBreakBefore w:val="0"/>
            <w:widowControl w:val="0"/>
            <w:tabs>
              <w:tab w:val="right" w:leader="dot" w:pos="8845"/>
              <w:tab w:val="clear" w:pos="8295"/>
            </w:tabs>
            <w:kinsoku/>
            <w:wordWrap/>
            <w:overflowPunct/>
            <w:topLinePunct w:val="0"/>
            <w:autoSpaceDE/>
            <w:autoSpaceDN/>
            <w:bidi w:val="0"/>
            <w:adjustRightInd/>
            <w:snapToGrid/>
            <w:spacing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_Toc9332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 xml:space="preserve">附表1 </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商务标评审标准</w:t>
          </w:r>
          <w:r>
            <w:rPr>
              <w:rFonts w:hint="eastAsia" w:ascii="仿宋" w:hAnsi="仿宋" w:eastAsia="仿宋" w:cs="仿宋"/>
              <w:bCs/>
              <w:szCs w:val="24"/>
              <w:highlight w:val="none"/>
              <w:lang w:eastAsia="zh-CN"/>
            </w:rPr>
            <w:t>》</w:t>
          </w:r>
          <w:r>
            <w:tab/>
          </w:r>
          <w:r>
            <w:fldChar w:fldCharType="begin"/>
          </w:r>
          <w:r>
            <w:instrText xml:space="preserve"> PAGEREF _Toc9332 \h </w:instrText>
          </w:r>
          <w:r>
            <w:fldChar w:fldCharType="separate"/>
          </w:r>
          <w:r>
            <w:t>25</w:t>
          </w:r>
          <w:r>
            <w:fldChar w:fldCharType="end"/>
          </w:r>
          <w:r>
            <w:rPr>
              <w:rFonts w:hint="eastAsia" w:ascii="黑体" w:hAnsi="黑体" w:eastAsia="黑体" w:cs="黑体"/>
              <w:bCs/>
              <w:caps w:val="0"/>
              <w:smallCaps w:val="0"/>
              <w:szCs w:val="28"/>
              <w:highlight w:val="none"/>
            </w:rPr>
            <w:fldChar w:fldCharType="end"/>
          </w:r>
        </w:p>
        <w:p w14:paraId="4C8D7AC0">
          <w:pPr>
            <w:pStyle w:val="16"/>
            <w:keepNext w:val="0"/>
            <w:keepLines w:val="0"/>
            <w:pageBreakBefore w:val="0"/>
            <w:widowControl w:val="0"/>
            <w:tabs>
              <w:tab w:val="right" w:leader="dot" w:pos="8845"/>
              <w:tab w:val="clear" w:pos="8295"/>
            </w:tabs>
            <w:kinsoku/>
            <w:wordWrap/>
            <w:overflowPunct/>
            <w:topLinePunct w:val="0"/>
            <w:autoSpaceDE/>
            <w:autoSpaceDN/>
            <w:bidi w:val="0"/>
            <w:adjustRightInd/>
            <w:snapToGrid/>
            <w:spacing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_Toc11907 </w:instrText>
          </w:r>
          <w:r>
            <w:rPr>
              <w:rFonts w:hint="eastAsia" w:ascii="黑体" w:hAnsi="黑体" w:eastAsia="黑体" w:cs="黑体"/>
              <w:bCs/>
              <w:caps w:val="0"/>
              <w:smallCaps w:val="0"/>
              <w:szCs w:val="28"/>
              <w:highlight w:val="none"/>
            </w:rPr>
            <w:fldChar w:fldCharType="separate"/>
          </w:r>
          <w:r>
            <w:rPr>
              <w:rFonts w:hint="eastAsia" w:ascii="仿宋_GB2312" w:hAnsi="仿宋_GB2312" w:eastAsia="仿宋_GB2312" w:cs="仿宋_GB2312"/>
              <w:bCs/>
              <w:szCs w:val="24"/>
              <w:highlight w:val="none"/>
            </w:rPr>
            <w:t>附表</w:t>
          </w:r>
          <w:r>
            <w:rPr>
              <w:rFonts w:hint="eastAsia" w:ascii="仿宋_GB2312" w:hAnsi="仿宋_GB2312" w:eastAsia="仿宋_GB2312" w:cs="仿宋_GB2312"/>
              <w:bCs/>
              <w:szCs w:val="24"/>
              <w:highlight w:val="none"/>
              <w:lang w:val="en-US" w:eastAsia="zh-CN"/>
            </w:rPr>
            <w:t>2</w:t>
          </w:r>
          <w:r>
            <w:rPr>
              <w:rFonts w:hint="eastAsia" w:ascii="仿宋_GB2312" w:hAnsi="仿宋_GB2312" w:eastAsia="仿宋_GB2312" w:cs="仿宋_GB2312"/>
              <w:bCs/>
              <w:szCs w:val="24"/>
              <w:highlight w:val="none"/>
            </w:rPr>
            <w:t xml:space="preserve"> 《价格标评分方法》</w:t>
          </w:r>
          <w:r>
            <w:tab/>
          </w:r>
          <w:r>
            <w:fldChar w:fldCharType="begin"/>
          </w:r>
          <w:r>
            <w:instrText xml:space="preserve"> PAGEREF _Toc11907 \h </w:instrText>
          </w:r>
          <w:r>
            <w:fldChar w:fldCharType="separate"/>
          </w:r>
          <w:r>
            <w:t>26</w:t>
          </w:r>
          <w:r>
            <w:fldChar w:fldCharType="end"/>
          </w:r>
          <w:r>
            <w:rPr>
              <w:rFonts w:hint="eastAsia" w:ascii="黑体" w:hAnsi="黑体" w:eastAsia="黑体" w:cs="黑体"/>
              <w:bCs/>
              <w:caps w:val="0"/>
              <w:smallCaps w:val="0"/>
              <w:szCs w:val="28"/>
              <w:highlight w:val="none"/>
            </w:rPr>
            <w:fldChar w:fldCharType="end"/>
          </w:r>
        </w:p>
        <w:p w14:paraId="01286F71">
          <w:pPr>
            <w:pStyle w:val="16"/>
            <w:keepNext w:val="0"/>
            <w:keepLines w:val="0"/>
            <w:pageBreakBefore w:val="0"/>
            <w:widowControl w:val="0"/>
            <w:tabs>
              <w:tab w:val="right" w:leader="dot" w:pos="8845"/>
              <w:tab w:val="clear" w:pos="8295"/>
            </w:tabs>
            <w:kinsoku/>
            <w:wordWrap/>
            <w:overflowPunct/>
            <w:topLinePunct w:val="0"/>
            <w:autoSpaceDE/>
            <w:autoSpaceDN/>
            <w:bidi w:val="0"/>
            <w:adjustRightInd/>
            <w:snapToGrid/>
            <w:spacing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_Toc10909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附表</w:t>
          </w:r>
          <w:r>
            <w:rPr>
              <w:rFonts w:hint="eastAsia" w:ascii="仿宋" w:hAnsi="仿宋" w:eastAsia="仿宋" w:cs="仿宋"/>
              <w:bCs/>
              <w:szCs w:val="24"/>
              <w:highlight w:val="none"/>
              <w:lang w:val="en-US" w:eastAsia="zh-CN"/>
            </w:rPr>
            <w:t>3</w:t>
          </w:r>
          <w:r>
            <w:rPr>
              <w:rFonts w:hint="eastAsia" w:ascii="仿宋" w:hAnsi="仿宋" w:eastAsia="仿宋" w:cs="仿宋"/>
              <w:bCs/>
              <w:szCs w:val="24"/>
              <w:highlight w:val="none"/>
            </w:rPr>
            <w:t xml:space="preserve"> 《商务技术价格标权重表》</w:t>
          </w:r>
          <w:r>
            <w:tab/>
          </w:r>
          <w:r>
            <w:fldChar w:fldCharType="begin"/>
          </w:r>
          <w:r>
            <w:instrText xml:space="preserve"> PAGEREF _Toc10909 \h </w:instrText>
          </w:r>
          <w:r>
            <w:fldChar w:fldCharType="separate"/>
          </w:r>
          <w:r>
            <w:t>27</w:t>
          </w:r>
          <w:r>
            <w:fldChar w:fldCharType="end"/>
          </w:r>
          <w:r>
            <w:rPr>
              <w:rFonts w:hint="eastAsia" w:ascii="黑体" w:hAnsi="黑体" w:eastAsia="黑体" w:cs="黑体"/>
              <w:bCs/>
              <w:caps w:val="0"/>
              <w:smallCaps w:val="0"/>
              <w:szCs w:val="28"/>
              <w:highlight w:val="none"/>
            </w:rPr>
            <w:fldChar w:fldCharType="end"/>
          </w:r>
        </w:p>
        <w:p w14:paraId="28286B03">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_Toc9902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第三章 合同条款</w:t>
          </w:r>
          <w:r>
            <w:tab/>
          </w:r>
          <w:r>
            <w:fldChar w:fldCharType="begin"/>
          </w:r>
          <w:r>
            <w:instrText xml:space="preserve"> PAGEREF _Toc9902 \h </w:instrText>
          </w:r>
          <w:r>
            <w:fldChar w:fldCharType="separate"/>
          </w:r>
          <w:r>
            <w:t>28</w:t>
          </w:r>
          <w:r>
            <w:fldChar w:fldCharType="end"/>
          </w:r>
          <w:r>
            <w:rPr>
              <w:rFonts w:hint="eastAsia" w:ascii="黑体" w:hAnsi="黑体" w:eastAsia="黑体" w:cs="黑体"/>
              <w:bCs/>
              <w:caps w:val="0"/>
              <w:smallCaps w:val="0"/>
              <w:szCs w:val="28"/>
              <w:highlight w:val="none"/>
            </w:rPr>
            <w:fldChar w:fldCharType="end"/>
          </w:r>
        </w:p>
        <w:p w14:paraId="042C87D8">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_Toc5994 </w:instrText>
          </w:r>
          <w:r>
            <w:rPr>
              <w:rFonts w:hint="eastAsia" w:ascii="黑体" w:hAnsi="黑体" w:eastAsia="黑体" w:cs="黑体"/>
              <w:bCs/>
              <w:caps w:val="0"/>
              <w:smallCaps w:val="0"/>
              <w:szCs w:val="28"/>
              <w:highlight w:val="none"/>
            </w:rPr>
            <w:fldChar w:fldCharType="separate"/>
          </w:r>
          <w:r>
            <w:rPr>
              <w:rFonts w:hint="eastAsia" w:ascii="黑体" w:hAnsi="黑体" w:eastAsia="黑体" w:cs="黑体"/>
              <w:bCs/>
              <w:szCs w:val="32"/>
              <w:highlight w:val="none"/>
            </w:rPr>
            <w:t xml:space="preserve">第四章 </w:t>
          </w:r>
          <w:r>
            <w:rPr>
              <w:rFonts w:hint="eastAsia" w:ascii="黑体" w:hAnsi="黑体" w:cs="黑体"/>
              <w:bCs/>
              <w:szCs w:val="32"/>
              <w:highlight w:val="none"/>
              <w:lang w:val="en-US" w:eastAsia="zh-CN"/>
            </w:rPr>
            <w:t xml:space="preserve"> </w:t>
          </w:r>
          <w:r>
            <w:rPr>
              <w:rFonts w:hint="eastAsia" w:ascii="黑体" w:hAnsi="黑体" w:eastAsia="黑体" w:cs="黑体"/>
              <w:bCs/>
              <w:szCs w:val="32"/>
              <w:highlight w:val="none"/>
            </w:rPr>
            <w:t>投标文件格式</w:t>
          </w:r>
          <w:r>
            <w:tab/>
          </w:r>
          <w:r>
            <w:fldChar w:fldCharType="begin"/>
          </w:r>
          <w:r>
            <w:instrText xml:space="preserve"> PAGEREF _Toc5994 \h </w:instrText>
          </w:r>
          <w:r>
            <w:fldChar w:fldCharType="separate"/>
          </w:r>
          <w:r>
            <w:t>43</w:t>
          </w:r>
          <w:r>
            <w:fldChar w:fldCharType="end"/>
          </w:r>
          <w:r>
            <w:rPr>
              <w:rFonts w:hint="eastAsia" w:ascii="黑体" w:hAnsi="黑体" w:eastAsia="黑体" w:cs="黑体"/>
              <w:bCs/>
              <w:caps w:val="0"/>
              <w:smallCaps w:val="0"/>
              <w:szCs w:val="28"/>
              <w:highlight w:val="none"/>
            </w:rPr>
            <w:fldChar w:fldCharType="end"/>
          </w:r>
        </w:p>
        <w:p w14:paraId="6E8530CA">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_Toc5822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格式1：《唱标信封》</w:t>
          </w:r>
          <w:r>
            <w:tab/>
          </w:r>
          <w:r>
            <w:fldChar w:fldCharType="begin"/>
          </w:r>
          <w:r>
            <w:instrText xml:space="preserve"> PAGEREF _Toc5822 \h </w:instrText>
          </w:r>
          <w:r>
            <w:fldChar w:fldCharType="separate"/>
          </w:r>
          <w:r>
            <w:t>43</w:t>
          </w:r>
          <w:r>
            <w:fldChar w:fldCharType="end"/>
          </w:r>
          <w:r>
            <w:rPr>
              <w:rFonts w:hint="eastAsia" w:ascii="黑体" w:hAnsi="黑体" w:eastAsia="黑体" w:cs="黑体"/>
              <w:bCs/>
              <w:caps w:val="0"/>
              <w:smallCaps w:val="0"/>
              <w:szCs w:val="28"/>
              <w:highlight w:val="none"/>
            </w:rPr>
            <w:fldChar w:fldCharType="end"/>
          </w:r>
        </w:p>
        <w:p w14:paraId="72602FD0">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_Toc29226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格式2：开标一览表</w:t>
          </w:r>
          <w:r>
            <w:tab/>
          </w:r>
          <w:r>
            <w:fldChar w:fldCharType="begin"/>
          </w:r>
          <w:r>
            <w:instrText xml:space="preserve"> PAGEREF _Toc29226 \h </w:instrText>
          </w:r>
          <w:r>
            <w:fldChar w:fldCharType="separate"/>
          </w:r>
          <w:r>
            <w:t>44</w:t>
          </w:r>
          <w:r>
            <w:fldChar w:fldCharType="end"/>
          </w:r>
          <w:r>
            <w:rPr>
              <w:rFonts w:hint="eastAsia" w:ascii="黑体" w:hAnsi="黑体" w:eastAsia="黑体" w:cs="黑体"/>
              <w:bCs/>
              <w:caps w:val="0"/>
              <w:smallCaps w:val="0"/>
              <w:szCs w:val="28"/>
              <w:highlight w:val="none"/>
            </w:rPr>
            <w:fldChar w:fldCharType="end"/>
          </w:r>
        </w:p>
        <w:p w14:paraId="1B28DEA2">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_Toc17568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格式</w:t>
          </w:r>
          <w:r>
            <w:rPr>
              <w:rFonts w:hint="eastAsia" w:ascii="仿宋" w:hAnsi="仿宋" w:eastAsia="仿宋" w:cs="仿宋"/>
              <w:bCs/>
              <w:szCs w:val="24"/>
              <w:highlight w:val="none"/>
              <w:lang w:val="en-US" w:eastAsia="zh-CN"/>
            </w:rPr>
            <w:t>3</w:t>
          </w:r>
          <w:r>
            <w:rPr>
              <w:rFonts w:hint="eastAsia" w:ascii="仿宋" w:hAnsi="仿宋" w:eastAsia="仿宋" w:cs="仿宋"/>
              <w:bCs/>
              <w:szCs w:val="24"/>
              <w:highlight w:val="none"/>
            </w:rPr>
            <w:t>：</w:t>
          </w:r>
          <w:r>
            <w:rPr>
              <w:rFonts w:hint="eastAsia" w:ascii="仿宋" w:hAnsi="仿宋" w:eastAsia="仿宋" w:cs="仿宋"/>
              <w:bCs/>
              <w:szCs w:val="24"/>
              <w:highlight w:val="none"/>
              <w:lang w:val="en-US" w:eastAsia="zh-CN"/>
            </w:rPr>
            <w:t>业绩证明</w:t>
          </w:r>
          <w:r>
            <w:tab/>
          </w:r>
          <w:r>
            <w:fldChar w:fldCharType="begin"/>
          </w:r>
          <w:r>
            <w:instrText xml:space="preserve"> PAGEREF _Toc17568 \h </w:instrText>
          </w:r>
          <w:r>
            <w:fldChar w:fldCharType="separate"/>
          </w:r>
          <w:r>
            <w:t>45</w:t>
          </w:r>
          <w:r>
            <w:fldChar w:fldCharType="end"/>
          </w:r>
          <w:r>
            <w:rPr>
              <w:rFonts w:hint="eastAsia" w:ascii="黑体" w:hAnsi="黑体" w:eastAsia="黑体" w:cs="黑体"/>
              <w:bCs/>
              <w:caps w:val="0"/>
              <w:smallCaps w:val="0"/>
              <w:szCs w:val="28"/>
              <w:highlight w:val="none"/>
            </w:rPr>
            <w:fldChar w:fldCharType="end"/>
          </w:r>
        </w:p>
        <w:p w14:paraId="342E7955">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_Toc3138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格式</w:t>
          </w:r>
          <w:r>
            <w:rPr>
              <w:rFonts w:hint="eastAsia" w:ascii="仿宋" w:hAnsi="仿宋" w:eastAsia="仿宋" w:cs="仿宋"/>
              <w:bCs/>
              <w:szCs w:val="24"/>
              <w:highlight w:val="none"/>
              <w:lang w:val="en-US" w:eastAsia="zh-CN"/>
            </w:rPr>
            <w:t>4</w:t>
          </w:r>
          <w:r>
            <w:rPr>
              <w:rFonts w:hint="eastAsia" w:ascii="仿宋" w:hAnsi="仿宋" w:eastAsia="仿宋" w:cs="仿宋"/>
              <w:bCs/>
              <w:szCs w:val="24"/>
              <w:highlight w:val="none"/>
            </w:rPr>
            <w:t>：</w:t>
          </w:r>
          <w:r>
            <w:rPr>
              <w:rFonts w:hint="eastAsia" w:ascii="仿宋" w:hAnsi="仿宋" w:eastAsia="仿宋" w:cs="仿宋"/>
              <w:bCs/>
              <w:szCs w:val="24"/>
              <w:highlight w:val="none"/>
              <w:lang w:val="en-US" w:eastAsia="zh-CN"/>
            </w:rPr>
            <w:t>业绩案例交付数据情况表</w:t>
          </w:r>
          <w:r>
            <w:tab/>
          </w:r>
          <w:r>
            <w:fldChar w:fldCharType="begin"/>
          </w:r>
          <w:r>
            <w:instrText xml:space="preserve"> PAGEREF _Toc3138 \h </w:instrText>
          </w:r>
          <w:r>
            <w:fldChar w:fldCharType="separate"/>
          </w:r>
          <w:r>
            <w:t>46</w:t>
          </w:r>
          <w:r>
            <w:fldChar w:fldCharType="end"/>
          </w:r>
          <w:r>
            <w:rPr>
              <w:rFonts w:hint="eastAsia" w:ascii="黑体" w:hAnsi="黑体" w:eastAsia="黑体" w:cs="黑体"/>
              <w:bCs/>
              <w:caps w:val="0"/>
              <w:smallCaps w:val="0"/>
              <w:szCs w:val="28"/>
              <w:highlight w:val="none"/>
            </w:rPr>
            <w:fldChar w:fldCharType="end"/>
          </w:r>
        </w:p>
        <w:p w14:paraId="5DB1A76E">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_Toc28866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格式</w:t>
          </w:r>
          <w:r>
            <w:rPr>
              <w:rFonts w:hint="eastAsia" w:ascii="仿宋" w:hAnsi="仿宋" w:eastAsia="仿宋" w:cs="仿宋"/>
              <w:bCs/>
              <w:szCs w:val="24"/>
              <w:highlight w:val="none"/>
              <w:lang w:val="en-US" w:eastAsia="zh-CN"/>
            </w:rPr>
            <w:t>5</w:t>
          </w:r>
          <w:r>
            <w:rPr>
              <w:rFonts w:hint="eastAsia" w:ascii="仿宋" w:hAnsi="仿宋" w:eastAsia="仿宋" w:cs="仿宋"/>
              <w:bCs/>
              <w:szCs w:val="24"/>
              <w:highlight w:val="none"/>
            </w:rPr>
            <w:t>：投入本项目服务</w:t>
          </w:r>
          <w:r>
            <w:rPr>
              <w:rFonts w:hint="eastAsia" w:ascii="仿宋" w:hAnsi="仿宋" w:eastAsia="仿宋" w:cs="仿宋"/>
              <w:bCs/>
              <w:szCs w:val="24"/>
              <w:highlight w:val="none"/>
              <w:lang w:val="en-US" w:eastAsia="zh-CN"/>
            </w:rPr>
            <w:t>团队</w:t>
          </w:r>
          <w:r>
            <w:rPr>
              <w:rFonts w:hint="eastAsia" w:ascii="仿宋" w:hAnsi="仿宋" w:eastAsia="仿宋" w:cs="仿宋"/>
              <w:bCs/>
              <w:szCs w:val="24"/>
              <w:highlight w:val="none"/>
            </w:rPr>
            <w:t>一览表</w:t>
          </w:r>
          <w:r>
            <w:tab/>
          </w:r>
          <w:r>
            <w:fldChar w:fldCharType="begin"/>
          </w:r>
          <w:r>
            <w:instrText xml:space="preserve"> PAGEREF _Toc28866 \h </w:instrText>
          </w:r>
          <w:r>
            <w:fldChar w:fldCharType="separate"/>
          </w:r>
          <w:r>
            <w:t>47</w:t>
          </w:r>
          <w:r>
            <w:fldChar w:fldCharType="end"/>
          </w:r>
          <w:r>
            <w:rPr>
              <w:rFonts w:hint="eastAsia" w:ascii="黑体" w:hAnsi="黑体" w:eastAsia="黑体" w:cs="黑体"/>
              <w:bCs/>
              <w:caps w:val="0"/>
              <w:smallCaps w:val="0"/>
              <w:szCs w:val="28"/>
              <w:highlight w:val="none"/>
            </w:rPr>
            <w:fldChar w:fldCharType="end"/>
          </w:r>
        </w:p>
        <w:p w14:paraId="745E9440">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_Toc26559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rPr>
            <w:t>格式</w:t>
          </w:r>
          <w:r>
            <w:rPr>
              <w:rFonts w:hint="eastAsia" w:ascii="仿宋" w:hAnsi="仿宋" w:eastAsia="仿宋" w:cs="仿宋"/>
              <w:bCs/>
              <w:szCs w:val="24"/>
              <w:highlight w:val="none"/>
              <w:lang w:val="en-US" w:eastAsia="zh-CN"/>
            </w:rPr>
            <w:t>6</w:t>
          </w:r>
          <w:r>
            <w:rPr>
              <w:rFonts w:hint="eastAsia" w:ascii="仿宋" w:hAnsi="仿宋" w:eastAsia="仿宋" w:cs="仿宋"/>
              <w:bCs/>
              <w:szCs w:val="24"/>
              <w:highlight w:val="none"/>
            </w:rPr>
            <w:t>：</w:t>
          </w:r>
          <w:r>
            <w:rPr>
              <w:rFonts w:hint="eastAsia" w:ascii="仿宋" w:hAnsi="仿宋" w:eastAsia="仿宋" w:cs="仿宋"/>
              <w:bCs/>
              <w:szCs w:val="24"/>
              <w:highlight w:val="none"/>
              <w:lang w:val="en-US" w:eastAsia="zh-CN"/>
            </w:rPr>
            <w:t>招标文件响应</w:t>
          </w:r>
          <w:r>
            <w:rPr>
              <w:rFonts w:hint="eastAsia" w:ascii="仿宋" w:hAnsi="仿宋" w:eastAsia="仿宋" w:cs="仿宋"/>
              <w:bCs/>
              <w:szCs w:val="24"/>
              <w:highlight w:val="none"/>
              <w:lang w:val="zh-CN"/>
            </w:rPr>
            <w:t>情况</w:t>
          </w:r>
          <w:r>
            <w:rPr>
              <w:rFonts w:hint="eastAsia" w:ascii="仿宋" w:hAnsi="仿宋" w:eastAsia="仿宋" w:cs="仿宋"/>
              <w:bCs/>
              <w:szCs w:val="24"/>
              <w:highlight w:val="none"/>
              <w:lang w:val="en-US" w:eastAsia="zh-CN"/>
            </w:rPr>
            <w:t>偏离表</w:t>
          </w:r>
          <w:r>
            <w:tab/>
          </w:r>
          <w:r>
            <w:fldChar w:fldCharType="begin"/>
          </w:r>
          <w:r>
            <w:instrText xml:space="preserve"> PAGEREF _Toc26559 \h </w:instrText>
          </w:r>
          <w:r>
            <w:fldChar w:fldCharType="separate"/>
          </w:r>
          <w:r>
            <w:t>48</w:t>
          </w:r>
          <w:r>
            <w:fldChar w:fldCharType="end"/>
          </w:r>
          <w:r>
            <w:rPr>
              <w:rFonts w:hint="eastAsia" w:ascii="黑体" w:hAnsi="黑体" w:eastAsia="黑体" w:cs="黑体"/>
              <w:bCs/>
              <w:caps w:val="0"/>
              <w:smallCaps w:val="0"/>
              <w:szCs w:val="28"/>
              <w:highlight w:val="none"/>
            </w:rPr>
            <w:fldChar w:fldCharType="end"/>
          </w:r>
        </w:p>
        <w:p w14:paraId="79F24725">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_Toc20796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lang w:val="en-US" w:eastAsia="zh-CN"/>
            </w:rPr>
            <w:t>格式7</w:t>
          </w:r>
          <w:r>
            <w:rPr>
              <w:rFonts w:hint="eastAsia" w:ascii="仿宋" w:hAnsi="仿宋" w:eastAsia="仿宋" w:cs="仿宋"/>
              <w:bCs/>
              <w:szCs w:val="24"/>
              <w:highlight w:val="none"/>
              <w:lang w:val="zh-CN"/>
            </w:rPr>
            <w:t>：</w:t>
          </w:r>
          <w:r>
            <w:rPr>
              <w:rFonts w:hint="eastAsia" w:ascii="仿宋" w:hAnsi="仿宋" w:eastAsia="仿宋" w:cs="仿宋"/>
              <w:bCs/>
              <w:szCs w:val="24"/>
              <w:highlight w:val="none"/>
              <w:lang w:val="en-US" w:eastAsia="zh-CN"/>
            </w:rPr>
            <w:t>服务项目报价单</w:t>
          </w:r>
          <w:r>
            <w:tab/>
          </w:r>
          <w:r>
            <w:fldChar w:fldCharType="begin"/>
          </w:r>
          <w:r>
            <w:instrText xml:space="preserve"> PAGEREF _Toc20796 \h </w:instrText>
          </w:r>
          <w:r>
            <w:fldChar w:fldCharType="separate"/>
          </w:r>
          <w:r>
            <w:t>49</w:t>
          </w:r>
          <w:r>
            <w:fldChar w:fldCharType="end"/>
          </w:r>
          <w:r>
            <w:rPr>
              <w:rFonts w:hint="eastAsia" w:ascii="黑体" w:hAnsi="黑体" w:eastAsia="黑体" w:cs="黑体"/>
              <w:bCs/>
              <w:caps w:val="0"/>
              <w:smallCaps w:val="0"/>
              <w:szCs w:val="28"/>
              <w:highlight w:val="none"/>
            </w:rPr>
            <w:fldChar w:fldCharType="end"/>
          </w:r>
        </w:p>
        <w:p w14:paraId="0619DAE5">
          <w:pPr>
            <w:pStyle w:val="14"/>
            <w:keepNext w:val="0"/>
            <w:keepLines w:val="0"/>
            <w:pageBreakBefore w:val="0"/>
            <w:widowControl w:val="0"/>
            <w:tabs>
              <w:tab w:val="right" w:leader="dot" w:pos="8845"/>
              <w:tab w:val="clear" w:pos="8295"/>
            </w:tabs>
            <w:kinsoku/>
            <w:wordWrap/>
            <w:overflowPunct/>
            <w:topLinePunct w:val="0"/>
            <w:autoSpaceDE/>
            <w:autoSpaceDN/>
            <w:bidi w:val="0"/>
            <w:adjustRightInd/>
            <w:snapToGrid/>
            <w:spacing w:before="0" w:after="0" w:line="240" w:lineRule="exact"/>
            <w:textAlignment w:val="auto"/>
          </w:pPr>
          <w:r>
            <w:rPr>
              <w:rFonts w:hint="eastAsia" w:ascii="黑体" w:hAnsi="黑体" w:eastAsia="黑体" w:cs="黑体"/>
              <w:bCs/>
              <w:caps w:val="0"/>
              <w:smallCaps w:val="0"/>
              <w:szCs w:val="28"/>
              <w:highlight w:val="none"/>
            </w:rPr>
            <w:fldChar w:fldCharType="begin"/>
          </w:r>
          <w:r>
            <w:rPr>
              <w:rFonts w:hint="eastAsia" w:ascii="黑体" w:hAnsi="黑体" w:eastAsia="黑体" w:cs="黑体"/>
              <w:bCs/>
              <w:caps w:val="0"/>
              <w:smallCaps w:val="0"/>
              <w:szCs w:val="28"/>
              <w:highlight w:val="none"/>
            </w:rPr>
            <w:instrText xml:space="preserve"> HYPERLINK \l _Toc13719 </w:instrText>
          </w:r>
          <w:r>
            <w:rPr>
              <w:rFonts w:hint="eastAsia" w:ascii="黑体" w:hAnsi="黑体" w:eastAsia="黑体" w:cs="黑体"/>
              <w:bCs/>
              <w:caps w:val="0"/>
              <w:smallCaps w:val="0"/>
              <w:szCs w:val="28"/>
              <w:highlight w:val="none"/>
            </w:rPr>
            <w:fldChar w:fldCharType="separate"/>
          </w:r>
          <w:r>
            <w:rPr>
              <w:rFonts w:hint="eastAsia" w:ascii="仿宋" w:hAnsi="仿宋" w:eastAsia="仿宋" w:cs="仿宋"/>
              <w:bCs/>
              <w:szCs w:val="24"/>
              <w:highlight w:val="none"/>
              <w:lang w:val="en-US" w:eastAsia="zh-CN"/>
            </w:rPr>
            <w:t>格式8</w:t>
          </w:r>
          <w:r>
            <w:rPr>
              <w:rFonts w:hint="eastAsia" w:ascii="仿宋" w:hAnsi="仿宋" w:eastAsia="仿宋" w:cs="仿宋"/>
              <w:bCs/>
              <w:szCs w:val="24"/>
              <w:highlight w:val="none"/>
              <w:lang w:val="zh-CN"/>
            </w:rPr>
            <w:t>：</w:t>
          </w:r>
          <w:r>
            <w:rPr>
              <w:rFonts w:hint="eastAsia" w:ascii="仿宋" w:hAnsi="仿宋" w:eastAsia="仿宋" w:cs="仿宋"/>
              <w:bCs/>
              <w:szCs w:val="24"/>
              <w:highlight w:val="none"/>
              <w:lang w:val="en-US" w:eastAsia="zh-CN"/>
            </w:rPr>
            <w:t>廉洁</w:t>
          </w:r>
          <w:r>
            <w:rPr>
              <w:rFonts w:hint="eastAsia" w:ascii="仿宋" w:hAnsi="仿宋" w:eastAsia="仿宋" w:cs="仿宋"/>
              <w:bCs/>
              <w:szCs w:val="24"/>
              <w:highlight w:val="none"/>
              <w:lang w:val="zh-CN"/>
            </w:rPr>
            <w:t>承诺函</w:t>
          </w:r>
          <w:r>
            <w:tab/>
          </w:r>
          <w:r>
            <w:fldChar w:fldCharType="begin"/>
          </w:r>
          <w:r>
            <w:instrText xml:space="preserve"> PAGEREF _Toc13719 \h </w:instrText>
          </w:r>
          <w:r>
            <w:fldChar w:fldCharType="separate"/>
          </w:r>
          <w:r>
            <w:t>50</w:t>
          </w:r>
          <w:r>
            <w:fldChar w:fldCharType="end"/>
          </w:r>
          <w:r>
            <w:rPr>
              <w:rFonts w:hint="eastAsia" w:ascii="黑体" w:hAnsi="黑体" w:eastAsia="黑体" w:cs="黑体"/>
              <w:bCs/>
              <w:caps w:val="0"/>
              <w:smallCaps w:val="0"/>
              <w:szCs w:val="28"/>
              <w:highlight w:val="none"/>
            </w:rPr>
            <w:fldChar w:fldCharType="end"/>
          </w:r>
        </w:p>
        <w:p w14:paraId="4C08E10D">
          <w:pPr>
            <w:pStyle w:val="15"/>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both"/>
            <w:textAlignment w:val="auto"/>
            <w:outlineLvl w:val="9"/>
            <w:rPr>
              <w:rFonts w:hint="eastAsia" w:ascii="Times New Roman" w:hAnsi="Times New Roman" w:eastAsia="仿宋" w:cs="仿宋"/>
              <w:b w:val="0"/>
              <w:bCs/>
              <w:caps w:val="0"/>
              <w:smallCaps w:val="0"/>
              <w:sz w:val="28"/>
              <w:szCs w:val="28"/>
              <w:highlight w:val="none"/>
            </w:rPr>
          </w:pPr>
          <w:r>
            <w:rPr>
              <w:rFonts w:hint="eastAsia" w:ascii="黑体" w:hAnsi="黑体" w:eastAsia="黑体" w:cs="黑体"/>
              <w:bCs/>
              <w:caps w:val="0"/>
              <w:smallCaps w:val="0"/>
              <w:szCs w:val="28"/>
              <w:highlight w:val="none"/>
            </w:rPr>
            <w:fldChar w:fldCharType="end"/>
          </w:r>
        </w:p>
      </w:sdtContent>
    </w:sdt>
    <w:p w14:paraId="497C80D5">
      <w:pPr>
        <w:widowControl/>
        <w:spacing w:beforeLines="30" w:line="360" w:lineRule="auto"/>
        <w:ind w:firstLine="442" w:firstLineChars="200"/>
        <w:jc w:val="left"/>
        <w:rPr>
          <w:rFonts w:asciiTheme="minorEastAsia" w:hAnsiTheme="minorEastAsia"/>
          <w:b/>
          <w:bCs w:val="0"/>
          <w:sz w:val="22"/>
          <w:highlight w:val="none"/>
        </w:rPr>
      </w:pPr>
    </w:p>
    <w:p w14:paraId="61C123A2">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lang w:val="en-US" w:eastAsia="zh-CN"/>
        </w:rPr>
      </w:pPr>
      <w:bookmarkStart w:id="3" w:name="_Toc28353"/>
      <w:bookmarkStart w:id="4" w:name="_Toc25160"/>
      <w:bookmarkStart w:id="5" w:name="_Toc26683"/>
      <w:bookmarkStart w:id="6" w:name="第一部分"/>
      <w:bookmarkStart w:id="7" w:name="_Toc7967"/>
      <w:bookmarkStart w:id="8" w:name="_Toc4395"/>
      <w:r>
        <w:rPr>
          <w:rFonts w:hint="eastAsia" w:ascii="黑体" w:hAnsi="黑体" w:eastAsia="黑体" w:cs="黑体"/>
          <w:b w:val="0"/>
          <w:bCs/>
          <w:sz w:val="32"/>
          <w:szCs w:val="32"/>
          <w:highlight w:val="none"/>
          <w:lang w:val="en-US" w:eastAsia="zh-CN"/>
        </w:rPr>
        <w:t>第一部分 招标公告</w:t>
      </w:r>
      <w:bookmarkEnd w:id="3"/>
      <w:bookmarkEnd w:id="4"/>
      <w:bookmarkEnd w:id="5"/>
    </w:p>
    <w:bookmarkEnd w:id="6"/>
    <w:p w14:paraId="4C75BA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pacing w:val="-11"/>
          <w:kern w:val="2"/>
          <w:sz w:val="44"/>
          <w:szCs w:val="44"/>
          <w:highlight w:val="none"/>
          <w:lang w:val="en-US" w:eastAsia="zh-CN" w:bidi="ar-SA"/>
        </w:rPr>
      </w:pPr>
      <w:bookmarkStart w:id="9" w:name="_Toc21316"/>
      <w:bookmarkStart w:id="10" w:name="_Toc22867"/>
      <w:r>
        <w:rPr>
          <w:rFonts w:hint="eastAsia" w:ascii="Times New Roman" w:hAnsi="Times New Roman" w:eastAsia="方正小标宋简体" w:cs="方正小标宋简体"/>
          <w:b w:val="0"/>
          <w:bCs/>
          <w:spacing w:val="-11"/>
          <w:sz w:val="44"/>
          <w:szCs w:val="44"/>
          <w:highlight w:val="none"/>
        </w:rPr>
        <w:t>深圳市鹏劳人力资源管理有限公司</w:t>
      </w:r>
      <w:bookmarkStart w:id="11" w:name="_Toc27902"/>
      <w:r>
        <w:rPr>
          <w:rFonts w:hint="eastAsia" w:ascii="Times New Roman" w:hAnsi="Times New Roman" w:eastAsia="方正小标宋简体" w:cs="方正小标宋简体"/>
          <w:b w:val="0"/>
          <w:bCs/>
          <w:spacing w:val="-11"/>
          <w:kern w:val="2"/>
          <w:sz w:val="44"/>
          <w:szCs w:val="44"/>
          <w:highlight w:val="none"/>
          <w:lang w:val="en-US" w:eastAsia="zh-CN" w:bidi="ar-SA"/>
        </w:rPr>
        <w:t>2026-2028年度某互联网银行外包项目</w:t>
      </w:r>
      <w:r>
        <w:rPr>
          <w:rFonts w:hint="default" w:ascii="Times New Roman" w:hAnsi="Times New Roman" w:eastAsia="方正小标宋简体" w:cs="方正小标宋简体"/>
          <w:b w:val="0"/>
          <w:bCs/>
          <w:strike w:val="0"/>
          <w:spacing w:val="-11"/>
          <w:kern w:val="2"/>
          <w:sz w:val="44"/>
          <w:szCs w:val="44"/>
          <w:highlight w:val="none"/>
          <w:lang w:val="en-US" w:eastAsia="zh-CN" w:bidi="ar-SA"/>
        </w:rPr>
        <w:t>招聘</w:t>
      </w:r>
      <w:r>
        <w:rPr>
          <w:rFonts w:hint="eastAsia" w:ascii="Times New Roman" w:hAnsi="Times New Roman" w:eastAsia="方正小标宋简体" w:cs="方正小标宋简体"/>
          <w:b w:val="0"/>
          <w:bCs/>
          <w:spacing w:val="-11"/>
          <w:kern w:val="2"/>
          <w:sz w:val="44"/>
          <w:szCs w:val="44"/>
          <w:highlight w:val="none"/>
          <w:lang w:val="en-US" w:eastAsia="zh-CN" w:bidi="ar-SA"/>
        </w:rPr>
        <w:t>服务项目</w:t>
      </w:r>
    </w:p>
    <w:p w14:paraId="47F3703B">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方正小标宋简体"/>
          <w:b w:val="0"/>
          <w:bCs/>
          <w:spacing w:val="-11"/>
          <w:kern w:val="2"/>
          <w:sz w:val="44"/>
          <w:szCs w:val="44"/>
          <w:highlight w:val="none"/>
          <w:lang w:val="en-US" w:eastAsia="zh-CN" w:bidi="ar-SA"/>
        </w:rPr>
      </w:pPr>
      <w:bookmarkStart w:id="12" w:name="_Toc15239"/>
      <w:r>
        <w:rPr>
          <w:rFonts w:hint="eastAsia" w:ascii="Times New Roman" w:hAnsi="Times New Roman" w:eastAsia="方正小标宋简体" w:cs="方正小标宋简体"/>
          <w:b w:val="0"/>
          <w:bCs/>
          <w:spacing w:val="-11"/>
          <w:kern w:val="2"/>
          <w:sz w:val="44"/>
          <w:szCs w:val="44"/>
          <w:highlight w:val="none"/>
          <w:lang w:val="en-US" w:eastAsia="zh-CN" w:bidi="ar-SA"/>
        </w:rPr>
        <w:t>招标公告</w:t>
      </w:r>
      <w:bookmarkEnd w:id="7"/>
      <w:bookmarkEnd w:id="9"/>
      <w:bookmarkEnd w:id="10"/>
      <w:bookmarkEnd w:id="11"/>
      <w:bookmarkEnd w:id="12"/>
    </w:p>
    <w:p w14:paraId="03FEB72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_GB2312"/>
          <w:bCs/>
          <w:sz w:val="32"/>
          <w:szCs w:val="32"/>
          <w:highlight w:val="none"/>
          <w:lang w:eastAsia="zh-CN"/>
        </w:rPr>
      </w:pPr>
    </w:p>
    <w:p w14:paraId="53F25BE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_GB2312"/>
          <w:bCs/>
          <w:sz w:val="32"/>
          <w:szCs w:val="32"/>
          <w:highlight w:val="none"/>
          <w:lang w:eastAsia="zh-CN"/>
        </w:rPr>
      </w:pPr>
      <w:r>
        <w:rPr>
          <w:rFonts w:hint="eastAsia" w:ascii="Times New Roman" w:hAnsi="Times New Roman" w:eastAsia="仿宋_GB2312" w:cs="仿宋_GB2312"/>
          <w:bCs/>
          <w:sz w:val="32"/>
          <w:szCs w:val="32"/>
          <w:highlight w:val="none"/>
          <w:lang w:eastAsia="zh-CN"/>
        </w:rPr>
        <w:t>根据《深圳市鹏劳人力资源管理有限公司</w:t>
      </w:r>
      <w:bookmarkStart w:id="282" w:name="_GoBack"/>
      <w:r>
        <w:rPr>
          <w:rFonts w:hint="eastAsia" w:ascii="Times New Roman" w:hAnsi="Times New Roman" w:eastAsia="仿宋_GB2312" w:cs="仿宋_GB2312"/>
          <w:bCs/>
          <w:sz w:val="32"/>
          <w:szCs w:val="32"/>
          <w:highlight w:val="none"/>
          <w:lang w:eastAsia="zh-CN"/>
        </w:rPr>
        <w:t>采购管理</w:t>
      </w:r>
      <w:bookmarkEnd w:id="282"/>
      <w:r>
        <w:rPr>
          <w:rFonts w:hint="eastAsia" w:ascii="Times New Roman" w:hAnsi="Times New Roman" w:eastAsia="仿宋_GB2312" w:cs="仿宋_GB2312"/>
          <w:bCs/>
          <w:sz w:val="32"/>
          <w:szCs w:val="32"/>
          <w:highlight w:val="none"/>
          <w:lang w:eastAsia="zh-CN"/>
        </w:rPr>
        <w:t>办法》《深圳市鹏劳人力资源管理有限公司招标管理暂行办法》等</w:t>
      </w:r>
      <w:r>
        <w:rPr>
          <w:rFonts w:hint="eastAsia" w:ascii="Times New Roman" w:hAnsi="Times New Roman" w:eastAsia="仿宋_GB2312" w:cs="仿宋_GB2312"/>
          <w:bCs/>
          <w:sz w:val="32"/>
          <w:szCs w:val="32"/>
          <w:highlight w:val="none"/>
        </w:rPr>
        <w:t>有关规定，</w:t>
      </w:r>
      <w:r>
        <w:rPr>
          <w:rFonts w:hint="eastAsia" w:ascii="Times New Roman" w:hAnsi="Times New Roman" w:eastAsia="仿宋_GB2312" w:cs="仿宋_GB2312"/>
          <w:bCs/>
          <w:sz w:val="32"/>
          <w:szCs w:val="32"/>
          <w:highlight w:val="none"/>
          <w:lang w:eastAsia="zh-CN"/>
        </w:rPr>
        <w:t>现就本公司202</w:t>
      </w:r>
      <w:r>
        <w:rPr>
          <w:rFonts w:hint="eastAsia" w:ascii="Times New Roman" w:hAnsi="Times New Roman" w:eastAsia="仿宋_GB2312" w:cs="仿宋_GB2312"/>
          <w:bCs/>
          <w:sz w:val="32"/>
          <w:szCs w:val="32"/>
          <w:highlight w:val="none"/>
          <w:lang w:val="en-US" w:eastAsia="zh-CN"/>
        </w:rPr>
        <w:t>6-2027</w:t>
      </w:r>
      <w:r>
        <w:rPr>
          <w:rFonts w:hint="eastAsia" w:ascii="Times New Roman" w:hAnsi="Times New Roman" w:eastAsia="仿宋_GB2312" w:cs="仿宋_GB2312"/>
          <w:bCs/>
          <w:sz w:val="32"/>
          <w:szCs w:val="32"/>
          <w:highlight w:val="none"/>
          <w:lang w:eastAsia="zh-CN"/>
        </w:rPr>
        <w:t>年度某互联网银行外包项目招聘服务项目（</w:t>
      </w:r>
      <w:r>
        <w:rPr>
          <w:rFonts w:hint="eastAsia" w:ascii="Times New Roman" w:hAnsi="Times New Roman" w:eastAsia="仿宋_GB2312" w:cs="仿宋_GB2312"/>
          <w:bCs/>
          <w:sz w:val="32"/>
          <w:szCs w:val="32"/>
          <w:highlight w:val="none"/>
          <w:lang w:val="en-US" w:eastAsia="zh-CN"/>
        </w:rPr>
        <w:t>项目编号：PLHR-ZB-FW-202603</w:t>
      </w:r>
      <w:r>
        <w:rPr>
          <w:rFonts w:hint="eastAsia" w:ascii="Times New Roman" w:hAnsi="Times New Roman" w:eastAsia="仿宋_GB2312" w:cs="仿宋_GB2312"/>
          <w:bCs/>
          <w:sz w:val="32"/>
          <w:szCs w:val="32"/>
          <w:highlight w:val="none"/>
          <w:lang w:eastAsia="zh-CN"/>
        </w:rPr>
        <w:t>）面向社会各供方实施</w:t>
      </w:r>
      <w:r>
        <w:rPr>
          <w:rFonts w:hint="eastAsia" w:ascii="Times New Roman" w:hAnsi="Times New Roman" w:eastAsia="仿宋_GB2312" w:cs="仿宋_GB2312"/>
          <w:bCs/>
          <w:sz w:val="32"/>
          <w:szCs w:val="32"/>
          <w:highlight w:val="none"/>
          <w:lang w:val="en-US" w:eastAsia="zh-CN"/>
        </w:rPr>
        <w:t>公开招标</w:t>
      </w:r>
      <w:r>
        <w:rPr>
          <w:rFonts w:hint="eastAsia" w:ascii="Times New Roman" w:hAnsi="Times New Roman" w:eastAsia="仿宋_GB2312" w:cs="仿宋_GB2312"/>
          <w:bCs/>
          <w:sz w:val="32"/>
          <w:szCs w:val="32"/>
          <w:highlight w:val="none"/>
        </w:rPr>
        <w:t>，</w:t>
      </w:r>
      <w:r>
        <w:rPr>
          <w:rFonts w:hint="eastAsia" w:ascii="Times New Roman" w:hAnsi="Times New Roman" w:eastAsia="仿宋_GB2312" w:cs="仿宋_GB2312"/>
          <w:bCs/>
          <w:sz w:val="32"/>
          <w:szCs w:val="32"/>
          <w:highlight w:val="none"/>
          <w:lang w:eastAsia="zh-CN"/>
        </w:rPr>
        <w:t>请有意向参与投标的供方下载《深圳市鹏劳人力资源管理有限公司202</w:t>
      </w:r>
      <w:r>
        <w:rPr>
          <w:rFonts w:hint="eastAsia" w:ascii="Times New Roman" w:hAnsi="Times New Roman" w:eastAsia="仿宋_GB2312" w:cs="仿宋_GB2312"/>
          <w:bCs/>
          <w:sz w:val="32"/>
          <w:szCs w:val="32"/>
          <w:highlight w:val="none"/>
          <w:lang w:val="en-US" w:eastAsia="zh-CN"/>
        </w:rPr>
        <w:t>6-2027</w:t>
      </w:r>
      <w:r>
        <w:rPr>
          <w:rFonts w:hint="eastAsia" w:ascii="Times New Roman" w:hAnsi="Times New Roman" w:eastAsia="仿宋_GB2312" w:cs="仿宋_GB2312"/>
          <w:bCs/>
          <w:sz w:val="32"/>
          <w:szCs w:val="32"/>
          <w:highlight w:val="none"/>
          <w:lang w:eastAsia="zh-CN"/>
        </w:rPr>
        <w:t>年度某互联网银行外包项目</w:t>
      </w:r>
      <w:r>
        <w:rPr>
          <w:rFonts w:hint="eastAsia" w:ascii="Times New Roman" w:hAnsi="Times New Roman" w:eastAsia="仿宋_GB2312" w:cs="仿宋_GB2312"/>
          <w:bCs/>
          <w:strike w:val="0"/>
          <w:sz w:val="32"/>
          <w:szCs w:val="32"/>
          <w:highlight w:val="none"/>
          <w:lang w:eastAsia="zh-CN"/>
        </w:rPr>
        <w:t>招聘</w:t>
      </w:r>
      <w:r>
        <w:rPr>
          <w:rFonts w:hint="eastAsia" w:ascii="Times New Roman" w:hAnsi="Times New Roman" w:eastAsia="仿宋_GB2312" w:cs="仿宋_GB2312"/>
          <w:bCs/>
          <w:sz w:val="32"/>
          <w:szCs w:val="32"/>
          <w:highlight w:val="none"/>
          <w:lang w:eastAsia="zh-CN"/>
        </w:rPr>
        <w:t>服务项目招标文件》（本公告附件</w:t>
      </w:r>
      <w:r>
        <w:rPr>
          <w:rFonts w:hint="eastAsia" w:ascii="Times New Roman" w:hAnsi="Times New Roman" w:eastAsia="仿宋_GB2312" w:cs="仿宋_GB2312"/>
          <w:bCs/>
          <w:sz w:val="32"/>
          <w:szCs w:val="32"/>
          <w:highlight w:val="none"/>
          <w:lang w:val="en-US" w:eastAsia="zh-CN"/>
        </w:rPr>
        <w:t>2</w:t>
      </w:r>
      <w:r>
        <w:rPr>
          <w:rFonts w:hint="eastAsia" w:ascii="Times New Roman" w:hAnsi="Times New Roman" w:eastAsia="仿宋_GB2312" w:cs="仿宋_GB2312"/>
          <w:bCs/>
          <w:sz w:val="32"/>
          <w:szCs w:val="32"/>
          <w:highlight w:val="none"/>
          <w:lang w:eastAsia="zh-CN"/>
        </w:rPr>
        <w:t>），按招标文件及本公告要求实施投标：</w:t>
      </w:r>
    </w:p>
    <w:p w14:paraId="6459D09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rPr>
      </w:pPr>
      <w:bookmarkStart w:id="13" w:name="_Toc16928"/>
      <w:bookmarkStart w:id="14" w:name="_Toc7925"/>
      <w:bookmarkStart w:id="15" w:name="_Toc448"/>
      <w:r>
        <w:rPr>
          <w:rFonts w:hint="eastAsia" w:ascii="黑体" w:hAnsi="黑体" w:eastAsia="黑体" w:cs="黑体"/>
          <w:bCs/>
          <w:kern w:val="2"/>
          <w:sz w:val="32"/>
          <w:szCs w:val="32"/>
          <w:lang w:val="en-US" w:eastAsia="zh-CN" w:bidi="ar-SA"/>
        </w:rPr>
        <w:t>一、</w:t>
      </w:r>
      <w:r>
        <w:rPr>
          <w:rFonts w:hint="eastAsia" w:ascii="黑体" w:hAnsi="黑体" w:eastAsia="黑体" w:cs="黑体"/>
          <w:bCs/>
          <w:sz w:val="32"/>
          <w:szCs w:val="32"/>
          <w:highlight w:val="none"/>
        </w:rPr>
        <w:t>项目</w:t>
      </w:r>
      <w:r>
        <w:rPr>
          <w:rFonts w:hint="eastAsia" w:ascii="黑体" w:hAnsi="黑体" w:eastAsia="黑体" w:cs="黑体"/>
          <w:bCs/>
          <w:sz w:val="32"/>
          <w:szCs w:val="32"/>
          <w:highlight w:val="none"/>
          <w:lang w:eastAsia="zh-CN"/>
        </w:rPr>
        <w:t>名称</w:t>
      </w:r>
      <w:bookmarkEnd w:id="13"/>
      <w:bookmarkEnd w:id="14"/>
      <w:bookmarkEnd w:id="15"/>
    </w:p>
    <w:p w14:paraId="402DD53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lang w:eastAsia="zh-CN"/>
        </w:rPr>
        <w:t>深圳市鹏劳人力资源管理有限公司202</w:t>
      </w:r>
      <w:r>
        <w:rPr>
          <w:rFonts w:hint="eastAsia" w:ascii="Times New Roman" w:hAnsi="Times New Roman" w:eastAsia="仿宋_GB2312" w:cs="仿宋_GB2312"/>
          <w:bCs/>
          <w:sz w:val="32"/>
          <w:szCs w:val="32"/>
          <w:highlight w:val="none"/>
          <w:lang w:val="en-US" w:eastAsia="zh-CN"/>
        </w:rPr>
        <w:t>6-2028</w:t>
      </w:r>
      <w:r>
        <w:rPr>
          <w:rFonts w:hint="eastAsia" w:ascii="Times New Roman" w:hAnsi="Times New Roman" w:eastAsia="仿宋_GB2312" w:cs="仿宋_GB2312"/>
          <w:bCs/>
          <w:sz w:val="32"/>
          <w:szCs w:val="32"/>
          <w:highlight w:val="none"/>
          <w:lang w:eastAsia="zh-CN"/>
        </w:rPr>
        <w:t>年度某互联网银行外包项目</w:t>
      </w:r>
      <w:r>
        <w:rPr>
          <w:rFonts w:hint="eastAsia" w:ascii="Times New Roman" w:hAnsi="Times New Roman" w:eastAsia="仿宋_GB2312" w:cs="仿宋_GB2312"/>
          <w:bCs/>
          <w:strike w:val="0"/>
          <w:sz w:val="32"/>
          <w:szCs w:val="32"/>
          <w:highlight w:val="none"/>
          <w:lang w:eastAsia="zh-CN"/>
        </w:rPr>
        <w:t>招聘</w:t>
      </w:r>
      <w:r>
        <w:rPr>
          <w:rFonts w:hint="eastAsia" w:ascii="Times New Roman" w:hAnsi="Times New Roman" w:eastAsia="仿宋_GB2312" w:cs="仿宋_GB2312"/>
          <w:bCs/>
          <w:sz w:val="32"/>
          <w:szCs w:val="32"/>
          <w:highlight w:val="none"/>
          <w:lang w:eastAsia="zh-CN"/>
        </w:rPr>
        <w:t>服务项目</w:t>
      </w:r>
    </w:p>
    <w:p w14:paraId="7AEFD90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eastAsia="zh-CN"/>
        </w:rPr>
      </w:pPr>
      <w:bookmarkStart w:id="16" w:name="_Toc10914"/>
      <w:bookmarkStart w:id="17" w:name="_Toc20246"/>
      <w:bookmarkStart w:id="18" w:name="_Toc10846"/>
      <w:r>
        <w:rPr>
          <w:rFonts w:hint="eastAsia" w:ascii="黑体" w:hAnsi="黑体" w:eastAsia="黑体" w:cs="黑体"/>
          <w:bCs/>
          <w:kern w:val="2"/>
          <w:sz w:val="32"/>
          <w:szCs w:val="32"/>
          <w:lang w:val="en-US" w:eastAsia="zh-CN" w:bidi="ar-SA"/>
        </w:rPr>
        <w:t>二、</w:t>
      </w:r>
      <w:r>
        <w:rPr>
          <w:rFonts w:hint="eastAsia" w:ascii="黑体" w:hAnsi="黑体" w:eastAsia="黑体" w:cs="黑体"/>
          <w:bCs/>
          <w:sz w:val="32"/>
          <w:szCs w:val="32"/>
          <w:highlight w:val="none"/>
          <w:lang w:val="en-US" w:eastAsia="zh-CN"/>
        </w:rPr>
        <w:t>项目编号</w:t>
      </w:r>
      <w:bookmarkEnd w:id="16"/>
      <w:bookmarkEnd w:id="17"/>
      <w:bookmarkEnd w:id="18"/>
    </w:p>
    <w:p w14:paraId="7C52CD1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黑体"/>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PLHR-ZB-FW-202603</w:t>
      </w:r>
    </w:p>
    <w:p w14:paraId="0EC649E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trike w:val="0"/>
          <w:sz w:val="32"/>
          <w:szCs w:val="32"/>
          <w:highlight w:val="none"/>
          <w:lang w:val="en-US" w:eastAsia="zh-CN"/>
        </w:rPr>
      </w:pPr>
      <w:bookmarkStart w:id="19" w:name="_Toc2912"/>
      <w:bookmarkStart w:id="20" w:name="_Toc9976"/>
      <w:bookmarkStart w:id="21" w:name="_Toc23507"/>
      <w:r>
        <w:rPr>
          <w:rFonts w:hint="eastAsia" w:ascii="黑体" w:hAnsi="黑体" w:eastAsia="黑体" w:cs="黑体"/>
          <w:bCs/>
          <w:strike w:val="0"/>
          <w:kern w:val="2"/>
          <w:sz w:val="32"/>
          <w:szCs w:val="32"/>
          <w:lang w:val="en-US" w:eastAsia="zh-CN" w:bidi="ar-SA"/>
        </w:rPr>
        <w:t>三、</w:t>
      </w:r>
      <w:r>
        <w:rPr>
          <w:rFonts w:hint="eastAsia" w:ascii="黑体" w:hAnsi="黑体" w:eastAsia="黑体" w:cs="黑体"/>
          <w:bCs/>
          <w:strike w:val="0"/>
          <w:sz w:val="32"/>
          <w:szCs w:val="32"/>
          <w:highlight w:val="none"/>
          <w:lang w:val="en-US" w:eastAsia="zh-CN"/>
        </w:rPr>
        <w:t>项目需求</w:t>
      </w:r>
      <w:bookmarkEnd w:id="19"/>
      <w:bookmarkEnd w:id="20"/>
      <w:bookmarkEnd w:id="21"/>
    </w:p>
    <w:p w14:paraId="1820D2F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根据我司某互联网银行外包项目人力资源需求的持续性，</w:t>
      </w:r>
      <w:r>
        <w:rPr>
          <w:rFonts w:hint="eastAsia" w:ascii="Times New Roman" w:hAnsi="Times New Roman" w:eastAsia="仿宋_GB2312" w:cs="仿宋"/>
          <w:sz w:val="32"/>
          <w:szCs w:val="32"/>
          <w:lang w:val="en-US" w:eastAsia="zh-CN"/>
        </w:rPr>
        <w:t>为有效保障岗位人力供给的稳定性</w:t>
      </w:r>
      <w:r>
        <w:rPr>
          <w:rFonts w:hint="eastAsia" w:ascii="Times New Roman" w:hAnsi="Times New Roman" w:eastAsia="仿宋_GB2312" w:cs="仿宋"/>
          <w:strike w:val="0"/>
          <w:sz w:val="32"/>
          <w:szCs w:val="32"/>
          <w:highlight w:val="none"/>
          <w:lang w:val="en-US" w:eastAsia="zh-CN"/>
        </w:rPr>
        <w:t>与服务质量</w:t>
      </w:r>
      <w:r>
        <w:rPr>
          <w:rFonts w:hint="eastAsia" w:ascii="Times New Roman" w:hAnsi="Times New Roman" w:eastAsia="仿宋_GB2312" w:cs="仿宋"/>
          <w:sz w:val="32"/>
          <w:szCs w:val="32"/>
          <w:lang w:val="en-US" w:eastAsia="zh-CN"/>
        </w:rPr>
        <w:t>，</w:t>
      </w:r>
      <w:r>
        <w:rPr>
          <w:rFonts w:hint="eastAsia" w:ascii="Times New Roman" w:hAnsi="Times New Roman" w:eastAsia="仿宋_GB2312" w:cs="仿宋"/>
          <w:sz w:val="32"/>
          <w:szCs w:val="32"/>
          <w:highlight w:val="none"/>
          <w:lang w:val="en-US" w:eastAsia="zh-CN"/>
        </w:rPr>
        <w:t>现需采购具备专业人力供给服务能力、丰富人才渠道资源的第三方人力资源服务机构。</w:t>
      </w:r>
    </w:p>
    <w:p w14:paraId="2B0A2B9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本项目所需人员实际工作地点统一为深圳市，招聘岗位主要包括但不限于：客户服务岗、风险审核岗、贷后催收岗、外呼岗及中后台支持（数据分析）岗等。</w:t>
      </w:r>
    </w:p>
    <w:p w14:paraId="40EFF37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trike w:val="0"/>
          <w:sz w:val="32"/>
          <w:szCs w:val="32"/>
          <w:highlight w:val="none"/>
          <w:lang w:val="en-US" w:eastAsia="zh-CN"/>
        </w:rPr>
      </w:pPr>
      <w:bookmarkStart w:id="22" w:name="_Toc10501"/>
      <w:bookmarkStart w:id="23" w:name="_Toc6327"/>
      <w:r>
        <w:rPr>
          <w:rFonts w:hint="eastAsia" w:ascii="黑体" w:hAnsi="黑体" w:eastAsia="黑体" w:cs="黑体"/>
          <w:bCs/>
          <w:strike w:val="0"/>
          <w:kern w:val="2"/>
          <w:sz w:val="32"/>
          <w:szCs w:val="32"/>
          <w:lang w:val="en-US" w:eastAsia="zh-CN" w:bidi="ar-SA"/>
        </w:rPr>
        <w:t>四、</w:t>
      </w:r>
      <w:r>
        <w:rPr>
          <w:rFonts w:hint="eastAsia" w:ascii="黑体" w:hAnsi="黑体" w:eastAsia="黑体" w:cs="黑体"/>
          <w:bCs/>
          <w:strike w:val="0"/>
          <w:sz w:val="32"/>
          <w:szCs w:val="32"/>
          <w:highlight w:val="none"/>
          <w:lang w:val="en-US" w:eastAsia="zh-CN"/>
        </w:rPr>
        <w:t>项目要求</w:t>
      </w:r>
      <w:bookmarkEnd w:id="22"/>
      <w:bookmarkEnd w:id="23"/>
    </w:p>
    <w:p w14:paraId="2255FBCD">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1.投标人应具备稳定、高效的招聘执行能力，能够根据我司每月的岗位用人需求，在约定周期内完成涵盖渠道拓展、简历筛选与初步资格匹配、面试邀约、数据反馈等环节的全链条人力招聘服务。</w:t>
      </w:r>
    </w:p>
    <w:p w14:paraId="18F558BF">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2.投</w:t>
      </w:r>
      <w:r>
        <w:rPr>
          <w:rFonts w:hint="eastAsia" w:ascii="Times New Roman" w:hAnsi="Times New Roman" w:eastAsia="仿宋_GB2312" w:cs="仿宋"/>
          <w:kern w:val="2"/>
          <w:sz w:val="32"/>
          <w:szCs w:val="32"/>
          <w:highlight w:val="none"/>
          <w:lang w:val="en-US" w:eastAsia="zh-CN" w:bidi="ar-SA"/>
        </w:rPr>
        <w:t>标人应确保所推荐人员符合招标人所需岗位的基本任职资格，包括但不限于学历、专业、沟通能力、职业操守等。并具备在深圳长期稳定工作的意愿。</w:t>
      </w:r>
    </w:p>
    <w:p w14:paraId="6F9C3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3.投</w:t>
      </w:r>
      <w:r>
        <w:rPr>
          <w:rFonts w:hint="eastAsia" w:ascii="Times New Roman" w:hAnsi="Times New Roman" w:eastAsia="仿宋_GB2312" w:cs="仿宋"/>
          <w:kern w:val="2"/>
          <w:sz w:val="32"/>
          <w:szCs w:val="32"/>
          <w:highlight w:val="none"/>
          <w:lang w:val="en-US" w:eastAsia="zh-CN" w:bidi="ar-SA"/>
        </w:rPr>
        <w:t>标人所推荐的人员应确保符合银行入职审核的基本要求，确保所推荐的候选人进入初试环节比例不低于40%。</w:t>
      </w:r>
    </w:p>
    <w:p w14:paraId="10A17C09">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strike/>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鉴于业务需求可能动态调整，具体岗位说明书及要求将于投标人中标后由招标人另行提供，投标人须予以配合并据此开展人力供给工作。</w:t>
      </w:r>
    </w:p>
    <w:p w14:paraId="7F66C700">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24" w:name="_Toc23756"/>
      <w:bookmarkStart w:id="25" w:name="_Toc18124"/>
      <w:bookmarkStart w:id="26" w:name="_Toc17476"/>
      <w:r>
        <w:rPr>
          <w:rFonts w:hint="eastAsia" w:ascii="黑体" w:hAnsi="黑体" w:eastAsia="黑体" w:cs="黑体"/>
          <w:bCs/>
          <w:kern w:val="2"/>
          <w:sz w:val="32"/>
          <w:szCs w:val="32"/>
          <w:lang w:val="en-US" w:eastAsia="zh-CN" w:bidi="ar-SA"/>
        </w:rPr>
        <w:t>五、</w:t>
      </w:r>
      <w:r>
        <w:rPr>
          <w:rFonts w:hint="eastAsia" w:ascii="黑体" w:hAnsi="黑体" w:eastAsia="黑体" w:cs="黑体"/>
          <w:bCs/>
          <w:sz w:val="32"/>
          <w:szCs w:val="32"/>
          <w:highlight w:val="none"/>
          <w:lang w:val="en-US" w:eastAsia="zh-CN"/>
        </w:rPr>
        <w:t>项目期限</w:t>
      </w:r>
      <w:bookmarkEnd w:id="24"/>
      <w:bookmarkEnd w:id="25"/>
      <w:bookmarkEnd w:id="26"/>
    </w:p>
    <w:p w14:paraId="12ADB64C">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lang w:val="en-US" w:eastAsia="zh-CN"/>
        </w:rPr>
      </w:pPr>
      <w:r>
        <w:rPr>
          <w:rFonts w:hint="eastAsia" w:ascii="Times New Roman" w:hAnsi="Times New Roman" w:eastAsia="仿宋_GB2312" w:cs="仿宋"/>
          <w:bCs/>
          <w:sz w:val="32"/>
          <w:szCs w:val="32"/>
          <w:highlight w:val="none"/>
          <w:lang w:eastAsia="zh-CN"/>
        </w:rPr>
        <w:t>合同签订后</w:t>
      </w:r>
      <w:r>
        <w:rPr>
          <w:rFonts w:hint="eastAsia" w:ascii="Times New Roman" w:hAnsi="Times New Roman" w:eastAsia="仿宋_GB2312" w:cs="仿宋"/>
          <w:bCs/>
          <w:sz w:val="32"/>
          <w:szCs w:val="32"/>
          <w:highlight w:val="none"/>
          <w:lang w:val="en-US" w:eastAsia="zh-CN"/>
        </w:rPr>
        <w:t>2</w:t>
      </w:r>
      <w:r>
        <w:rPr>
          <w:rFonts w:hint="eastAsia" w:ascii="Times New Roman" w:hAnsi="Times New Roman" w:eastAsia="仿宋_GB2312" w:cs="仿宋"/>
          <w:bCs/>
          <w:sz w:val="32"/>
          <w:szCs w:val="32"/>
          <w:highlight w:val="none"/>
          <w:lang w:eastAsia="zh-CN"/>
        </w:rPr>
        <w:t>年（</w:t>
      </w:r>
      <w:r>
        <w:rPr>
          <w:rFonts w:hint="eastAsia" w:ascii="Times New Roman" w:hAnsi="Times New Roman" w:eastAsia="仿宋_GB2312" w:cs="仿宋"/>
          <w:bCs/>
          <w:sz w:val="32"/>
          <w:szCs w:val="32"/>
          <w:highlight w:val="none"/>
          <w:lang w:val="en-US" w:eastAsia="zh-CN"/>
        </w:rPr>
        <w:t>2026至2028年度）</w:t>
      </w:r>
    </w:p>
    <w:p w14:paraId="4672FC5A">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default" w:ascii="黑体" w:hAnsi="黑体" w:eastAsia="黑体" w:cs="黑体"/>
          <w:bCs/>
          <w:sz w:val="32"/>
          <w:szCs w:val="32"/>
          <w:highlight w:val="none"/>
          <w:lang w:val="en-US" w:eastAsia="zh-CN"/>
        </w:rPr>
      </w:pPr>
      <w:bookmarkStart w:id="27" w:name="_Toc30453"/>
      <w:bookmarkStart w:id="28" w:name="_Toc9808"/>
      <w:bookmarkStart w:id="29" w:name="_Toc5302"/>
      <w:r>
        <w:rPr>
          <w:rFonts w:hint="eastAsia" w:ascii="黑体" w:hAnsi="黑体" w:eastAsia="黑体" w:cs="黑体"/>
          <w:bCs/>
          <w:kern w:val="2"/>
          <w:sz w:val="32"/>
          <w:szCs w:val="32"/>
          <w:lang w:val="en-US" w:eastAsia="zh-CN" w:bidi="ar-SA"/>
        </w:rPr>
        <w:t>六、</w:t>
      </w:r>
      <w:r>
        <w:rPr>
          <w:rFonts w:hint="eastAsia" w:ascii="黑体" w:hAnsi="黑体" w:eastAsia="黑体" w:cs="黑体"/>
          <w:bCs/>
          <w:sz w:val="32"/>
          <w:szCs w:val="32"/>
          <w:highlight w:val="none"/>
          <w:lang w:val="en-US" w:eastAsia="zh-CN"/>
        </w:rPr>
        <w:t>项目预算</w:t>
      </w:r>
      <w:bookmarkEnd w:id="27"/>
      <w:bookmarkEnd w:id="28"/>
      <w:bookmarkEnd w:id="29"/>
    </w:p>
    <w:p w14:paraId="3ADD6A0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Times New Roman" w:eastAsia="仿宋_GB2312" w:cs="仿宋"/>
          <w:b w:val="0"/>
          <w:bCs/>
          <w:strike w:val="0"/>
          <w:dstrike w:val="0"/>
          <w:spacing w:val="6"/>
          <w:sz w:val="32"/>
          <w:szCs w:val="32"/>
          <w:highlight w:val="none"/>
          <w:lang w:val="en-US" w:eastAsia="zh-CN"/>
        </w:rPr>
      </w:pPr>
      <w:r>
        <w:rPr>
          <w:rFonts w:hint="eastAsia" w:ascii="仿宋_GB2312" w:hAnsi="仿宋_GB2312" w:eastAsia="仿宋_GB2312" w:cs="仿宋_GB2312"/>
          <w:b w:val="0"/>
          <w:bCs/>
          <w:strike w:val="0"/>
          <w:dstrike w:val="0"/>
          <w:spacing w:val="6"/>
          <w:sz w:val="32"/>
          <w:szCs w:val="32"/>
          <w:highlight w:val="none"/>
          <w:lang w:val="en-US" w:eastAsia="zh-CN"/>
        </w:rPr>
        <w:t>1.</w:t>
      </w:r>
      <w:r>
        <w:rPr>
          <w:rFonts w:hint="eastAsia" w:ascii="Times New Roman" w:hAnsi="Times New Roman" w:eastAsia="仿宋_GB2312" w:cs="仿宋"/>
          <w:b w:val="0"/>
          <w:bCs/>
          <w:strike w:val="0"/>
          <w:dstrike w:val="0"/>
          <w:spacing w:val="6"/>
          <w:sz w:val="32"/>
          <w:szCs w:val="32"/>
          <w:highlight w:val="none"/>
          <w:lang w:val="en-US" w:eastAsia="zh-CN"/>
        </w:rPr>
        <w:t>本项目总预算价为人民币480,000.00元（含增值税）</w:t>
      </w:r>
      <w:r>
        <w:rPr>
          <w:rFonts w:hint="eastAsia" w:ascii="Times New Roman" w:eastAsia="仿宋_GB2312" w:cs="仿宋"/>
          <w:b w:val="0"/>
          <w:bCs/>
          <w:strike w:val="0"/>
          <w:dstrike w:val="0"/>
          <w:spacing w:val="6"/>
          <w:sz w:val="32"/>
          <w:szCs w:val="32"/>
          <w:highlight w:val="none"/>
          <w:lang w:val="en-US" w:eastAsia="zh-CN"/>
        </w:rPr>
        <w:t>。</w:t>
      </w:r>
    </w:p>
    <w:p w14:paraId="63F2280A">
      <w:pPr>
        <w:spacing w:line="560" w:lineRule="exact"/>
        <w:ind w:firstLine="664" w:firstLineChars="200"/>
        <w:rPr>
          <w:rFonts w:hint="default" w:ascii="Times New Roman" w:hAnsi="Times New Roman" w:eastAsia="仿宋_GB2312" w:cs="仿宋"/>
          <w:bCs/>
          <w:strike/>
          <w:dstrike w:val="0"/>
          <w:spacing w:val="6"/>
          <w:sz w:val="32"/>
          <w:szCs w:val="32"/>
          <w:highlight w:val="none"/>
          <w:lang w:val="en-US" w:eastAsia="zh-CN"/>
        </w:rPr>
      </w:pPr>
      <w:r>
        <w:rPr>
          <w:rFonts w:hint="eastAsia" w:ascii="仿宋_GB2312" w:hAnsi="仿宋_GB2312" w:eastAsia="仿宋_GB2312" w:cs="仿宋_GB2312"/>
          <w:bCs/>
          <w:strike w:val="0"/>
          <w:dstrike w:val="0"/>
          <w:spacing w:val="6"/>
          <w:sz w:val="32"/>
          <w:szCs w:val="32"/>
          <w:highlight w:val="none"/>
          <w:lang w:val="en-US" w:eastAsia="zh-CN"/>
        </w:rPr>
        <w:t>2</w:t>
      </w:r>
      <w:r>
        <w:rPr>
          <w:rFonts w:hint="eastAsia" w:ascii="Times New Roman" w:hAnsi="Times New Roman" w:eastAsia="仿宋_GB2312" w:cs="仿宋_GB2312"/>
          <w:bCs/>
          <w:strike w:val="0"/>
          <w:dstrike w:val="0"/>
          <w:spacing w:val="6"/>
          <w:sz w:val="32"/>
          <w:szCs w:val="32"/>
          <w:highlight w:val="none"/>
          <w:lang w:val="en-US" w:eastAsia="zh-CN"/>
        </w:rPr>
        <w:t>.本项目采用单价报价并设置最高限价，投标最高限价为2200元/人（含增值税）。投标人报价不得高于此限价，否则投标将被否决。报价具体要求详见本文件第二部分招标文件第一章第六条第（二）款报价说明。</w:t>
      </w:r>
    </w:p>
    <w:p w14:paraId="5ACFDB3A">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30" w:name="_Toc17004"/>
      <w:bookmarkStart w:id="31" w:name="_Toc6132"/>
      <w:bookmarkStart w:id="32" w:name="_Toc18218"/>
      <w:r>
        <w:rPr>
          <w:rFonts w:hint="eastAsia" w:ascii="黑体" w:hAnsi="黑体" w:eastAsia="黑体" w:cs="黑体"/>
          <w:bCs/>
          <w:kern w:val="2"/>
          <w:sz w:val="32"/>
          <w:szCs w:val="32"/>
          <w:lang w:val="en-US" w:eastAsia="zh-CN" w:bidi="ar-SA"/>
        </w:rPr>
        <w:t>七、</w:t>
      </w:r>
      <w:r>
        <w:rPr>
          <w:rFonts w:hint="eastAsia" w:ascii="黑体" w:hAnsi="黑体" w:eastAsia="黑体" w:cs="黑体"/>
          <w:bCs/>
          <w:sz w:val="32"/>
          <w:szCs w:val="32"/>
          <w:highlight w:val="none"/>
          <w:lang w:val="en-US" w:eastAsia="zh-CN"/>
        </w:rPr>
        <w:t>投标人资质要求</w:t>
      </w:r>
      <w:bookmarkEnd w:id="30"/>
      <w:bookmarkEnd w:id="31"/>
      <w:bookmarkEnd w:id="32"/>
    </w:p>
    <w:p w14:paraId="3DE7E7CA">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（一）</w:t>
      </w:r>
      <w:r>
        <w:rPr>
          <w:rFonts w:hint="eastAsia" w:ascii="Times New Roman" w:hAnsi="Times New Roman" w:eastAsia="仿宋_GB2312" w:cs="仿宋"/>
          <w:bCs/>
          <w:sz w:val="32"/>
          <w:szCs w:val="32"/>
          <w:highlight w:val="none"/>
          <w:lang w:val="en-US" w:eastAsia="zh-CN"/>
        </w:rPr>
        <w:t>投标</w:t>
      </w:r>
      <w:r>
        <w:rPr>
          <w:rFonts w:hint="default" w:ascii="Times New Roman" w:hAnsi="Times New Roman" w:eastAsia="仿宋_GB2312" w:cs="仿宋"/>
          <w:bCs/>
          <w:sz w:val="32"/>
          <w:szCs w:val="32"/>
          <w:highlight w:val="none"/>
          <w:lang w:val="en-US" w:eastAsia="zh-CN"/>
        </w:rPr>
        <w:t>人为国内注册（指按国家有关规定要求注册的），经营本次采购内容，具备独立法人资格的供应商；</w:t>
      </w:r>
    </w:p>
    <w:p w14:paraId="117AF73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trike w:val="0"/>
          <w:dstrike w:val="0"/>
          <w:sz w:val="32"/>
          <w:szCs w:val="32"/>
          <w:highlight w:val="none"/>
          <w:lang w:val="en-US" w:eastAsia="zh-CN"/>
        </w:rPr>
      </w:pPr>
      <w:r>
        <w:rPr>
          <w:rFonts w:hint="default" w:ascii="Times New Roman" w:hAnsi="Times New Roman" w:eastAsia="仿宋_GB2312" w:cs="仿宋"/>
          <w:bCs/>
          <w:sz w:val="32"/>
          <w:szCs w:val="32"/>
          <w:highlight w:val="none"/>
          <w:lang w:val="en-US" w:eastAsia="zh-CN"/>
        </w:rPr>
        <w:t>（二</w:t>
      </w:r>
      <w:r>
        <w:rPr>
          <w:rFonts w:hint="default" w:ascii="Times New Roman" w:hAnsi="Times New Roman" w:eastAsia="仿宋_GB2312" w:cs="仿宋"/>
          <w:bCs/>
          <w:strike w:val="0"/>
          <w:dstrike w:val="0"/>
          <w:sz w:val="32"/>
          <w:szCs w:val="32"/>
          <w:highlight w:val="none"/>
          <w:lang w:val="en-US" w:eastAsia="zh-CN"/>
        </w:rPr>
        <w:t>）投标人具备</w:t>
      </w:r>
      <w:r>
        <w:rPr>
          <w:rFonts w:hint="eastAsia" w:ascii="Times New Roman" w:hAnsi="Times New Roman" w:eastAsia="仿宋_GB2312" w:cs="仿宋"/>
          <w:bCs/>
          <w:strike w:val="0"/>
          <w:dstrike w:val="0"/>
          <w:sz w:val="32"/>
          <w:szCs w:val="32"/>
          <w:highlight w:val="none"/>
          <w:lang w:val="en-US" w:eastAsia="zh-CN"/>
        </w:rPr>
        <w:t>人力资源服务</w:t>
      </w:r>
      <w:r>
        <w:rPr>
          <w:rFonts w:hint="default" w:ascii="Times New Roman" w:hAnsi="Times New Roman" w:eastAsia="仿宋_GB2312" w:cs="仿宋"/>
          <w:bCs/>
          <w:strike w:val="0"/>
          <w:dstrike w:val="0"/>
          <w:sz w:val="32"/>
          <w:szCs w:val="32"/>
          <w:highlight w:val="none"/>
          <w:lang w:val="en-US" w:eastAsia="zh-CN"/>
        </w:rPr>
        <w:t>许可资质，提供有效的《人力资源服务许可证》扫描件。</w:t>
      </w:r>
    </w:p>
    <w:p w14:paraId="2993F2F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（三）投</w:t>
      </w:r>
      <w:r>
        <w:rPr>
          <w:rFonts w:hint="default" w:ascii="Times New Roman" w:hAnsi="Times New Roman" w:eastAsia="仿宋_GB2312" w:cs="仿宋"/>
          <w:bCs/>
          <w:sz w:val="32"/>
          <w:szCs w:val="32"/>
          <w:highlight w:val="none"/>
          <w:lang w:val="en-US" w:eastAsia="zh-CN"/>
        </w:rPr>
        <w:t>标人具有完全响应本项目服务需求的能力，能独立承担本招标文件所示民事等法律责任和合同义务。</w:t>
      </w:r>
    </w:p>
    <w:p w14:paraId="1EBDFEA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（四）</w:t>
      </w:r>
      <w:r>
        <w:rPr>
          <w:rFonts w:hint="eastAsia" w:ascii="Times New Roman" w:hAnsi="Times New Roman" w:eastAsia="仿宋_GB2312" w:cs="仿宋"/>
          <w:bCs/>
          <w:sz w:val="32"/>
          <w:szCs w:val="32"/>
          <w:highlight w:val="none"/>
          <w:lang w:val="en-US" w:eastAsia="zh-CN"/>
        </w:rPr>
        <w:t>投标人无在“信用中国”网站（www.creditchina.gov.cn）、中国政府采购网（www.ccgp.gov.cn）、</w:t>
      </w:r>
      <w:r>
        <w:rPr>
          <w:rFonts w:hint="eastAsia" w:ascii="Times New Roman" w:hAnsi="Times New Roman" w:eastAsia="仿宋_GB2312" w:cs="仿宋"/>
          <w:bCs/>
          <w:sz w:val="32"/>
          <w:szCs w:val="32"/>
          <w:highlight w:val="none"/>
          <w:lang w:val="en-US" w:eastAsia="zh-CN"/>
        </w:rPr>
        <w:fldChar w:fldCharType="begin"/>
      </w:r>
      <w:r>
        <w:rPr>
          <w:rFonts w:hint="eastAsia" w:ascii="Times New Roman" w:hAnsi="Times New Roman" w:eastAsia="仿宋_GB2312" w:cs="仿宋"/>
          <w:bCs/>
          <w:sz w:val="32"/>
          <w:szCs w:val="32"/>
          <w:highlight w:val="none"/>
          <w:lang w:val="en-US" w:eastAsia="zh-CN"/>
        </w:rPr>
        <w:instrText xml:space="preserve"> HYPERLINK "https://wenshu.court.gov.cn/" </w:instrText>
      </w:r>
      <w:r>
        <w:rPr>
          <w:rFonts w:hint="eastAsia" w:ascii="Times New Roman" w:hAnsi="Times New Roman" w:eastAsia="仿宋_GB2312" w:cs="仿宋"/>
          <w:bCs/>
          <w:sz w:val="32"/>
          <w:szCs w:val="32"/>
          <w:highlight w:val="none"/>
          <w:lang w:val="en-US" w:eastAsia="zh-CN"/>
        </w:rPr>
        <w:fldChar w:fldCharType="separate"/>
      </w:r>
      <w:r>
        <w:rPr>
          <w:rFonts w:hint="eastAsia" w:ascii="Times New Roman" w:hAnsi="Times New Roman" w:eastAsia="仿宋_GB2312" w:cs="仿宋"/>
          <w:bCs/>
          <w:sz w:val="32"/>
          <w:szCs w:val="32"/>
          <w:highlight w:val="none"/>
          <w:lang w:val="en-US" w:eastAsia="zh-CN"/>
        </w:rPr>
        <w:t>中国裁判文书网（wenshu.court.gov.cn）</w:t>
      </w:r>
      <w:r>
        <w:rPr>
          <w:rFonts w:hint="eastAsia" w:ascii="Times New Roman" w:hAnsi="Times New Roman" w:eastAsia="仿宋_GB2312" w:cs="仿宋"/>
          <w:bCs/>
          <w:sz w:val="32"/>
          <w:szCs w:val="32"/>
          <w:highlight w:val="none"/>
          <w:lang w:val="en-US" w:eastAsia="zh-CN"/>
        </w:rPr>
        <w:fldChar w:fldCharType="end"/>
      </w:r>
      <w:r>
        <w:rPr>
          <w:rFonts w:hint="eastAsia" w:ascii="Times New Roman" w:hAnsi="Times New Roman" w:eastAsia="仿宋_GB2312" w:cs="仿宋"/>
          <w:bCs/>
          <w:sz w:val="32"/>
          <w:szCs w:val="32"/>
          <w:highlight w:val="none"/>
          <w:lang w:val="en-US" w:eastAsia="zh-CN"/>
        </w:rPr>
        <w:t>等渠道列入失信被执行人、重大税收违法案件当事人名单、政府采购严重违法失信行为记录名单、单位行贿行为记录的情况。</w:t>
      </w:r>
    </w:p>
    <w:p w14:paraId="3ADD9548">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（五）</w:t>
      </w:r>
      <w:r>
        <w:rPr>
          <w:rFonts w:hint="eastAsia" w:ascii="Times New Roman" w:hAnsi="Times New Roman" w:eastAsia="仿宋_GB2312" w:cs="仿宋"/>
          <w:bCs/>
          <w:sz w:val="32"/>
          <w:szCs w:val="32"/>
          <w:highlight w:val="none"/>
          <w:lang w:val="en-US" w:eastAsia="zh-CN"/>
        </w:rPr>
        <w:t>投标人如为与招标人既往合作的供应商，需满足招标人关于供应商的管理规定，且2023年1月1日至本项目确定成交人之日前投标人无重大事故、服务投诉或质量不符合记录。</w:t>
      </w:r>
    </w:p>
    <w:p w14:paraId="241529E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（六）</w:t>
      </w:r>
      <w:r>
        <w:rPr>
          <w:rFonts w:hint="eastAsia" w:ascii="Times New Roman" w:hAnsi="Times New Roman" w:eastAsia="仿宋_GB2312" w:cs="仿宋"/>
          <w:bCs/>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2418ABC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本项目不接受联合体竞标或分标段投标</w:t>
      </w:r>
      <w:r>
        <w:rPr>
          <w:rFonts w:hint="eastAsia" w:ascii="Times New Roman" w:hAnsi="Times New Roman" w:eastAsia="仿宋_GB2312" w:cs="仿宋"/>
          <w:bCs/>
          <w:sz w:val="32"/>
          <w:szCs w:val="32"/>
          <w:highlight w:val="none"/>
          <w:lang w:val="en-US" w:eastAsia="zh-CN"/>
        </w:rPr>
        <w:t>，不允许转包、分包</w:t>
      </w:r>
      <w:r>
        <w:rPr>
          <w:rFonts w:hint="default" w:ascii="Times New Roman" w:hAnsi="Times New Roman" w:eastAsia="仿宋_GB2312" w:cs="仿宋"/>
          <w:bCs/>
          <w:sz w:val="32"/>
          <w:szCs w:val="32"/>
          <w:highlight w:val="none"/>
          <w:lang w:val="en-US" w:eastAsia="zh-CN"/>
        </w:rPr>
        <w:t>。投标人应如实提供资质信息及随附证明文件，不得弄虚作假，提供虚假资质信息或虚假的随附证明文件一经查实，取消本项目投标资格，同时三年内不得参加招标人其他项目招标或采购。</w:t>
      </w:r>
    </w:p>
    <w:p w14:paraId="6A87C458">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33" w:name="_Toc11559"/>
      <w:bookmarkStart w:id="34" w:name="_Toc20109"/>
      <w:bookmarkStart w:id="35" w:name="_Toc20410"/>
      <w:r>
        <w:rPr>
          <w:rFonts w:hint="eastAsia" w:ascii="黑体" w:hAnsi="黑体" w:eastAsia="黑体" w:cs="黑体"/>
          <w:bCs/>
          <w:kern w:val="2"/>
          <w:sz w:val="32"/>
          <w:szCs w:val="32"/>
          <w:lang w:val="en-US" w:eastAsia="zh-CN" w:bidi="ar-SA"/>
        </w:rPr>
        <w:t>八、</w:t>
      </w:r>
      <w:r>
        <w:rPr>
          <w:rFonts w:hint="eastAsia" w:ascii="黑体" w:hAnsi="黑体" w:eastAsia="黑体" w:cs="黑体"/>
          <w:bCs/>
          <w:sz w:val="32"/>
          <w:szCs w:val="32"/>
          <w:highlight w:val="none"/>
          <w:lang w:val="en-US" w:eastAsia="zh-CN"/>
        </w:rPr>
        <w:t>具体内容</w:t>
      </w:r>
      <w:bookmarkEnd w:id="33"/>
      <w:bookmarkEnd w:id="34"/>
      <w:bookmarkEnd w:id="35"/>
    </w:p>
    <w:p w14:paraId="41F1DC4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见《深圳市鹏劳人力资源管理有限公司</w:t>
      </w:r>
      <w:r>
        <w:rPr>
          <w:rFonts w:hint="eastAsia" w:ascii="Times New Roman" w:hAnsi="Times New Roman" w:eastAsia="仿宋_GB2312" w:cs="仿宋_GB2312"/>
          <w:bCs/>
          <w:sz w:val="32"/>
          <w:szCs w:val="32"/>
          <w:highlight w:val="none"/>
          <w:lang w:eastAsia="zh-CN"/>
        </w:rPr>
        <w:t>202</w:t>
      </w:r>
      <w:r>
        <w:rPr>
          <w:rFonts w:hint="eastAsia" w:ascii="Times New Roman" w:hAnsi="Times New Roman" w:eastAsia="仿宋_GB2312" w:cs="仿宋_GB2312"/>
          <w:bCs/>
          <w:sz w:val="32"/>
          <w:szCs w:val="32"/>
          <w:highlight w:val="none"/>
          <w:lang w:val="en-US" w:eastAsia="zh-CN"/>
        </w:rPr>
        <w:t>6-2027</w:t>
      </w:r>
      <w:r>
        <w:rPr>
          <w:rFonts w:hint="eastAsia" w:ascii="Times New Roman" w:hAnsi="Times New Roman" w:eastAsia="仿宋_GB2312" w:cs="仿宋_GB2312"/>
          <w:bCs/>
          <w:sz w:val="32"/>
          <w:szCs w:val="32"/>
          <w:highlight w:val="none"/>
          <w:lang w:eastAsia="zh-CN"/>
        </w:rPr>
        <w:t>年度某互联网银行外包项</w:t>
      </w:r>
      <w:r>
        <w:rPr>
          <w:rFonts w:hint="eastAsia" w:ascii="Times New Roman" w:hAnsi="Times New Roman" w:eastAsia="仿宋_GB2312" w:cs="仿宋_GB2312"/>
          <w:bCs/>
          <w:strike w:val="0"/>
          <w:dstrike w:val="0"/>
          <w:sz w:val="32"/>
          <w:szCs w:val="32"/>
          <w:highlight w:val="none"/>
          <w:lang w:eastAsia="zh-CN"/>
        </w:rPr>
        <w:t>目招聘</w:t>
      </w:r>
      <w:r>
        <w:rPr>
          <w:rFonts w:hint="eastAsia" w:ascii="Times New Roman" w:hAnsi="Times New Roman" w:eastAsia="仿宋_GB2312" w:cs="仿宋_GB2312"/>
          <w:bCs/>
          <w:sz w:val="32"/>
          <w:szCs w:val="32"/>
          <w:highlight w:val="none"/>
          <w:lang w:eastAsia="zh-CN"/>
        </w:rPr>
        <w:t>服务项目</w:t>
      </w:r>
      <w:r>
        <w:rPr>
          <w:rFonts w:hint="eastAsia" w:ascii="Times New Roman" w:hAnsi="Times New Roman" w:eastAsia="仿宋_GB2312" w:cs="仿宋"/>
          <w:bCs/>
          <w:sz w:val="32"/>
          <w:szCs w:val="32"/>
          <w:highlight w:val="none"/>
          <w:lang w:val="en-US" w:eastAsia="zh-CN"/>
        </w:rPr>
        <w:t>招标文件》（附件2）</w:t>
      </w:r>
    </w:p>
    <w:p w14:paraId="6B5D635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有意参与投标的供方请于2026年3月21日12时前向招标人列示联系邮箱（huangxj@plhr.cn）提供资质文件扫描件，填报公告附件1《报名表》，加盖公章并随附资格文件电子版。（本文件所有报名资料格式：扫描件，PDF格式加盖公章）</w:t>
      </w:r>
    </w:p>
    <w:p w14:paraId="5A63C46C">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36" w:name="_Toc7892"/>
      <w:bookmarkStart w:id="37" w:name="_Toc8020"/>
      <w:bookmarkStart w:id="38" w:name="_Toc6015"/>
      <w:r>
        <w:rPr>
          <w:rFonts w:hint="eastAsia" w:ascii="黑体" w:hAnsi="黑体" w:eastAsia="黑体" w:cs="黑体"/>
          <w:bCs/>
          <w:kern w:val="2"/>
          <w:sz w:val="32"/>
          <w:szCs w:val="32"/>
          <w:lang w:val="en-US" w:eastAsia="zh-CN" w:bidi="ar-SA"/>
        </w:rPr>
        <w:t>九、</w:t>
      </w:r>
      <w:r>
        <w:rPr>
          <w:rFonts w:hint="eastAsia" w:ascii="黑体" w:hAnsi="黑体" w:eastAsia="黑体" w:cs="黑体"/>
          <w:bCs/>
          <w:sz w:val="32"/>
          <w:szCs w:val="32"/>
          <w:highlight w:val="none"/>
          <w:lang w:val="en-US" w:eastAsia="zh-CN"/>
        </w:rPr>
        <w:t>答疑、澄清与补正</w:t>
      </w:r>
      <w:bookmarkEnd w:id="36"/>
      <w:bookmarkEnd w:id="37"/>
      <w:bookmarkEnd w:id="38"/>
    </w:p>
    <w:p w14:paraId="041AF00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拟参与本项目的投标人在获得招标文件后，应及时阅知招标文件，于2026年3月19日17时前就需要招标人答疑、澄清或确认的事项提出答疑澄清请求发送至招标人联系邮箱，逾期不予受理。</w:t>
      </w:r>
    </w:p>
    <w:p w14:paraId="0356FC5E">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招标人将在收到答疑澄清后，统一于2026年3月20日17时以电子邮件形式根据各投标人提出的答疑澄清请求及招标人认为应当补遗说明的情况进行统一答复说明，答复说明按规不披露疑问来源。</w:t>
      </w:r>
    </w:p>
    <w:p w14:paraId="23CC338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7C0A6F43">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39" w:name="_Toc18385"/>
      <w:bookmarkStart w:id="40" w:name="_Toc24949"/>
      <w:bookmarkStart w:id="41" w:name="_Toc2202"/>
      <w:r>
        <w:rPr>
          <w:rFonts w:hint="eastAsia" w:ascii="黑体" w:hAnsi="黑体" w:eastAsia="黑体" w:cs="黑体"/>
          <w:bCs/>
          <w:kern w:val="2"/>
          <w:sz w:val="32"/>
          <w:szCs w:val="32"/>
          <w:lang w:val="en-US" w:eastAsia="zh-CN" w:bidi="ar-SA"/>
        </w:rPr>
        <w:t>十、</w:t>
      </w:r>
      <w:r>
        <w:rPr>
          <w:rFonts w:hint="eastAsia" w:ascii="黑体" w:hAnsi="黑体" w:eastAsia="黑体" w:cs="黑体"/>
          <w:bCs/>
          <w:sz w:val="32"/>
          <w:szCs w:val="32"/>
          <w:highlight w:val="none"/>
          <w:lang w:val="en-US" w:eastAsia="zh-CN"/>
        </w:rPr>
        <w:t>投标截止时间</w:t>
      </w:r>
      <w:bookmarkEnd w:id="39"/>
      <w:bookmarkEnd w:id="40"/>
      <w:bookmarkEnd w:id="41"/>
    </w:p>
    <w:p w14:paraId="53E80E2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2026年4月7日（周二）14时30分</w:t>
      </w:r>
    </w:p>
    <w:p w14:paraId="50A0F15C">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42" w:name="_Toc4150"/>
      <w:bookmarkStart w:id="43" w:name="_Toc20222"/>
      <w:bookmarkStart w:id="44" w:name="_Toc21920"/>
      <w:r>
        <w:rPr>
          <w:rFonts w:hint="eastAsia" w:ascii="黑体" w:hAnsi="黑体" w:eastAsia="黑体" w:cs="黑体"/>
          <w:bCs/>
          <w:kern w:val="2"/>
          <w:sz w:val="32"/>
          <w:szCs w:val="32"/>
          <w:lang w:val="en-US" w:eastAsia="zh-CN" w:bidi="ar-SA"/>
        </w:rPr>
        <w:t>十一、</w:t>
      </w:r>
      <w:r>
        <w:rPr>
          <w:rFonts w:hint="eastAsia" w:ascii="黑体" w:hAnsi="黑体" w:eastAsia="黑体" w:cs="黑体"/>
          <w:bCs/>
          <w:sz w:val="32"/>
          <w:szCs w:val="32"/>
          <w:highlight w:val="none"/>
          <w:lang w:val="en-US" w:eastAsia="zh-CN"/>
        </w:rPr>
        <w:t>开标时间</w:t>
      </w:r>
      <w:bookmarkEnd w:id="42"/>
      <w:bookmarkEnd w:id="43"/>
      <w:bookmarkEnd w:id="44"/>
    </w:p>
    <w:p w14:paraId="7F6D812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2026年4月7日（周二）14时30分</w:t>
      </w:r>
    </w:p>
    <w:p w14:paraId="34C7C26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45" w:name="_Toc32378"/>
      <w:bookmarkStart w:id="46" w:name="_Toc19639"/>
      <w:bookmarkStart w:id="47" w:name="_Toc16635"/>
      <w:r>
        <w:rPr>
          <w:rFonts w:hint="eastAsia" w:ascii="黑体" w:hAnsi="黑体" w:eastAsia="黑体" w:cs="黑体"/>
          <w:bCs/>
          <w:kern w:val="2"/>
          <w:sz w:val="32"/>
          <w:szCs w:val="32"/>
          <w:lang w:val="en-US" w:eastAsia="zh-CN" w:bidi="ar-SA"/>
        </w:rPr>
        <w:t>十二、</w:t>
      </w:r>
      <w:r>
        <w:rPr>
          <w:rFonts w:hint="eastAsia" w:ascii="黑体" w:hAnsi="黑体" w:eastAsia="黑体" w:cs="黑体"/>
          <w:bCs/>
          <w:sz w:val="32"/>
          <w:szCs w:val="32"/>
          <w:highlight w:val="none"/>
          <w:lang w:val="en-US" w:eastAsia="zh-CN"/>
        </w:rPr>
        <w:t>投标文件递交及开标地点</w:t>
      </w:r>
      <w:bookmarkEnd w:id="45"/>
      <w:bookmarkEnd w:id="46"/>
      <w:bookmarkEnd w:id="47"/>
    </w:p>
    <w:p w14:paraId="25915A7B">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深圳市罗湖区笋岗街道田心社区红岭北路2088号招商开元中心A座13层</w:t>
      </w:r>
    </w:p>
    <w:p w14:paraId="04F41DA3">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48" w:name="_Toc3122"/>
      <w:bookmarkStart w:id="49" w:name="_Toc30419"/>
      <w:bookmarkStart w:id="50" w:name="_Toc11603"/>
      <w:r>
        <w:rPr>
          <w:rFonts w:hint="eastAsia" w:ascii="黑体" w:hAnsi="黑体" w:eastAsia="黑体" w:cs="黑体"/>
          <w:bCs/>
          <w:kern w:val="2"/>
          <w:sz w:val="32"/>
          <w:szCs w:val="32"/>
          <w:lang w:val="en-US" w:eastAsia="zh-CN" w:bidi="ar-SA"/>
        </w:rPr>
        <w:t>十三、</w:t>
      </w:r>
      <w:r>
        <w:rPr>
          <w:rFonts w:hint="eastAsia" w:ascii="黑体" w:hAnsi="黑体" w:eastAsia="黑体" w:cs="黑体"/>
          <w:bCs/>
          <w:sz w:val="32"/>
          <w:szCs w:val="32"/>
          <w:highlight w:val="none"/>
          <w:lang w:val="en-US" w:eastAsia="zh-CN"/>
        </w:rPr>
        <w:t>联系方式</w:t>
      </w:r>
      <w:bookmarkEnd w:id="48"/>
      <w:bookmarkEnd w:id="49"/>
      <w:bookmarkEnd w:id="50"/>
    </w:p>
    <w:p w14:paraId="3CCDB06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联系人： 黄工（仅限本次项目联系）</w:t>
      </w:r>
    </w:p>
    <w:p w14:paraId="0CB8CCD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 xml:space="preserve">联系电话：0755-25023046 </w:t>
      </w:r>
    </w:p>
    <w:p w14:paraId="618ABDC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电子邮箱：huangxj@plhr.cn</w:t>
      </w:r>
    </w:p>
    <w:p w14:paraId="753469D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p>
    <w:p w14:paraId="4AB2E05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
          <w:bCs/>
          <w:sz w:val="32"/>
          <w:szCs w:val="32"/>
          <w:highlight w:val="none"/>
          <w:lang w:val="en-US" w:eastAsia="zh-CN"/>
        </w:rPr>
      </w:pPr>
      <w:r>
        <w:rPr>
          <w:rFonts w:hint="eastAsia" w:ascii="仿宋" w:hAnsi="仿宋" w:eastAsia="仿宋" w:cs="仿宋"/>
          <w:bCs/>
          <w:sz w:val="32"/>
          <w:szCs w:val="32"/>
          <w:highlight w:val="none"/>
          <w:lang w:val="en-US" w:eastAsia="zh-CN"/>
        </w:rPr>
        <w:t xml:space="preserve">                 </w:t>
      </w:r>
      <w:r>
        <w:rPr>
          <w:rFonts w:hint="eastAsia" w:ascii="Times New Roman" w:hAnsi="Times New Roman" w:eastAsia="仿宋_GB2312" w:cs="仿宋"/>
          <w:bCs/>
          <w:sz w:val="32"/>
          <w:szCs w:val="32"/>
          <w:highlight w:val="none"/>
          <w:lang w:val="en-US" w:eastAsia="zh-CN"/>
        </w:rPr>
        <w:t>深圳市鹏劳人力资源管理有限公司</w:t>
      </w:r>
    </w:p>
    <w:p w14:paraId="4D14B9E3">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 xml:space="preserve"> 2026年3月16日   </w:t>
      </w:r>
    </w:p>
    <w:p w14:paraId="628A7B6B">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1AA8275F">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581474F8">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437506F1">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78BA8562">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46729955">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7366D5D2">
      <w:pPr>
        <w:keepNext w:val="0"/>
        <w:keepLines w:val="0"/>
        <w:pageBreakBefore w:val="0"/>
        <w:widowControl w:val="0"/>
        <w:kinsoku/>
        <w:wordWrap/>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4EF26A68">
      <w:pPr>
        <w:keepNext w:val="0"/>
        <w:keepLines w:val="0"/>
        <w:pageBreakBefore w:val="0"/>
        <w:widowControl w:val="0"/>
        <w:kinsoku/>
        <w:wordWrap/>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48D50312">
      <w:pPr>
        <w:rPr>
          <w:rFonts w:hint="eastAsia"/>
          <w:highlight w:val="none"/>
          <w:lang w:val="en-US" w:eastAsia="zh-CN"/>
        </w:rPr>
      </w:pPr>
    </w:p>
    <w:p w14:paraId="3C3D13D0">
      <w:pPr>
        <w:outlineLvl w:val="0"/>
        <w:rPr>
          <w:rFonts w:hint="eastAsia" w:ascii="仿宋_GB2312" w:hAnsi="仿宋_GB2312" w:eastAsia="仿宋_GB2312" w:cs="仿宋_GB2312"/>
          <w:b w:val="0"/>
          <w:bCs/>
          <w:highlight w:val="none"/>
          <w:lang w:val="en-US" w:eastAsia="zh-CN"/>
        </w:rPr>
      </w:pPr>
      <w:bookmarkStart w:id="51" w:name="_Toc27602"/>
      <w:bookmarkStart w:id="52" w:name="_Toc3314"/>
      <w:r>
        <w:rPr>
          <w:rFonts w:hint="eastAsia" w:ascii="仿宋_GB2312" w:hAnsi="仿宋_GB2312" w:eastAsia="仿宋_GB2312" w:cs="仿宋_GB2312"/>
          <w:b w:val="0"/>
          <w:bCs/>
          <w:highlight w:val="none"/>
          <w:lang w:val="en-US" w:eastAsia="zh-CN"/>
        </w:rPr>
        <w:t>附件1：</w:t>
      </w:r>
      <w:bookmarkEnd w:id="51"/>
      <w:bookmarkEnd w:id="52"/>
      <w:r>
        <w:rPr>
          <w:rFonts w:hint="eastAsia" w:ascii="仿宋_GB2312" w:hAnsi="仿宋_GB2312" w:eastAsia="仿宋_GB2312" w:cs="仿宋_GB2312"/>
          <w:b w:val="0"/>
          <w:bCs/>
          <w:highlight w:val="none"/>
          <w:lang w:val="en-US" w:eastAsia="zh-CN"/>
        </w:rPr>
        <w:t>深圳市鹏劳人力资源管理有限公司采购招标报名表</w:t>
      </w:r>
    </w:p>
    <w:p w14:paraId="6780073F">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outlineLvl w:val="9"/>
        <w:rPr>
          <w:rFonts w:hint="eastAsia"/>
          <w:b w:val="0"/>
          <w:bCs/>
          <w:sz w:val="36"/>
          <w:szCs w:val="36"/>
          <w:highlight w:val="none"/>
        </w:rPr>
      </w:pPr>
      <w:bookmarkStart w:id="53" w:name="_Toc140285777"/>
      <w:bookmarkStart w:id="54" w:name="_Toc29552"/>
      <w:bookmarkStart w:id="55" w:name="_Toc28400"/>
      <w:bookmarkStart w:id="56" w:name="_Toc17995"/>
      <w:bookmarkStart w:id="57" w:name="_Toc11570"/>
      <w:r>
        <w:rPr>
          <w:rFonts w:hint="eastAsia"/>
          <w:b w:val="0"/>
          <w:bCs/>
          <w:sz w:val="36"/>
          <w:szCs w:val="36"/>
          <w:highlight w:val="none"/>
          <w:lang w:val="en-US" w:eastAsia="zh-CN"/>
        </w:rPr>
        <w:t>深圳市鹏劳人力资源管理有限公司采购招标</w:t>
      </w:r>
      <w:r>
        <w:rPr>
          <w:rFonts w:hint="eastAsia"/>
          <w:b w:val="0"/>
          <w:bCs/>
          <w:sz w:val="36"/>
          <w:szCs w:val="36"/>
          <w:highlight w:val="none"/>
        </w:rPr>
        <w:t>报名表</w:t>
      </w:r>
      <w:bookmarkEnd w:id="53"/>
      <w:bookmarkEnd w:id="54"/>
      <w:bookmarkEnd w:id="55"/>
      <w:bookmarkEnd w:id="56"/>
      <w:bookmarkEnd w:id="57"/>
    </w:p>
    <w:tbl>
      <w:tblPr>
        <w:tblStyle w:val="1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1961"/>
        <w:gridCol w:w="1631"/>
        <w:gridCol w:w="904"/>
        <w:gridCol w:w="727"/>
        <w:gridCol w:w="1995"/>
      </w:tblGrid>
      <w:tr w14:paraId="3EF1E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6" w:type="pct"/>
            <w:tcBorders>
              <w:tl2br w:val="nil"/>
              <w:tr2bl w:val="nil"/>
            </w:tcBorders>
            <w:noWrap w:val="0"/>
            <w:vAlign w:val="center"/>
          </w:tcPr>
          <w:p w14:paraId="37B38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项目名称</w:t>
            </w:r>
          </w:p>
        </w:tc>
        <w:tc>
          <w:tcPr>
            <w:tcW w:w="3983" w:type="pct"/>
            <w:gridSpan w:val="5"/>
            <w:tcBorders>
              <w:tl2br w:val="nil"/>
              <w:tr2bl w:val="nil"/>
            </w:tcBorders>
            <w:noWrap w:val="0"/>
            <w:vAlign w:val="center"/>
          </w:tcPr>
          <w:p w14:paraId="4B8DB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4"/>
                <w:szCs w:val="24"/>
                <w:highlight w:val="none"/>
                <w:lang w:val="en-US" w:eastAsia="zh-CN"/>
              </w:rPr>
            </w:pPr>
            <w:r>
              <w:rPr>
                <w:rFonts w:hint="eastAsia" w:ascii="Times New Roman" w:hAnsi="Times New Roman" w:eastAsia="宋体" w:cs="仿宋"/>
                <w:b w:val="0"/>
                <w:bCs/>
                <w:sz w:val="24"/>
                <w:szCs w:val="24"/>
                <w:highlight w:val="none"/>
                <w:lang w:val="en-US" w:eastAsia="zh-CN"/>
              </w:rPr>
              <w:t>深圳市鹏劳人力资源管理有限公司</w:t>
            </w:r>
          </w:p>
          <w:p w14:paraId="7CF30B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仿宋"/>
                <w:b w:val="0"/>
                <w:bCs/>
                <w:sz w:val="21"/>
                <w:szCs w:val="21"/>
                <w:highlight w:val="none"/>
                <w:lang w:val="en-US" w:eastAsia="zh-CN"/>
              </w:rPr>
            </w:pPr>
            <w:r>
              <w:rPr>
                <w:rFonts w:hint="default" w:ascii="Times New Roman" w:hAnsi="Times New Roman" w:eastAsia="宋体" w:cs="仿宋"/>
                <w:b w:val="0"/>
                <w:bCs/>
                <w:sz w:val="21"/>
                <w:szCs w:val="21"/>
                <w:highlight w:val="none"/>
                <w:lang w:val="en-US" w:eastAsia="zh-CN"/>
              </w:rPr>
              <w:t>2026-202</w:t>
            </w:r>
            <w:r>
              <w:rPr>
                <w:rFonts w:hint="eastAsia" w:ascii="Times New Roman" w:hAnsi="Times New Roman" w:eastAsia="宋体" w:cs="仿宋"/>
                <w:b w:val="0"/>
                <w:bCs/>
                <w:sz w:val="21"/>
                <w:szCs w:val="21"/>
                <w:highlight w:val="none"/>
                <w:lang w:val="en-US" w:eastAsia="zh-CN"/>
              </w:rPr>
              <w:t>8</w:t>
            </w:r>
            <w:r>
              <w:rPr>
                <w:rFonts w:hint="default" w:ascii="Times New Roman" w:hAnsi="Times New Roman" w:eastAsia="宋体" w:cs="仿宋"/>
                <w:b w:val="0"/>
                <w:bCs/>
                <w:sz w:val="21"/>
                <w:szCs w:val="21"/>
                <w:highlight w:val="none"/>
                <w:lang w:val="en-US" w:eastAsia="zh-CN"/>
              </w:rPr>
              <w:t>年度某互联网银行外包项目招聘服务项目</w:t>
            </w:r>
          </w:p>
        </w:tc>
      </w:tr>
      <w:tr w14:paraId="28A7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16" w:type="pct"/>
            <w:tcBorders>
              <w:tl2br w:val="nil"/>
              <w:tr2bl w:val="nil"/>
            </w:tcBorders>
            <w:noWrap w:val="0"/>
            <w:vAlign w:val="center"/>
          </w:tcPr>
          <w:p w14:paraId="72AF48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项目编号</w:t>
            </w:r>
          </w:p>
        </w:tc>
        <w:tc>
          <w:tcPr>
            <w:tcW w:w="1982" w:type="pct"/>
            <w:gridSpan w:val="2"/>
            <w:tcBorders>
              <w:tl2br w:val="nil"/>
              <w:tr2bl w:val="nil"/>
            </w:tcBorders>
            <w:noWrap w:val="0"/>
            <w:vAlign w:val="center"/>
          </w:tcPr>
          <w:p w14:paraId="20BBCB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4"/>
                <w:szCs w:val="24"/>
                <w:highlight w:val="none"/>
                <w:lang w:val="en-US" w:eastAsia="zh-CN"/>
              </w:rPr>
              <w:t>PLHR-ZB-FW-202603</w:t>
            </w:r>
          </w:p>
        </w:tc>
        <w:tc>
          <w:tcPr>
            <w:tcW w:w="900" w:type="pct"/>
            <w:gridSpan w:val="2"/>
            <w:tcBorders>
              <w:tl2br w:val="nil"/>
              <w:tr2bl w:val="nil"/>
            </w:tcBorders>
            <w:noWrap w:val="0"/>
            <w:vAlign w:val="center"/>
          </w:tcPr>
          <w:p w14:paraId="74BBD2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所投包号</w:t>
            </w:r>
          </w:p>
        </w:tc>
        <w:tc>
          <w:tcPr>
            <w:tcW w:w="1100" w:type="pct"/>
            <w:tcBorders>
              <w:tl2br w:val="nil"/>
              <w:tr2bl w:val="nil"/>
            </w:tcBorders>
            <w:noWrap w:val="0"/>
            <w:vAlign w:val="center"/>
          </w:tcPr>
          <w:p w14:paraId="24FEFF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w:t>
            </w:r>
          </w:p>
        </w:tc>
      </w:tr>
      <w:tr w14:paraId="149F7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16" w:type="pct"/>
            <w:tcBorders>
              <w:tl2br w:val="nil"/>
              <w:tr2bl w:val="nil"/>
            </w:tcBorders>
            <w:noWrap w:val="0"/>
            <w:vAlign w:val="center"/>
          </w:tcPr>
          <w:p w14:paraId="35F301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lang w:val="en-US" w:eastAsia="zh-CN"/>
              </w:rPr>
              <w:t>投标人</w:t>
            </w:r>
            <w:r>
              <w:rPr>
                <w:rFonts w:hint="eastAsia" w:ascii="Times New Roman" w:hAnsi="Times New Roman" w:eastAsia="宋体" w:cs="仿宋"/>
                <w:b w:val="0"/>
                <w:bCs/>
                <w:sz w:val="21"/>
                <w:szCs w:val="21"/>
                <w:highlight w:val="none"/>
              </w:rPr>
              <w:t>全称</w:t>
            </w:r>
          </w:p>
          <w:p w14:paraId="306298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eastAsia="zh-CN"/>
              </w:rPr>
            </w:pPr>
            <w:r>
              <w:rPr>
                <w:rFonts w:hint="eastAsia" w:ascii="Times New Roman" w:hAnsi="Times New Roman" w:eastAsia="宋体" w:cs="仿宋"/>
                <w:b w:val="0"/>
                <w:bCs/>
                <w:sz w:val="21"/>
                <w:szCs w:val="21"/>
                <w:highlight w:val="none"/>
                <w:lang w:eastAsia="zh-CN"/>
              </w:rPr>
              <w:t>（</w:t>
            </w:r>
            <w:r>
              <w:rPr>
                <w:rFonts w:hint="eastAsia" w:ascii="Times New Roman" w:hAnsi="Times New Roman" w:eastAsia="宋体" w:cs="仿宋"/>
                <w:b w:val="0"/>
                <w:bCs/>
                <w:sz w:val="21"/>
                <w:szCs w:val="21"/>
                <w:highlight w:val="none"/>
                <w:lang w:val="en-US" w:eastAsia="zh-CN"/>
              </w:rPr>
              <w:t>加盖公章</w:t>
            </w:r>
            <w:r>
              <w:rPr>
                <w:rFonts w:hint="eastAsia" w:ascii="Times New Roman" w:hAnsi="Times New Roman" w:eastAsia="宋体" w:cs="仿宋"/>
                <w:b w:val="0"/>
                <w:bCs/>
                <w:sz w:val="21"/>
                <w:szCs w:val="21"/>
                <w:highlight w:val="none"/>
                <w:lang w:eastAsia="zh-CN"/>
              </w:rPr>
              <w:t>）</w:t>
            </w:r>
          </w:p>
        </w:tc>
        <w:tc>
          <w:tcPr>
            <w:tcW w:w="3983" w:type="pct"/>
            <w:gridSpan w:val="5"/>
            <w:tcBorders>
              <w:tl2br w:val="nil"/>
              <w:tr2bl w:val="nil"/>
            </w:tcBorders>
            <w:noWrap w:val="0"/>
            <w:vAlign w:val="center"/>
          </w:tcPr>
          <w:p w14:paraId="50E2FB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0C5D5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16" w:type="pct"/>
            <w:tcBorders>
              <w:tl2br w:val="nil"/>
              <w:tr2bl w:val="nil"/>
            </w:tcBorders>
            <w:noWrap w:val="0"/>
            <w:vAlign w:val="center"/>
          </w:tcPr>
          <w:p w14:paraId="7DD71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详细地址</w:t>
            </w:r>
          </w:p>
        </w:tc>
        <w:tc>
          <w:tcPr>
            <w:tcW w:w="1982" w:type="pct"/>
            <w:gridSpan w:val="2"/>
            <w:tcBorders>
              <w:tl2br w:val="nil"/>
              <w:tr2bl w:val="nil"/>
            </w:tcBorders>
            <w:noWrap w:val="0"/>
            <w:vAlign w:val="center"/>
          </w:tcPr>
          <w:p w14:paraId="3214A6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c>
          <w:tcPr>
            <w:tcW w:w="900" w:type="pct"/>
            <w:gridSpan w:val="2"/>
            <w:tcBorders>
              <w:tl2br w:val="nil"/>
              <w:tr2bl w:val="nil"/>
            </w:tcBorders>
            <w:noWrap w:val="0"/>
            <w:vAlign w:val="center"/>
          </w:tcPr>
          <w:p w14:paraId="1A3C7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邮政编码</w:t>
            </w:r>
          </w:p>
        </w:tc>
        <w:tc>
          <w:tcPr>
            <w:tcW w:w="1100" w:type="pct"/>
            <w:tcBorders>
              <w:tl2br w:val="nil"/>
              <w:tr2bl w:val="nil"/>
            </w:tcBorders>
            <w:noWrap w:val="0"/>
            <w:vAlign w:val="center"/>
          </w:tcPr>
          <w:p w14:paraId="7AE1FD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0B931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6" w:type="pct"/>
            <w:tcBorders>
              <w:tl2br w:val="nil"/>
              <w:tr2bl w:val="nil"/>
            </w:tcBorders>
            <w:noWrap w:val="0"/>
            <w:vAlign w:val="center"/>
          </w:tcPr>
          <w:p w14:paraId="3ED0A5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法定代表人</w:t>
            </w:r>
          </w:p>
          <w:p w14:paraId="3007B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（负责人）</w:t>
            </w:r>
          </w:p>
        </w:tc>
        <w:tc>
          <w:tcPr>
            <w:tcW w:w="1982" w:type="pct"/>
            <w:gridSpan w:val="2"/>
            <w:tcBorders>
              <w:tl2br w:val="nil"/>
              <w:tr2bl w:val="nil"/>
            </w:tcBorders>
            <w:noWrap w:val="0"/>
            <w:vAlign w:val="center"/>
          </w:tcPr>
          <w:p w14:paraId="5030D0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仿宋"/>
                <w:b w:val="0"/>
                <w:bCs/>
                <w:sz w:val="21"/>
                <w:szCs w:val="21"/>
                <w:highlight w:val="none"/>
              </w:rPr>
            </w:pPr>
          </w:p>
        </w:tc>
        <w:tc>
          <w:tcPr>
            <w:tcW w:w="900" w:type="pct"/>
            <w:gridSpan w:val="2"/>
            <w:tcBorders>
              <w:tl2br w:val="nil"/>
              <w:tr2bl w:val="nil"/>
            </w:tcBorders>
            <w:noWrap w:val="0"/>
            <w:vAlign w:val="center"/>
          </w:tcPr>
          <w:p w14:paraId="2A6C47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注册资金</w:t>
            </w:r>
          </w:p>
        </w:tc>
        <w:tc>
          <w:tcPr>
            <w:tcW w:w="1100" w:type="pct"/>
            <w:tcBorders>
              <w:tl2br w:val="nil"/>
              <w:tr2bl w:val="nil"/>
            </w:tcBorders>
            <w:noWrap w:val="0"/>
            <w:vAlign w:val="center"/>
          </w:tcPr>
          <w:p w14:paraId="04858C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0A824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16" w:type="pct"/>
            <w:tcBorders>
              <w:tl2br w:val="nil"/>
              <w:tr2bl w:val="nil"/>
            </w:tcBorders>
            <w:noWrap w:val="0"/>
            <w:vAlign w:val="center"/>
          </w:tcPr>
          <w:p w14:paraId="57BAB1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联系电话</w:t>
            </w:r>
          </w:p>
        </w:tc>
        <w:tc>
          <w:tcPr>
            <w:tcW w:w="1982" w:type="pct"/>
            <w:gridSpan w:val="2"/>
            <w:tcBorders>
              <w:tl2br w:val="nil"/>
              <w:tr2bl w:val="nil"/>
            </w:tcBorders>
            <w:noWrap w:val="0"/>
            <w:vAlign w:val="center"/>
          </w:tcPr>
          <w:p w14:paraId="6A0444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仿宋"/>
                <w:b w:val="0"/>
                <w:bCs/>
                <w:sz w:val="21"/>
                <w:szCs w:val="21"/>
                <w:highlight w:val="none"/>
              </w:rPr>
            </w:pPr>
          </w:p>
        </w:tc>
        <w:tc>
          <w:tcPr>
            <w:tcW w:w="900" w:type="pct"/>
            <w:gridSpan w:val="2"/>
            <w:tcBorders>
              <w:tl2br w:val="nil"/>
              <w:tr2bl w:val="nil"/>
            </w:tcBorders>
            <w:noWrap w:val="0"/>
            <w:vAlign w:val="center"/>
          </w:tcPr>
          <w:p w14:paraId="001582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传真</w:t>
            </w:r>
          </w:p>
        </w:tc>
        <w:tc>
          <w:tcPr>
            <w:tcW w:w="1100" w:type="pct"/>
            <w:tcBorders>
              <w:tl2br w:val="nil"/>
              <w:tr2bl w:val="nil"/>
            </w:tcBorders>
            <w:noWrap w:val="0"/>
            <w:vAlign w:val="center"/>
          </w:tcPr>
          <w:p w14:paraId="3F9A28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109B4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16" w:type="pct"/>
            <w:vMerge w:val="restart"/>
            <w:tcBorders>
              <w:tl2br w:val="nil"/>
              <w:tr2bl w:val="nil"/>
            </w:tcBorders>
            <w:noWrap w:val="0"/>
            <w:vAlign w:val="center"/>
          </w:tcPr>
          <w:p w14:paraId="2E9922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rPr>
              <w:t>投标联系人</w:t>
            </w:r>
            <w:r>
              <w:rPr>
                <w:rFonts w:hint="eastAsia" w:ascii="Times New Roman" w:hAnsi="Times New Roman" w:eastAsia="宋体" w:cs="仿宋"/>
                <w:b w:val="0"/>
                <w:bCs/>
                <w:sz w:val="21"/>
                <w:szCs w:val="21"/>
                <w:highlight w:val="none"/>
                <w:lang w:val="en-US" w:eastAsia="zh-CN"/>
              </w:rPr>
              <w:t xml:space="preserve">   </w:t>
            </w:r>
          </w:p>
          <w:p w14:paraId="69B7B6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eastAsia="zh-CN"/>
              </w:rPr>
            </w:pPr>
            <w:r>
              <w:rPr>
                <w:rFonts w:hint="eastAsia" w:ascii="Times New Roman" w:hAnsi="Times New Roman" w:eastAsia="宋体" w:cs="仿宋"/>
                <w:b w:val="0"/>
                <w:bCs/>
                <w:sz w:val="21"/>
                <w:szCs w:val="21"/>
                <w:highlight w:val="none"/>
                <w:lang w:eastAsia="zh-CN"/>
              </w:rPr>
              <w:t>（</w:t>
            </w:r>
            <w:r>
              <w:rPr>
                <w:rFonts w:hint="eastAsia" w:ascii="Times New Roman" w:hAnsi="Times New Roman" w:eastAsia="宋体" w:cs="仿宋"/>
                <w:b w:val="0"/>
                <w:bCs/>
                <w:sz w:val="21"/>
                <w:szCs w:val="21"/>
                <w:highlight w:val="none"/>
                <w:lang w:val="en-US" w:eastAsia="zh-CN"/>
              </w:rPr>
              <w:t>投标代表</w:t>
            </w:r>
            <w:r>
              <w:rPr>
                <w:rFonts w:hint="eastAsia" w:ascii="Times New Roman" w:hAnsi="Times New Roman" w:eastAsia="宋体" w:cs="仿宋"/>
                <w:b w:val="0"/>
                <w:bCs/>
                <w:sz w:val="21"/>
                <w:szCs w:val="21"/>
                <w:highlight w:val="none"/>
                <w:lang w:eastAsia="zh-CN"/>
              </w:rPr>
              <w:t>）</w:t>
            </w:r>
          </w:p>
        </w:tc>
        <w:tc>
          <w:tcPr>
            <w:tcW w:w="1082" w:type="pct"/>
            <w:tcBorders>
              <w:tl2br w:val="nil"/>
              <w:tr2bl w:val="nil"/>
            </w:tcBorders>
            <w:noWrap w:val="0"/>
            <w:vAlign w:val="center"/>
          </w:tcPr>
          <w:p w14:paraId="06FB88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姓名</w:t>
            </w:r>
          </w:p>
        </w:tc>
        <w:tc>
          <w:tcPr>
            <w:tcW w:w="1399" w:type="pct"/>
            <w:gridSpan w:val="2"/>
            <w:tcBorders>
              <w:tl2br w:val="nil"/>
              <w:tr2bl w:val="nil"/>
            </w:tcBorders>
            <w:noWrap w:val="0"/>
            <w:vAlign w:val="center"/>
          </w:tcPr>
          <w:p w14:paraId="55F3F8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电话号码（手机）</w:t>
            </w:r>
          </w:p>
        </w:tc>
        <w:tc>
          <w:tcPr>
            <w:tcW w:w="1500" w:type="pct"/>
            <w:gridSpan w:val="2"/>
            <w:tcBorders>
              <w:tl2br w:val="nil"/>
              <w:tr2bl w:val="nil"/>
            </w:tcBorders>
            <w:noWrap w:val="0"/>
            <w:vAlign w:val="center"/>
          </w:tcPr>
          <w:p w14:paraId="775D74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E-mail</w:t>
            </w:r>
          </w:p>
        </w:tc>
      </w:tr>
      <w:tr w14:paraId="51FFF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16" w:type="pct"/>
            <w:vMerge w:val="continue"/>
            <w:tcBorders>
              <w:tl2br w:val="nil"/>
              <w:tr2bl w:val="nil"/>
            </w:tcBorders>
            <w:noWrap w:val="0"/>
            <w:vAlign w:val="center"/>
          </w:tcPr>
          <w:p w14:paraId="5A0BBE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c>
          <w:tcPr>
            <w:tcW w:w="1082" w:type="pct"/>
            <w:tcBorders>
              <w:tl2br w:val="nil"/>
              <w:tr2bl w:val="nil"/>
            </w:tcBorders>
            <w:noWrap w:val="0"/>
            <w:vAlign w:val="center"/>
          </w:tcPr>
          <w:p w14:paraId="6CEC2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c>
          <w:tcPr>
            <w:tcW w:w="1399" w:type="pct"/>
            <w:gridSpan w:val="2"/>
            <w:tcBorders>
              <w:tl2br w:val="nil"/>
              <w:tr2bl w:val="nil"/>
            </w:tcBorders>
            <w:noWrap w:val="0"/>
            <w:vAlign w:val="center"/>
          </w:tcPr>
          <w:p w14:paraId="318D1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c>
          <w:tcPr>
            <w:tcW w:w="1500" w:type="pct"/>
            <w:gridSpan w:val="2"/>
            <w:tcBorders>
              <w:tl2br w:val="nil"/>
              <w:tr2bl w:val="nil"/>
            </w:tcBorders>
            <w:noWrap w:val="0"/>
            <w:vAlign w:val="center"/>
          </w:tcPr>
          <w:p w14:paraId="685D7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r>
      <w:tr w14:paraId="68D67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16" w:type="pct"/>
            <w:tcBorders>
              <w:tl2br w:val="nil"/>
              <w:tr2bl w:val="nil"/>
            </w:tcBorders>
            <w:noWrap w:val="0"/>
            <w:vAlign w:val="center"/>
          </w:tcPr>
          <w:p w14:paraId="333CE84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报名文件清单</w:t>
            </w:r>
          </w:p>
        </w:tc>
        <w:tc>
          <w:tcPr>
            <w:tcW w:w="3983" w:type="pct"/>
            <w:gridSpan w:val="5"/>
            <w:tcBorders>
              <w:tl2br w:val="nil"/>
              <w:tr2bl w:val="nil"/>
            </w:tcBorders>
            <w:noWrap w:val="0"/>
            <w:vAlign w:val="center"/>
          </w:tcPr>
          <w:p w14:paraId="27673E0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《统一社会信用代码营业执照》副本或组织机构代码证</w:t>
            </w:r>
            <w:r>
              <w:rPr>
                <w:rFonts w:hint="eastAsia" w:ascii="Times New Roman" w:hAnsi="Times New Roman" w:eastAsia="宋体" w:cs="仿宋"/>
                <w:b w:val="0"/>
                <w:bCs/>
                <w:sz w:val="21"/>
                <w:szCs w:val="21"/>
                <w:highlight w:val="none"/>
                <w:lang w:val="en-US" w:eastAsia="zh-CN"/>
              </w:rPr>
              <w:sym w:font="Wingdings" w:char="00A8"/>
            </w:r>
          </w:p>
          <w:p w14:paraId="5927E32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法定代表人身份证明书及法人身份证复印件（格式自拟）</w:t>
            </w:r>
            <w:r>
              <w:rPr>
                <w:rFonts w:hint="eastAsia" w:ascii="宋体" w:hAnsi="宋体" w:eastAsia="宋体" w:cs="宋体"/>
                <w:bCs/>
                <w:szCs w:val="21"/>
                <w:highlight w:val="none"/>
                <w:lang w:val="en-US" w:eastAsia="zh-CN"/>
              </w:rPr>
              <w:sym w:font="Wingdings" w:char="00A8"/>
            </w:r>
          </w:p>
          <w:p w14:paraId="570815D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宋体" w:hAnsi="宋体" w:eastAsia="宋体" w:cs="宋体"/>
                <w:bCs/>
                <w:szCs w:val="21"/>
                <w:highlight w:val="none"/>
                <w:lang w:val="en-US" w:eastAsia="zh-CN"/>
              </w:rPr>
              <w:t>法定代表人授权委托书及被委托人身份证复印件（格式自拟）</w:t>
            </w:r>
            <w:r>
              <w:rPr>
                <w:rFonts w:hint="eastAsia" w:ascii="宋体" w:hAnsi="宋体" w:eastAsia="宋体" w:cs="宋体"/>
                <w:bCs/>
                <w:szCs w:val="21"/>
                <w:highlight w:val="none"/>
                <w:lang w:val="en-US" w:eastAsia="zh-CN"/>
              </w:rPr>
              <w:sym w:font="Wingdings" w:char="00A8"/>
            </w:r>
          </w:p>
          <w:p w14:paraId="37BF235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trike w:val="0"/>
                <w:dstrike w:val="0"/>
                <w:sz w:val="21"/>
                <w:szCs w:val="21"/>
                <w:highlight w:val="none"/>
                <w:lang w:val="en-US" w:eastAsia="zh-CN"/>
              </w:rPr>
              <w:t>《人力资源服务许可证》</w:t>
            </w:r>
            <w:r>
              <w:rPr>
                <w:rFonts w:hint="eastAsia" w:ascii="Times New Roman" w:hAnsi="Times New Roman" w:eastAsia="宋体" w:cs="仿宋"/>
                <w:b w:val="0"/>
                <w:bCs/>
                <w:strike w:val="0"/>
                <w:dstrike w:val="0"/>
                <w:sz w:val="21"/>
                <w:szCs w:val="21"/>
                <w:highlight w:val="none"/>
                <w:lang w:val="en-US" w:eastAsia="zh-CN"/>
              </w:rPr>
              <w:sym w:font="Wingdings" w:char="00A8"/>
            </w:r>
          </w:p>
        </w:tc>
      </w:tr>
      <w:tr w14:paraId="20BE1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016" w:type="pct"/>
            <w:tcBorders>
              <w:tl2br w:val="nil"/>
              <w:tr2bl w:val="nil"/>
            </w:tcBorders>
            <w:noWrap w:val="0"/>
            <w:vAlign w:val="center"/>
          </w:tcPr>
          <w:p w14:paraId="5B62EA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备注</w:t>
            </w:r>
          </w:p>
        </w:tc>
        <w:tc>
          <w:tcPr>
            <w:tcW w:w="3983" w:type="pct"/>
            <w:gridSpan w:val="5"/>
            <w:tcBorders>
              <w:tl2br w:val="nil"/>
              <w:tr2bl w:val="nil"/>
            </w:tcBorders>
            <w:noWrap w:val="0"/>
            <w:vAlign w:val="bottom"/>
          </w:tcPr>
          <w:p w14:paraId="3016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p w14:paraId="2E97D5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bl>
    <w:p w14:paraId="62E5748B">
      <w:pPr>
        <w:keepNext w:val="0"/>
        <w:keepLines w:val="0"/>
        <w:pageBreakBefore w:val="0"/>
        <w:widowControl/>
        <w:numPr>
          <w:ilvl w:val="0"/>
          <w:numId w:val="0"/>
        </w:numPr>
        <w:kinsoku/>
        <w:wordWrap w:val="0"/>
        <w:overflowPunct/>
        <w:topLinePunct w:val="0"/>
        <w:autoSpaceDE/>
        <w:autoSpaceDN/>
        <w:bidi w:val="0"/>
        <w:adjustRightInd/>
        <w:snapToGrid/>
        <w:spacing w:beforeLines="30" w:line="240" w:lineRule="auto"/>
        <w:ind w:firstLine="440" w:firstLineChars="200"/>
        <w:jc w:val="both"/>
        <w:textAlignment w:val="auto"/>
        <w:rPr>
          <w:rFonts w:hint="eastAsia" w:ascii="Times New Roman" w:hAnsi="Times New Roman" w:eastAsia="仿宋_GB2312" w:cs="仿宋"/>
          <w:bCs/>
          <w:sz w:val="22"/>
          <w:szCs w:val="22"/>
          <w:highlight w:val="none"/>
          <w:lang w:val="en-US" w:eastAsia="zh-CN"/>
        </w:rPr>
      </w:pPr>
      <w:r>
        <w:rPr>
          <w:rFonts w:hint="eastAsia" w:ascii="Times New Roman" w:hAnsi="Times New Roman" w:eastAsia="仿宋_GB2312" w:cs="仿宋"/>
          <w:bCs/>
          <w:sz w:val="22"/>
          <w:szCs w:val="22"/>
          <w:highlight w:val="none"/>
          <w:lang w:val="en-US" w:eastAsia="zh-CN"/>
        </w:rPr>
        <w:t>填报说明：本表为招标公告附件，请有意向参与的投标人填报本表，并按序提交资格文件电子版（加盖公章扫描PDF格式，与本表压缩至文件包，以“拟投标人全称-响应文件”为格式，于2026年3月21日12时前发送至huangxj@plhr.cn）</w:t>
      </w:r>
    </w:p>
    <w:p w14:paraId="0969DD44">
      <w:pPr>
        <w:rPr>
          <w:rFonts w:hint="eastAsia"/>
          <w:b/>
          <w:bCs w:val="0"/>
          <w:highlight w:val="none"/>
        </w:rPr>
      </w:pPr>
    </w:p>
    <w:p w14:paraId="1297E6C1">
      <w:pPr>
        <w:rPr>
          <w:rFonts w:hint="eastAsia"/>
          <w:b/>
          <w:bCs w:val="0"/>
          <w:highlight w:val="none"/>
        </w:rPr>
      </w:pPr>
    </w:p>
    <w:p w14:paraId="36B57902">
      <w:pPr>
        <w:rPr>
          <w:rFonts w:hint="eastAsia"/>
          <w:b/>
          <w:bCs w:val="0"/>
          <w:highlight w:val="none"/>
        </w:rPr>
      </w:pPr>
    </w:p>
    <w:p w14:paraId="7BE98F49">
      <w:pPr>
        <w:rPr>
          <w:rFonts w:hint="eastAsia"/>
          <w:b/>
          <w:bCs w:val="0"/>
          <w:highlight w:val="none"/>
        </w:rPr>
      </w:pPr>
    </w:p>
    <w:p w14:paraId="22F9AFCA">
      <w:pPr>
        <w:rPr>
          <w:rFonts w:hint="eastAsia"/>
          <w:b/>
          <w:bCs w:val="0"/>
          <w:highlight w:val="none"/>
        </w:rPr>
      </w:pPr>
    </w:p>
    <w:p w14:paraId="3D9A04D1">
      <w:pPr>
        <w:pStyle w:val="3"/>
        <w:pageBreakBefore w:val="0"/>
        <w:kinsoku/>
        <w:overflowPunct/>
        <w:topLinePunct w:val="0"/>
        <w:autoSpaceDE/>
        <w:autoSpaceDN/>
        <w:bidi w:val="0"/>
        <w:spacing w:line="560" w:lineRule="exact"/>
        <w:ind w:left="0" w:leftChars="0"/>
        <w:jc w:val="center"/>
        <w:textAlignment w:val="auto"/>
        <w:outlineLvl w:val="0"/>
        <w:rPr>
          <w:rFonts w:hint="default" w:ascii="黑体" w:hAnsi="黑体" w:eastAsia="黑体" w:cs="黑体"/>
          <w:b w:val="0"/>
          <w:bCs/>
          <w:sz w:val="32"/>
          <w:szCs w:val="32"/>
          <w:highlight w:val="none"/>
          <w:lang w:val="en-US" w:eastAsia="zh-CN"/>
        </w:rPr>
      </w:pPr>
      <w:bookmarkStart w:id="58" w:name="_Toc20903"/>
      <w:bookmarkStart w:id="59" w:name="_Toc15434"/>
      <w:bookmarkStart w:id="60" w:name="_Toc21147"/>
      <w:bookmarkStart w:id="61" w:name="第二部分"/>
      <w:r>
        <w:rPr>
          <w:rFonts w:hint="eastAsia" w:ascii="黑体" w:hAnsi="黑体" w:cs="黑体"/>
          <w:b w:val="0"/>
          <w:bCs/>
          <w:sz w:val="32"/>
          <w:szCs w:val="32"/>
          <w:highlight w:val="none"/>
          <w:lang w:val="en-US" w:eastAsia="zh-CN"/>
        </w:rPr>
        <w:t>第二部分 招标文件</w:t>
      </w:r>
      <w:bookmarkEnd w:id="58"/>
      <w:bookmarkEnd w:id="59"/>
      <w:bookmarkEnd w:id="60"/>
    </w:p>
    <w:bookmarkEnd w:id="61"/>
    <w:p w14:paraId="2D4B3791">
      <w:pPr>
        <w:pStyle w:val="3"/>
        <w:pageBreakBefore w:val="0"/>
        <w:kinsoku/>
        <w:overflowPunct/>
        <w:topLinePunct w:val="0"/>
        <w:autoSpaceDE/>
        <w:autoSpaceDN/>
        <w:bidi w:val="0"/>
        <w:spacing w:line="560" w:lineRule="exact"/>
        <w:ind w:left="0" w:leftChars="0"/>
        <w:jc w:val="center"/>
        <w:textAlignment w:val="auto"/>
        <w:outlineLvl w:val="0"/>
        <w:rPr>
          <w:rFonts w:hint="default" w:ascii="黑体" w:hAnsi="黑体" w:eastAsia="黑体" w:cs="黑体"/>
          <w:b w:val="0"/>
          <w:bCs/>
          <w:sz w:val="32"/>
          <w:szCs w:val="32"/>
          <w:highlight w:val="none"/>
          <w:lang w:val="en-US" w:eastAsia="zh-CN"/>
        </w:rPr>
      </w:pPr>
      <w:bookmarkStart w:id="62" w:name="_Toc24627"/>
      <w:bookmarkStart w:id="63" w:name="_Toc8347"/>
      <w:bookmarkStart w:id="64" w:name="_Toc19154"/>
      <w:r>
        <w:rPr>
          <w:rFonts w:hint="eastAsia" w:ascii="黑体" w:hAnsi="黑体" w:eastAsia="黑体" w:cs="黑体"/>
          <w:b w:val="0"/>
          <w:bCs/>
          <w:sz w:val="32"/>
          <w:szCs w:val="32"/>
          <w:highlight w:val="none"/>
        </w:rPr>
        <w:t>第一章 项目概况</w:t>
      </w:r>
      <w:bookmarkEnd w:id="8"/>
      <w:r>
        <w:rPr>
          <w:rFonts w:hint="eastAsia" w:ascii="黑体" w:hAnsi="黑体" w:cs="黑体"/>
          <w:b w:val="0"/>
          <w:bCs/>
          <w:sz w:val="32"/>
          <w:szCs w:val="32"/>
          <w:highlight w:val="none"/>
          <w:lang w:val="en-US" w:eastAsia="zh-CN"/>
        </w:rPr>
        <w:t>及招标程序</w:t>
      </w:r>
      <w:bookmarkEnd w:id="62"/>
      <w:bookmarkEnd w:id="63"/>
      <w:bookmarkEnd w:id="64"/>
    </w:p>
    <w:p w14:paraId="4D306F8F">
      <w:pPr>
        <w:pStyle w:val="4"/>
        <w:pageBreakBefore w:val="0"/>
        <w:kinsoku/>
        <w:wordWrap/>
        <w:overflowPunct/>
        <w:topLinePunct w:val="0"/>
        <w:autoSpaceDE/>
        <w:autoSpaceDN/>
        <w:bidi w:val="0"/>
        <w:spacing w:before="0" w:after="0" w:line="560" w:lineRule="exact"/>
        <w:ind w:left="0" w:leftChars="0" w:firstLine="560"/>
        <w:textAlignment w:val="auto"/>
        <w:outlineLvl w:val="0"/>
        <w:rPr>
          <w:rFonts w:hint="eastAsia" w:ascii="黑体" w:hAnsi="黑体" w:eastAsia="黑体" w:cs="黑体"/>
          <w:b w:val="0"/>
          <w:bCs/>
          <w:sz w:val="32"/>
          <w:szCs w:val="32"/>
          <w:highlight w:val="none"/>
          <w:lang w:val="zh-CN"/>
        </w:rPr>
      </w:pPr>
      <w:bookmarkStart w:id="65" w:name="_Toc2422"/>
      <w:bookmarkStart w:id="66" w:name="_Toc25013"/>
      <w:bookmarkStart w:id="67" w:name="_Toc18098"/>
      <w:r>
        <w:rPr>
          <w:rFonts w:hint="eastAsia" w:ascii="黑体" w:hAnsi="黑体" w:eastAsia="黑体" w:cs="黑体"/>
          <w:b w:val="0"/>
          <w:bCs/>
          <w:sz w:val="32"/>
          <w:szCs w:val="32"/>
          <w:highlight w:val="none"/>
          <w:lang w:val="zh-CN"/>
        </w:rPr>
        <w:t>一、项目名称</w:t>
      </w:r>
      <w:bookmarkEnd w:id="65"/>
      <w:bookmarkEnd w:id="66"/>
      <w:bookmarkEnd w:id="67"/>
    </w:p>
    <w:p w14:paraId="7A30417D">
      <w:pPr>
        <w:pStyle w:val="10"/>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eastAsia" w:ascii="Times New Roman" w:hAnsi="Times New Roman" w:eastAsia="仿宋_GB2312" w:cs="仿宋"/>
          <w:b w:val="0"/>
          <w:bCs/>
          <w:kern w:val="2"/>
          <w:sz w:val="32"/>
          <w:szCs w:val="32"/>
          <w:highlight w:val="none"/>
          <w:lang w:val="en-US" w:eastAsia="zh-CN"/>
        </w:rPr>
      </w:pPr>
      <w:r>
        <w:rPr>
          <w:rFonts w:hint="eastAsia" w:ascii="Times New Roman" w:hAnsi="Times New Roman" w:eastAsia="仿宋_GB2312" w:cs="仿宋"/>
          <w:b w:val="0"/>
          <w:bCs/>
          <w:kern w:val="2"/>
          <w:sz w:val="32"/>
          <w:szCs w:val="32"/>
          <w:highlight w:val="none"/>
          <w:lang w:val="zh-CN"/>
        </w:rPr>
        <w:t>深圳市鹏劳人力资源管理有限公司</w:t>
      </w:r>
      <w:r>
        <w:rPr>
          <w:rFonts w:hint="eastAsia" w:ascii="Times New Roman" w:hAnsi="Times New Roman" w:eastAsia="仿宋_GB2312" w:cs="仿宋_GB2312"/>
          <w:bCs/>
          <w:sz w:val="32"/>
          <w:szCs w:val="32"/>
          <w:highlight w:val="none"/>
          <w:lang w:eastAsia="zh-CN"/>
        </w:rPr>
        <w:t>202</w:t>
      </w:r>
      <w:r>
        <w:rPr>
          <w:rFonts w:hint="eastAsia" w:ascii="Times New Roman" w:hAnsi="Times New Roman" w:eastAsia="仿宋_GB2312" w:cs="仿宋_GB2312"/>
          <w:bCs/>
          <w:sz w:val="32"/>
          <w:szCs w:val="32"/>
          <w:highlight w:val="none"/>
          <w:lang w:val="en-US" w:eastAsia="zh-CN"/>
        </w:rPr>
        <w:t>6-2027</w:t>
      </w:r>
      <w:r>
        <w:rPr>
          <w:rFonts w:hint="eastAsia" w:ascii="Times New Roman" w:hAnsi="Times New Roman" w:eastAsia="仿宋_GB2312" w:cs="仿宋_GB2312"/>
          <w:bCs/>
          <w:sz w:val="32"/>
          <w:szCs w:val="32"/>
          <w:highlight w:val="none"/>
          <w:lang w:eastAsia="zh-CN"/>
        </w:rPr>
        <w:t>年度某互联网银行外包项目</w:t>
      </w:r>
      <w:r>
        <w:rPr>
          <w:rFonts w:hint="eastAsia" w:ascii="Times New Roman" w:hAnsi="Times New Roman" w:eastAsia="仿宋_GB2312" w:cs="仿宋_GB2312"/>
          <w:bCs/>
          <w:strike w:val="0"/>
          <w:sz w:val="32"/>
          <w:szCs w:val="32"/>
          <w:highlight w:val="none"/>
          <w:lang w:eastAsia="zh-CN"/>
        </w:rPr>
        <w:t>招聘</w:t>
      </w:r>
      <w:r>
        <w:rPr>
          <w:rFonts w:hint="eastAsia" w:ascii="Times New Roman" w:hAnsi="Times New Roman" w:eastAsia="仿宋_GB2312" w:cs="仿宋_GB2312"/>
          <w:bCs/>
          <w:sz w:val="32"/>
          <w:szCs w:val="32"/>
          <w:highlight w:val="none"/>
          <w:lang w:eastAsia="zh-CN"/>
        </w:rPr>
        <w:t>服务项目</w:t>
      </w:r>
    </w:p>
    <w:p w14:paraId="40A92D22">
      <w:pPr>
        <w:pStyle w:val="4"/>
        <w:pageBreakBefore w:val="0"/>
        <w:kinsoku/>
        <w:wordWrap/>
        <w:overflowPunct/>
        <w:topLinePunct w:val="0"/>
        <w:autoSpaceDE/>
        <w:autoSpaceDN/>
        <w:bidi w:val="0"/>
        <w:spacing w:before="0" w:after="0" w:line="560" w:lineRule="exact"/>
        <w:ind w:left="0" w:leftChars="0" w:firstLine="560"/>
        <w:textAlignment w:val="auto"/>
        <w:outlineLvl w:val="0"/>
        <w:rPr>
          <w:rFonts w:hint="eastAsia" w:ascii="黑体" w:hAnsi="黑体" w:eastAsia="黑体" w:cs="黑体"/>
          <w:b w:val="0"/>
          <w:bCs/>
          <w:sz w:val="32"/>
          <w:szCs w:val="32"/>
          <w:highlight w:val="none"/>
          <w:lang w:val="zh-CN"/>
        </w:rPr>
      </w:pPr>
      <w:bookmarkStart w:id="68" w:name="_Toc7270"/>
      <w:bookmarkStart w:id="69" w:name="_Toc4066"/>
      <w:bookmarkStart w:id="70" w:name="_Toc7432"/>
      <w:r>
        <w:rPr>
          <w:rFonts w:hint="eastAsia" w:ascii="黑体" w:hAnsi="黑体" w:eastAsia="黑体" w:cs="黑体"/>
          <w:b w:val="0"/>
          <w:bCs/>
          <w:sz w:val="32"/>
          <w:szCs w:val="32"/>
          <w:highlight w:val="none"/>
          <w:lang w:val="zh-CN"/>
        </w:rPr>
        <w:t>二、招标编号</w:t>
      </w:r>
      <w:bookmarkEnd w:id="68"/>
      <w:bookmarkEnd w:id="69"/>
      <w:bookmarkEnd w:id="70"/>
    </w:p>
    <w:p w14:paraId="22B9A284">
      <w:pPr>
        <w:pStyle w:val="10"/>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eastAsia" w:ascii="Times New Roman" w:hAnsi="Times New Roman" w:eastAsia="仿宋_GB2312" w:cs="仿宋"/>
          <w:b w:val="0"/>
          <w:bCs/>
          <w:kern w:val="2"/>
          <w:sz w:val="32"/>
          <w:szCs w:val="32"/>
          <w:highlight w:val="none"/>
          <w:lang w:val="zh-CN" w:eastAsia="zh-CN"/>
        </w:rPr>
        <w:t>PLHR-ZB-FW-20260</w:t>
      </w:r>
      <w:r>
        <w:rPr>
          <w:rFonts w:hint="eastAsia" w:ascii="Times New Roman" w:hAnsi="Times New Roman" w:eastAsia="仿宋_GB2312" w:cs="仿宋"/>
          <w:b w:val="0"/>
          <w:bCs/>
          <w:kern w:val="2"/>
          <w:sz w:val="32"/>
          <w:szCs w:val="32"/>
          <w:highlight w:val="none"/>
          <w:lang w:val="en-US" w:eastAsia="zh-CN"/>
        </w:rPr>
        <w:t>3</w:t>
      </w:r>
    </w:p>
    <w:p w14:paraId="2BF39C4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71" w:name="_Toc31718"/>
      <w:bookmarkStart w:id="72" w:name="_Toc364"/>
      <w:bookmarkStart w:id="73" w:name="_Toc13305"/>
      <w:r>
        <w:rPr>
          <w:rFonts w:hint="eastAsia" w:ascii="黑体" w:hAnsi="黑体" w:eastAsia="黑体" w:cs="黑体"/>
          <w:bCs/>
          <w:kern w:val="2"/>
          <w:sz w:val="32"/>
          <w:szCs w:val="32"/>
          <w:lang w:val="en-US" w:eastAsia="zh-CN" w:bidi="ar-SA"/>
        </w:rPr>
        <w:t>三、</w:t>
      </w:r>
      <w:r>
        <w:rPr>
          <w:rFonts w:hint="eastAsia" w:ascii="黑体" w:hAnsi="黑体" w:eastAsia="黑体" w:cs="黑体"/>
          <w:bCs/>
          <w:sz w:val="32"/>
          <w:szCs w:val="32"/>
          <w:highlight w:val="none"/>
          <w:lang w:val="en-US" w:eastAsia="zh-CN"/>
        </w:rPr>
        <w:t>投标人资质要求</w:t>
      </w:r>
      <w:bookmarkEnd w:id="71"/>
    </w:p>
    <w:p w14:paraId="2B936F6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（一）</w:t>
      </w:r>
      <w:r>
        <w:rPr>
          <w:rFonts w:hint="eastAsia" w:ascii="Times New Roman" w:hAnsi="Times New Roman" w:eastAsia="仿宋_GB2312" w:cs="仿宋"/>
          <w:bCs/>
          <w:sz w:val="32"/>
          <w:szCs w:val="32"/>
          <w:highlight w:val="none"/>
          <w:lang w:val="en-US" w:eastAsia="zh-CN"/>
        </w:rPr>
        <w:t>投标</w:t>
      </w:r>
      <w:r>
        <w:rPr>
          <w:rFonts w:hint="default" w:ascii="Times New Roman" w:hAnsi="Times New Roman" w:eastAsia="仿宋_GB2312" w:cs="仿宋"/>
          <w:bCs/>
          <w:sz w:val="32"/>
          <w:szCs w:val="32"/>
          <w:highlight w:val="none"/>
          <w:lang w:val="en-US" w:eastAsia="zh-CN"/>
        </w:rPr>
        <w:t>人为国内注册（指按国家有关规定要求注册的），经营本次采购内容，具备独立法人资格的供应商；</w:t>
      </w:r>
    </w:p>
    <w:p w14:paraId="1B2D5106">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trike w:val="0"/>
          <w:dstrike w:val="0"/>
          <w:sz w:val="32"/>
          <w:szCs w:val="32"/>
          <w:highlight w:val="none"/>
          <w:lang w:val="en-US" w:eastAsia="zh-CN"/>
        </w:rPr>
      </w:pPr>
      <w:r>
        <w:rPr>
          <w:rFonts w:hint="default" w:ascii="Times New Roman" w:hAnsi="Times New Roman" w:eastAsia="仿宋_GB2312" w:cs="仿宋"/>
          <w:bCs/>
          <w:sz w:val="32"/>
          <w:szCs w:val="32"/>
          <w:highlight w:val="none"/>
          <w:lang w:val="en-US" w:eastAsia="zh-CN"/>
        </w:rPr>
        <w:t>（二</w:t>
      </w:r>
      <w:r>
        <w:rPr>
          <w:rFonts w:hint="default" w:ascii="Times New Roman" w:hAnsi="Times New Roman" w:eastAsia="仿宋_GB2312" w:cs="仿宋"/>
          <w:bCs/>
          <w:strike w:val="0"/>
          <w:dstrike w:val="0"/>
          <w:sz w:val="32"/>
          <w:szCs w:val="32"/>
          <w:highlight w:val="none"/>
          <w:lang w:val="en-US" w:eastAsia="zh-CN"/>
        </w:rPr>
        <w:t>）投标人具备</w:t>
      </w:r>
      <w:r>
        <w:rPr>
          <w:rFonts w:hint="eastAsia" w:ascii="Times New Roman" w:hAnsi="Times New Roman" w:eastAsia="仿宋_GB2312" w:cs="仿宋"/>
          <w:bCs/>
          <w:strike w:val="0"/>
          <w:dstrike w:val="0"/>
          <w:sz w:val="32"/>
          <w:szCs w:val="32"/>
          <w:highlight w:val="none"/>
          <w:lang w:val="en-US" w:eastAsia="zh-CN"/>
        </w:rPr>
        <w:t>人力资源服务</w:t>
      </w:r>
      <w:r>
        <w:rPr>
          <w:rFonts w:hint="default" w:ascii="Times New Roman" w:hAnsi="Times New Roman" w:eastAsia="仿宋_GB2312" w:cs="仿宋"/>
          <w:bCs/>
          <w:strike w:val="0"/>
          <w:dstrike w:val="0"/>
          <w:sz w:val="32"/>
          <w:szCs w:val="32"/>
          <w:highlight w:val="none"/>
          <w:lang w:val="en-US" w:eastAsia="zh-CN"/>
        </w:rPr>
        <w:t>许可资质，提供有效的《人力资源服务许可证》扫描件。</w:t>
      </w:r>
    </w:p>
    <w:p w14:paraId="7235632A">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（三）投</w:t>
      </w:r>
      <w:r>
        <w:rPr>
          <w:rFonts w:hint="default" w:ascii="Times New Roman" w:hAnsi="Times New Roman" w:eastAsia="仿宋_GB2312" w:cs="仿宋"/>
          <w:bCs/>
          <w:sz w:val="32"/>
          <w:szCs w:val="32"/>
          <w:highlight w:val="none"/>
          <w:lang w:val="en-US" w:eastAsia="zh-CN"/>
        </w:rPr>
        <w:t>标人具有完全响应本项目服务需求的能力，能独立承担本招标文件所示民事等法律责任和合同义务。</w:t>
      </w:r>
    </w:p>
    <w:p w14:paraId="3C559DA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（四）</w:t>
      </w:r>
      <w:r>
        <w:rPr>
          <w:rFonts w:hint="eastAsia" w:ascii="Times New Roman" w:hAnsi="Times New Roman" w:eastAsia="仿宋_GB2312" w:cs="仿宋"/>
          <w:bCs/>
          <w:sz w:val="32"/>
          <w:szCs w:val="32"/>
          <w:highlight w:val="none"/>
          <w:lang w:val="en-US" w:eastAsia="zh-CN"/>
        </w:rPr>
        <w:t>投标人无在“信用中国”网站（www.creditchina.gov.cn）、中国政府采购网（www.ccgp.gov.cn）、</w:t>
      </w:r>
      <w:r>
        <w:rPr>
          <w:rFonts w:hint="eastAsia" w:ascii="Times New Roman" w:hAnsi="Times New Roman" w:eastAsia="仿宋_GB2312" w:cs="仿宋"/>
          <w:bCs/>
          <w:sz w:val="32"/>
          <w:szCs w:val="32"/>
          <w:highlight w:val="none"/>
          <w:lang w:val="en-US" w:eastAsia="zh-CN"/>
        </w:rPr>
        <w:fldChar w:fldCharType="begin"/>
      </w:r>
      <w:r>
        <w:rPr>
          <w:rFonts w:hint="eastAsia" w:ascii="Times New Roman" w:hAnsi="Times New Roman" w:eastAsia="仿宋_GB2312" w:cs="仿宋"/>
          <w:bCs/>
          <w:sz w:val="32"/>
          <w:szCs w:val="32"/>
          <w:highlight w:val="none"/>
          <w:lang w:val="en-US" w:eastAsia="zh-CN"/>
        </w:rPr>
        <w:instrText xml:space="preserve"> HYPERLINK "https://wenshu.court.gov.cn/" </w:instrText>
      </w:r>
      <w:r>
        <w:rPr>
          <w:rFonts w:hint="eastAsia" w:ascii="Times New Roman" w:hAnsi="Times New Roman" w:eastAsia="仿宋_GB2312" w:cs="仿宋"/>
          <w:bCs/>
          <w:sz w:val="32"/>
          <w:szCs w:val="32"/>
          <w:highlight w:val="none"/>
          <w:lang w:val="en-US" w:eastAsia="zh-CN"/>
        </w:rPr>
        <w:fldChar w:fldCharType="separate"/>
      </w:r>
      <w:r>
        <w:rPr>
          <w:rFonts w:hint="eastAsia" w:ascii="Times New Roman" w:hAnsi="Times New Roman" w:eastAsia="仿宋_GB2312" w:cs="仿宋"/>
          <w:bCs/>
          <w:sz w:val="32"/>
          <w:szCs w:val="32"/>
          <w:highlight w:val="none"/>
          <w:lang w:val="en-US" w:eastAsia="zh-CN"/>
        </w:rPr>
        <w:t>中国裁判文书网（wenshu.court.gov.cn）</w:t>
      </w:r>
      <w:r>
        <w:rPr>
          <w:rFonts w:hint="eastAsia" w:ascii="Times New Roman" w:hAnsi="Times New Roman" w:eastAsia="仿宋_GB2312" w:cs="仿宋"/>
          <w:bCs/>
          <w:sz w:val="32"/>
          <w:szCs w:val="32"/>
          <w:highlight w:val="none"/>
          <w:lang w:val="en-US" w:eastAsia="zh-CN"/>
        </w:rPr>
        <w:fldChar w:fldCharType="end"/>
      </w:r>
      <w:r>
        <w:rPr>
          <w:rFonts w:hint="eastAsia" w:ascii="Times New Roman" w:hAnsi="Times New Roman" w:eastAsia="仿宋_GB2312" w:cs="仿宋"/>
          <w:bCs/>
          <w:sz w:val="32"/>
          <w:szCs w:val="32"/>
          <w:highlight w:val="none"/>
          <w:lang w:val="en-US" w:eastAsia="zh-CN"/>
        </w:rPr>
        <w:t>等渠道列入失信被执行人、重大税收违法案件当事人名单、政府采购严重违法失信行为记录名单、单位行贿行为记录的情况。</w:t>
      </w:r>
    </w:p>
    <w:p w14:paraId="47C2D2A6">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（五）</w:t>
      </w:r>
      <w:r>
        <w:rPr>
          <w:rFonts w:hint="eastAsia" w:ascii="Times New Roman" w:hAnsi="Times New Roman" w:eastAsia="仿宋_GB2312" w:cs="仿宋"/>
          <w:bCs/>
          <w:sz w:val="32"/>
          <w:szCs w:val="32"/>
          <w:highlight w:val="none"/>
          <w:lang w:val="en-US" w:eastAsia="zh-CN"/>
        </w:rPr>
        <w:t>投标人如为与招标人既往合作的供应商，需满足招标人关于供应商的管理规定，且2023年1月1日至本项目确定成交人之日前投标人无重大事故、服务投诉或质量不符合记录。</w:t>
      </w:r>
    </w:p>
    <w:p w14:paraId="275B0C1A">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（六）</w:t>
      </w:r>
      <w:r>
        <w:rPr>
          <w:rFonts w:hint="eastAsia" w:ascii="Times New Roman" w:hAnsi="Times New Roman" w:eastAsia="仿宋_GB2312" w:cs="仿宋"/>
          <w:bCs/>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7BE3CE98">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本项目不接受联合体竞标或分标段投标</w:t>
      </w:r>
      <w:r>
        <w:rPr>
          <w:rFonts w:hint="eastAsia" w:ascii="Times New Roman" w:hAnsi="Times New Roman" w:eastAsia="仿宋_GB2312" w:cs="仿宋"/>
          <w:bCs/>
          <w:sz w:val="32"/>
          <w:szCs w:val="32"/>
          <w:highlight w:val="none"/>
          <w:lang w:val="en-US" w:eastAsia="zh-CN"/>
        </w:rPr>
        <w:t>，不允许转包、分包</w:t>
      </w:r>
      <w:r>
        <w:rPr>
          <w:rFonts w:hint="default" w:ascii="Times New Roman" w:hAnsi="Times New Roman" w:eastAsia="仿宋_GB2312" w:cs="仿宋"/>
          <w:bCs/>
          <w:sz w:val="32"/>
          <w:szCs w:val="32"/>
          <w:highlight w:val="none"/>
          <w:lang w:val="en-US" w:eastAsia="zh-CN"/>
        </w:rPr>
        <w:t>。投标人应如实提供资质信息及随附证明文件，不得弄虚作假，提供虚假资质信息或虚假的随附证明文件一经查实，取消本项目投标资格，同时三年内不得参加招标人其他项目招标或采购。</w:t>
      </w:r>
    </w:p>
    <w:bookmarkEnd w:id="72"/>
    <w:bookmarkEnd w:id="73"/>
    <w:p w14:paraId="2AD95E93">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74" w:name="_Toc18081"/>
      <w:bookmarkStart w:id="75" w:name="_Toc14625"/>
      <w:r>
        <w:rPr>
          <w:rFonts w:hint="eastAsia" w:ascii="黑体" w:hAnsi="黑体" w:eastAsia="黑体" w:cs="黑体"/>
          <w:bCs/>
          <w:kern w:val="2"/>
          <w:sz w:val="32"/>
          <w:szCs w:val="32"/>
          <w:lang w:val="en-US" w:eastAsia="zh-CN" w:bidi="ar-SA"/>
        </w:rPr>
        <w:t>四、</w:t>
      </w:r>
      <w:r>
        <w:rPr>
          <w:rFonts w:hint="eastAsia" w:ascii="黑体" w:hAnsi="黑体" w:eastAsia="黑体" w:cs="黑体"/>
          <w:bCs/>
          <w:sz w:val="32"/>
          <w:szCs w:val="32"/>
          <w:highlight w:val="none"/>
          <w:lang w:val="en-US" w:eastAsia="zh-CN"/>
        </w:rPr>
        <w:t>项目需求</w:t>
      </w:r>
      <w:bookmarkEnd w:id="74"/>
    </w:p>
    <w:p w14:paraId="1BF8E286">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根据我司某互联网银行外包项目人力资源需求的持续性，</w:t>
      </w:r>
      <w:r>
        <w:rPr>
          <w:rFonts w:hint="eastAsia" w:ascii="Times New Roman" w:hAnsi="Times New Roman" w:eastAsia="仿宋_GB2312" w:cs="仿宋"/>
          <w:sz w:val="32"/>
          <w:szCs w:val="32"/>
          <w:lang w:val="en-US" w:eastAsia="zh-CN"/>
        </w:rPr>
        <w:t>为有效保障岗位人力供给的稳定性，</w:t>
      </w:r>
      <w:r>
        <w:rPr>
          <w:rFonts w:hint="eastAsia" w:ascii="Times New Roman" w:hAnsi="Times New Roman" w:eastAsia="仿宋_GB2312" w:cs="仿宋"/>
          <w:sz w:val="32"/>
          <w:szCs w:val="32"/>
          <w:highlight w:val="none"/>
          <w:lang w:val="en-US" w:eastAsia="zh-CN"/>
        </w:rPr>
        <w:t>现需采购具备专业人力供给服务能力、丰富人才渠道资源的第三方人力资源服务机构。</w:t>
      </w:r>
    </w:p>
    <w:p w14:paraId="0F4DFCD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本项目所需人员实际工作地点统一为深圳市，招聘岗位主要包括但不限于：客户服务岗、风险审核岗、贷后催收岗、外呼岗及中后台支持（数据分析）岗等。</w:t>
      </w:r>
    </w:p>
    <w:p w14:paraId="767B7C6B">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eastAsia" w:ascii="黑体" w:hAnsi="黑体" w:eastAsia="黑体" w:cs="黑体"/>
          <w:bCs/>
          <w:sz w:val="32"/>
          <w:szCs w:val="32"/>
          <w:highlight w:val="none"/>
          <w:lang w:val="en-US" w:eastAsia="zh-CN"/>
        </w:rPr>
      </w:pPr>
      <w:bookmarkStart w:id="76" w:name="_Toc18850"/>
      <w:r>
        <w:rPr>
          <w:rFonts w:hint="eastAsia" w:ascii="黑体" w:hAnsi="黑体" w:eastAsia="黑体" w:cs="黑体"/>
          <w:bCs/>
          <w:kern w:val="2"/>
          <w:sz w:val="32"/>
          <w:szCs w:val="32"/>
          <w:lang w:val="en-US" w:eastAsia="zh-CN" w:bidi="ar-SA"/>
        </w:rPr>
        <w:t>五、</w:t>
      </w:r>
      <w:r>
        <w:rPr>
          <w:rFonts w:hint="eastAsia" w:ascii="黑体" w:hAnsi="黑体" w:eastAsia="黑体" w:cs="黑体"/>
          <w:bCs/>
          <w:sz w:val="32"/>
          <w:szCs w:val="32"/>
          <w:highlight w:val="none"/>
          <w:lang w:val="en-US" w:eastAsia="zh-CN"/>
        </w:rPr>
        <w:t>项目要求</w:t>
      </w:r>
      <w:bookmarkEnd w:id="76"/>
    </w:p>
    <w:p w14:paraId="6F6F5B91">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w:t>
      </w:r>
      <w:r>
        <w:rPr>
          <w:rFonts w:hint="eastAsia" w:ascii="Times New Roman" w:hAnsi="Times New Roman" w:eastAsia="仿宋_GB2312" w:cs="仿宋"/>
          <w:kern w:val="2"/>
          <w:sz w:val="32"/>
          <w:szCs w:val="32"/>
          <w:highlight w:val="none"/>
          <w:lang w:val="en-US" w:eastAsia="zh-CN" w:bidi="ar-SA"/>
        </w:rPr>
        <w:t>投标人应具备稳定、高效的招聘执行能力，能够根据我司每月的岗位用人需求，在约定周期内完成涵盖渠道拓展、简历筛选与初步资格匹配、面试邀约、数据反馈等环节的全链条人力招聘服务。</w:t>
      </w:r>
    </w:p>
    <w:p w14:paraId="6D19093C">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w:t>
      </w:r>
      <w:r>
        <w:rPr>
          <w:rFonts w:hint="eastAsia" w:ascii="Times New Roman" w:hAnsi="Times New Roman" w:eastAsia="仿宋_GB2312" w:cs="仿宋"/>
          <w:kern w:val="2"/>
          <w:sz w:val="32"/>
          <w:szCs w:val="32"/>
          <w:highlight w:val="none"/>
          <w:lang w:val="en-US" w:eastAsia="zh-CN" w:bidi="ar-SA"/>
        </w:rPr>
        <w:t>投标人应确保所推荐人员符合招标人所需岗位的基本任职资格，包括但不限于学历、专业、沟通能力、职业操守等。并具备在深圳长期稳定工作的意愿。</w:t>
      </w:r>
    </w:p>
    <w:p w14:paraId="46BAD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w:t>
      </w:r>
      <w:r>
        <w:rPr>
          <w:rFonts w:hint="eastAsia" w:ascii="Times New Roman" w:hAnsi="Times New Roman" w:eastAsia="仿宋_GB2312" w:cs="仿宋"/>
          <w:kern w:val="2"/>
          <w:sz w:val="32"/>
          <w:szCs w:val="32"/>
          <w:highlight w:val="none"/>
          <w:lang w:val="en-US" w:eastAsia="zh-CN" w:bidi="ar-SA"/>
        </w:rPr>
        <w:t>投标人所推荐的人员应确保符合银行入职审核的基本要求，确保所推荐的候选人进入初试环节比例不低于40%。</w:t>
      </w:r>
    </w:p>
    <w:p w14:paraId="2D8CC2CD">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
          <w:strike/>
          <w:kern w:val="2"/>
          <w:sz w:val="32"/>
          <w:szCs w:val="32"/>
          <w:highlight w:val="none"/>
          <w:lang w:val="en-US" w:eastAsia="zh-CN" w:bidi="ar-SA"/>
        </w:rPr>
      </w:pPr>
      <w:r>
        <w:rPr>
          <w:rFonts w:hint="eastAsia" w:ascii="Times New Roman" w:hAnsi="Times New Roman" w:eastAsia="仿宋_GB2312" w:cs="仿宋"/>
          <w:kern w:val="2"/>
          <w:sz w:val="32"/>
          <w:szCs w:val="32"/>
          <w:highlight w:val="none"/>
          <w:lang w:val="en-US" w:eastAsia="zh-CN" w:bidi="ar-SA"/>
        </w:rPr>
        <w:t>鉴于业务需求可能动态调整，具体岗位说明书及要求将于投标人中标后由招标人另行提供，投标人须予以配合并据此开展人力供给工作。</w:t>
      </w:r>
    </w:p>
    <w:p w14:paraId="0E27E8DC">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left"/>
        <w:textAlignment w:val="auto"/>
        <w:outlineLvl w:val="0"/>
        <w:rPr>
          <w:rFonts w:hint="default" w:ascii="黑体" w:hAnsi="黑体" w:eastAsia="黑体" w:cs="黑体"/>
          <w:bCs/>
          <w:kern w:val="2"/>
          <w:sz w:val="32"/>
          <w:szCs w:val="32"/>
          <w:lang w:val="en-US" w:eastAsia="zh-CN" w:bidi="ar-SA"/>
        </w:rPr>
      </w:pPr>
      <w:bookmarkStart w:id="77" w:name="_Toc2935"/>
      <w:r>
        <w:rPr>
          <w:rFonts w:hint="eastAsia" w:ascii="黑体" w:hAnsi="黑体" w:eastAsia="黑体" w:cs="黑体"/>
          <w:bCs/>
          <w:kern w:val="2"/>
          <w:sz w:val="32"/>
          <w:szCs w:val="32"/>
          <w:lang w:val="en-US" w:eastAsia="zh-CN" w:bidi="ar-SA"/>
        </w:rPr>
        <w:t>六、最高限价及报价</w:t>
      </w:r>
      <w:bookmarkEnd w:id="75"/>
      <w:r>
        <w:rPr>
          <w:rFonts w:hint="eastAsia" w:ascii="黑体" w:hAnsi="黑体" w:eastAsia="黑体" w:cs="黑体"/>
          <w:bCs/>
          <w:kern w:val="2"/>
          <w:sz w:val="32"/>
          <w:szCs w:val="32"/>
          <w:lang w:val="en-US" w:eastAsia="zh-CN" w:bidi="ar-SA"/>
        </w:rPr>
        <w:t>方式</w:t>
      </w:r>
      <w:bookmarkEnd w:id="77"/>
    </w:p>
    <w:p w14:paraId="3D6CEA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outlineLvl w:val="2"/>
        <w:rPr>
          <w:rFonts w:hint="eastAsia" w:ascii="楷体_GB2312" w:hAnsi="楷体_GB2312" w:eastAsia="楷体_GB2312" w:cs="楷体_GB2312"/>
          <w:b w:val="0"/>
          <w:bCs/>
          <w:sz w:val="32"/>
          <w:szCs w:val="32"/>
          <w:highlight w:val="none"/>
          <w:lang w:val="en-US" w:eastAsia="zh-CN"/>
        </w:rPr>
      </w:pPr>
      <w:bookmarkStart w:id="78" w:name="_Toc22153"/>
      <w:bookmarkStart w:id="79" w:name="_Toc18460"/>
      <w:bookmarkStart w:id="80" w:name="_Toc3802"/>
      <w:r>
        <w:rPr>
          <w:rFonts w:hint="eastAsia" w:ascii="楷体_GB2312" w:hAnsi="楷体_GB2312" w:eastAsia="楷体_GB2312" w:cs="楷体_GB2312"/>
          <w:b w:val="0"/>
          <w:bCs/>
          <w:sz w:val="32"/>
          <w:szCs w:val="32"/>
          <w:highlight w:val="none"/>
          <w:lang w:val="en-US" w:eastAsia="zh-CN"/>
        </w:rPr>
        <w:t>（一）最高限价</w:t>
      </w:r>
      <w:bookmarkEnd w:id="78"/>
      <w:bookmarkEnd w:id="79"/>
      <w:bookmarkEnd w:id="80"/>
    </w:p>
    <w:p w14:paraId="5CA00B46">
      <w:pPr>
        <w:spacing w:line="560" w:lineRule="exact"/>
        <w:ind w:firstLine="664" w:firstLineChars="200"/>
        <w:rPr>
          <w:rFonts w:hint="default" w:ascii="Times New Roman" w:hAnsi="Times New Roman" w:eastAsia="仿宋_GB2312" w:cs="仿宋"/>
          <w:bCs/>
          <w:strike/>
          <w:dstrike w:val="0"/>
          <w:spacing w:val="6"/>
          <w:sz w:val="32"/>
          <w:szCs w:val="32"/>
          <w:highlight w:val="none"/>
          <w:lang w:val="en-US" w:eastAsia="zh-CN"/>
        </w:rPr>
      </w:pPr>
      <w:r>
        <w:rPr>
          <w:rFonts w:hint="eastAsia" w:ascii="仿宋_GB2312" w:hAnsi="仿宋_GB2312" w:eastAsia="仿宋_GB2312" w:cs="仿宋_GB2312"/>
          <w:bCs/>
          <w:strike w:val="0"/>
          <w:dstrike w:val="0"/>
          <w:spacing w:val="6"/>
          <w:sz w:val="32"/>
          <w:szCs w:val="32"/>
          <w:highlight w:val="none"/>
          <w:lang w:val="en-US" w:eastAsia="zh-CN"/>
        </w:rPr>
        <w:t>本</w:t>
      </w:r>
      <w:r>
        <w:rPr>
          <w:rFonts w:hint="eastAsia" w:ascii="Times New Roman" w:hAnsi="Times New Roman" w:eastAsia="仿宋_GB2312" w:cs="仿宋"/>
          <w:bCs/>
          <w:strike w:val="0"/>
          <w:dstrike w:val="0"/>
          <w:spacing w:val="6"/>
          <w:sz w:val="32"/>
          <w:szCs w:val="32"/>
          <w:highlight w:val="none"/>
          <w:lang w:val="en-US" w:eastAsia="zh-CN"/>
        </w:rPr>
        <w:t>项目采用单价报价并设置最高限价，投标最高限价为2200元/人（含增值税）。投标人报价不得高于此限价，否则投标将被否决。</w:t>
      </w:r>
    </w:p>
    <w:p w14:paraId="4312A3EA">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outlineLvl w:val="2"/>
        <w:rPr>
          <w:rFonts w:hint="default" w:ascii="楷体_GB2312" w:hAnsi="楷体_GB2312" w:eastAsia="楷体_GB2312" w:cs="楷体_GB2312"/>
          <w:b w:val="0"/>
          <w:bCs/>
          <w:sz w:val="32"/>
          <w:szCs w:val="32"/>
          <w:highlight w:val="none"/>
          <w:lang w:val="en-US" w:eastAsia="zh-CN"/>
        </w:rPr>
      </w:pPr>
      <w:bookmarkStart w:id="81" w:name="_Toc12526"/>
      <w:bookmarkStart w:id="82" w:name="_Toc9134"/>
      <w:bookmarkStart w:id="83" w:name="_Toc31193"/>
      <w:r>
        <w:rPr>
          <w:rFonts w:hint="eastAsia" w:ascii="楷体_GB2312" w:hAnsi="楷体_GB2312" w:eastAsia="楷体_GB2312" w:cs="楷体_GB2312"/>
          <w:b w:val="0"/>
          <w:bCs/>
          <w:sz w:val="32"/>
          <w:szCs w:val="32"/>
          <w:highlight w:val="none"/>
          <w:lang w:val="en-US" w:eastAsia="zh-CN"/>
        </w:rPr>
        <w:t>（二）报价</w:t>
      </w:r>
      <w:bookmarkEnd w:id="81"/>
      <w:r>
        <w:rPr>
          <w:rFonts w:hint="eastAsia" w:ascii="楷体_GB2312" w:hAnsi="楷体_GB2312" w:eastAsia="楷体_GB2312" w:cs="楷体_GB2312"/>
          <w:b w:val="0"/>
          <w:bCs/>
          <w:sz w:val="32"/>
          <w:szCs w:val="32"/>
          <w:highlight w:val="none"/>
          <w:lang w:val="en-US" w:eastAsia="zh-CN"/>
        </w:rPr>
        <w:t>说明</w:t>
      </w:r>
      <w:bookmarkEnd w:id="82"/>
      <w:bookmarkEnd w:id="83"/>
    </w:p>
    <w:p w14:paraId="47B27451">
      <w:pPr>
        <w:pStyle w:val="4"/>
        <w:keepNext w:val="0"/>
        <w:keepLines w:val="0"/>
        <w:pageBreakBefore w:val="0"/>
        <w:widowControl w:val="0"/>
        <w:kinsoku/>
        <w:wordWrap/>
        <w:overflowPunct/>
        <w:topLinePunct w:val="0"/>
        <w:autoSpaceDE/>
        <w:autoSpaceDN/>
        <w:bidi w:val="0"/>
        <w:adjustRightInd/>
        <w:spacing w:before="0" w:after="0" w:line="560" w:lineRule="exact"/>
        <w:ind w:left="0" w:leftChars="0" w:firstLine="560"/>
        <w:textAlignment w:val="auto"/>
        <w:outlineLvl w:val="9"/>
        <w:rPr>
          <w:rFonts w:hint="eastAsia" w:ascii="仿宋_GB2312" w:hAnsi="仿宋_GB2312" w:eastAsia="仿宋_GB2312" w:cs="仿宋_GB2312"/>
          <w:b w:val="0"/>
          <w:bCs/>
          <w:strike w:val="0"/>
          <w:dstrike w:val="0"/>
          <w:kern w:val="2"/>
          <w:sz w:val="32"/>
          <w:szCs w:val="32"/>
          <w:highlight w:val="none"/>
          <w:lang w:val="en-US" w:eastAsia="zh-CN" w:bidi="ar-SA"/>
        </w:rPr>
      </w:pPr>
      <w:bookmarkStart w:id="84" w:name="_Toc21211"/>
      <w:r>
        <w:rPr>
          <w:rFonts w:hint="eastAsia" w:ascii="仿宋_GB2312" w:hAnsi="仿宋_GB2312" w:eastAsia="仿宋_GB2312" w:cs="仿宋_GB2312"/>
          <w:b w:val="0"/>
          <w:bCs/>
          <w:strike w:val="0"/>
          <w:dstrike w:val="0"/>
          <w:kern w:val="2"/>
          <w:sz w:val="32"/>
          <w:szCs w:val="32"/>
          <w:highlight w:val="none"/>
          <w:lang w:val="en-US" w:eastAsia="zh-CN" w:bidi="ar-SA"/>
        </w:rPr>
        <w:t>1.投标人所报单价为完成单名候选人全流程招聘服务的全包干费用，服务内容包括但不限于渠道拓展、简历筛选与初步资格匹配、面试邀约、数据反馈等。该单价已包含人工成本、管理费、税费、差旅、通讯及其他为履行本项目所发生的一切直接与间接费用</w:t>
      </w:r>
      <w:bookmarkEnd w:id="84"/>
      <w:r>
        <w:rPr>
          <w:rFonts w:hint="eastAsia" w:ascii="仿宋_GB2312" w:hAnsi="仿宋_GB2312" w:eastAsia="仿宋_GB2312" w:cs="仿宋_GB2312"/>
          <w:b w:val="0"/>
          <w:bCs/>
          <w:strike w:val="0"/>
          <w:dstrike w:val="0"/>
          <w:kern w:val="2"/>
          <w:sz w:val="32"/>
          <w:szCs w:val="32"/>
          <w:highlight w:val="none"/>
          <w:lang w:val="en-US" w:eastAsia="zh-CN" w:bidi="ar-SA"/>
        </w:rPr>
        <w:t>，不因任何因素调整。投标人不得向候选人（含应聘者、入职人员）收取任何费用。</w:t>
      </w:r>
    </w:p>
    <w:p w14:paraId="2F3D73E9">
      <w:pPr>
        <w:pStyle w:val="4"/>
        <w:keepNext w:val="0"/>
        <w:keepLines w:val="0"/>
        <w:pageBreakBefore w:val="0"/>
        <w:widowControl w:val="0"/>
        <w:kinsoku/>
        <w:wordWrap/>
        <w:overflowPunct/>
        <w:topLinePunct w:val="0"/>
        <w:autoSpaceDE/>
        <w:autoSpaceDN/>
        <w:bidi w:val="0"/>
        <w:adjustRightInd/>
        <w:spacing w:before="0" w:after="0" w:line="560" w:lineRule="exact"/>
        <w:ind w:left="0" w:leftChars="0" w:firstLine="560"/>
        <w:textAlignment w:val="auto"/>
        <w:outlineLvl w:val="9"/>
        <w:rPr>
          <w:rFonts w:hint="eastAsia"/>
          <w:lang w:val="en-US" w:eastAsia="zh-CN"/>
        </w:rPr>
      </w:pPr>
      <w:r>
        <w:rPr>
          <w:rFonts w:hint="eastAsia" w:ascii="仿宋_GB2312" w:hAnsi="仿宋_GB2312" w:eastAsia="仿宋_GB2312" w:cs="仿宋_GB2312"/>
          <w:b w:val="0"/>
          <w:bCs w:val="0"/>
          <w:strike w:val="0"/>
          <w:dstrike w:val="0"/>
          <w:spacing w:val="6"/>
          <w:sz w:val="32"/>
          <w:szCs w:val="32"/>
          <w:highlight w:val="none"/>
          <w:lang w:val="en-US" w:eastAsia="zh-CN"/>
        </w:rPr>
        <w:t>3.</w:t>
      </w:r>
      <w:r>
        <w:rPr>
          <w:rFonts w:hint="eastAsia" w:ascii="Times New Roman" w:hAnsi="Times New Roman" w:eastAsia="仿宋_GB2312" w:cs="仿宋"/>
          <w:b w:val="0"/>
          <w:bCs w:val="0"/>
          <w:strike w:val="0"/>
          <w:dstrike w:val="0"/>
          <w:spacing w:val="6"/>
          <w:sz w:val="32"/>
          <w:szCs w:val="32"/>
          <w:highlight w:val="none"/>
          <w:lang w:val="en-US" w:eastAsia="zh-CN"/>
        </w:rPr>
        <w:t>本项目预估</w:t>
      </w:r>
      <w:r>
        <w:rPr>
          <w:rFonts w:hint="eastAsia" w:ascii="Times New Roman" w:eastAsia="仿宋_GB2312" w:cs="仿宋"/>
          <w:b w:val="0"/>
          <w:bCs w:val="0"/>
          <w:strike w:val="0"/>
          <w:dstrike w:val="0"/>
          <w:spacing w:val="6"/>
          <w:sz w:val="32"/>
          <w:szCs w:val="32"/>
          <w:highlight w:val="none"/>
          <w:lang w:val="en-US" w:eastAsia="zh-CN"/>
        </w:rPr>
        <w:t>月均招聘需求为</w:t>
      </w:r>
      <w:r>
        <w:rPr>
          <w:rFonts w:hint="eastAsia" w:ascii="Times New Roman" w:hAnsi="Times New Roman" w:eastAsia="仿宋_GB2312" w:cs="仿宋"/>
          <w:b w:val="0"/>
          <w:bCs w:val="0"/>
          <w:strike w:val="0"/>
          <w:dstrike w:val="0"/>
          <w:spacing w:val="6"/>
          <w:sz w:val="32"/>
          <w:szCs w:val="32"/>
          <w:highlight w:val="none"/>
          <w:lang w:val="en-US" w:eastAsia="zh-CN"/>
        </w:rPr>
        <w:t>9人，最终结算</w:t>
      </w:r>
      <w:r>
        <w:rPr>
          <w:rFonts w:hint="eastAsia" w:ascii="Times New Roman" w:eastAsia="仿宋_GB2312" w:cs="仿宋"/>
          <w:b w:val="0"/>
          <w:bCs w:val="0"/>
          <w:strike w:val="0"/>
          <w:dstrike w:val="0"/>
          <w:spacing w:val="6"/>
          <w:sz w:val="32"/>
          <w:szCs w:val="32"/>
          <w:highlight w:val="none"/>
          <w:lang w:val="en-US" w:eastAsia="zh-CN"/>
        </w:rPr>
        <w:t>以</w:t>
      </w:r>
      <w:r>
        <w:rPr>
          <w:rFonts w:hint="eastAsia" w:ascii="Times New Roman" w:hAnsi="Times New Roman" w:eastAsia="仿宋_GB2312" w:cs="仿宋"/>
          <w:b w:val="0"/>
          <w:bCs w:val="0"/>
          <w:strike w:val="0"/>
          <w:dstrike w:val="0"/>
          <w:spacing w:val="6"/>
          <w:sz w:val="32"/>
          <w:szCs w:val="32"/>
          <w:highlight w:val="none"/>
          <w:lang w:val="en-US" w:eastAsia="zh-CN"/>
        </w:rPr>
        <w:t>候选人面试通过正式入职当天起3个工作日</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每个工作日实际到岗必须超过半天）</w:t>
      </w:r>
      <w:r>
        <w:rPr>
          <w:rFonts w:hint="eastAsia" w:ascii="Times New Roman" w:hAnsi="Times New Roman" w:eastAsia="仿宋_GB2312" w:cs="仿宋"/>
          <w:b w:val="0"/>
          <w:bCs w:val="0"/>
          <w:strike w:val="0"/>
          <w:dstrike w:val="0"/>
          <w:spacing w:val="6"/>
          <w:sz w:val="32"/>
          <w:szCs w:val="32"/>
          <w:highlight w:val="none"/>
          <w:lang w:val="en-US" w:eastAsia="zh-CN"/>
        </w:rPr>
        <w:t>后仍在职的人数为准</w:t>
      </w:r>
      <w:r>
        <w:rPr>
          <w:rFonts w:hint="eastAsia" w:ascii="Times New Roman" w:eastAsia="仿宋_GB2312" w:cs="仿宋"/>
          <w:b w:val="0"/>
          <w:bCs w:val="0"/>
          <w:strike w:val="0"/>
          <w:dstrike w:val="0"/>
          <w:spacing w:val="6"/>
          <w:sz w:val="32"/>
          <w:szCs w:val="32"/>
          <w:highlight w:val="none"/>
          <w:lang w:val="en-US" w:eastAsia="zh-CN"/>
        </w:rPr>
        <w:t>，未满足该条件的人员，不计入结算范围，招标人不支付任何服务费用。</w:t>
      </w:r>
    </w:p>
    <w:p w14:paraId="4C84BDB9">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outlineLvl w:val="2"/>
        <w:rPr>
          <w:rFonts w:hint="default" w:ascii="楷体_GB2312" w:hAnsi="楷体_GB2312" w:eastAsia="楷体_GB2312" w:cs="楷体_GB2312"/>
          <w:b w:val="0"/>
          <w:bCs/>
          <w:sz w:val="32"/>
          <w:szCs w:val="32"/>
          <w:highlight w:val="none"/>
          <w:lang w:val="en-US" w:eastAsia="zh-CN"/>
        </w:rPr>
      </w:pPr>
      <w:bookmarkStart w:id="85" w:name="_Toc21672"/>
      <w:bookmarkStart w:id="86" w:name="_Toc22120"/>
      <w:bookmarkStart w:id="87" w:name="_Toc31665"/>
      <w:r>
        <w:rPr>
          <w:rFonts w:hint="eastAsia" w:ascii="楷体_GB2312" w:hAnsi="楷体_GB2312" w:eastAsia="楷体_GB2312" w:cs="楷体_GB2312"/>
          <w:b w:val="0"/>
          <w:bCs/>
          <w:sz w:val="32"/>
          <w:szCs w:val="32"/>
          <w:highlight w:val="none"/>
          <w:lang w:val="en-US" w:eastAsia="zh-CN"/>
        </w:rPr>
        <w:t>（三）报价要求</w:t>
      </w:r>
      <w:bookmarkEnd w:id="85"/>
      <w:bookmarkEnd w:id="86"/>
      <w:bookmarkEnd w:id="87"/>
    </w:p>
    <w:p w14:paraId="17CC736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1.本项目所有价格均以人民币计价</w:t>
      </w:r>
      <w:r>
        <w:rPr>
          <w:rFonts w:hint="default" w:ascii="仿宋_GB2312" w:hAnsi="仿宋_GB2312" w:eastAsia="仿宋_GB2312" w:cs="仿宋_GB2312"/>
          <w:b w:val="0"/>
          <w:bCs/>
          <w:sz w:val="32"/>
          <w:szCs w:val="32"/>
          <w:highlight w:val="none"/>
          <w:lang w:val="en-US" w:eastAsia="zh-CN"/>
        </w:rPr>
        <w:t>。</w:t>
      </w:r>
    </w:p>
    <w:p w14:paraId="51F8A0A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w:t>
      </w:r>
      <w:r>
        <w:rPr>
          <w:rFonts w:hint="default" w:ascii="仿宋_GB2312" w:hAnsi="仿宋_GB2312" w:eastAsia="仿宋_GB2312" w:cs="仿宋_GB2312"/>
          <w:b w:val="0"/>
          <w:bCs/>
          <w:sz w:val="32"/>
          <w:szCs w:val="32"/>
          <w:highlight w:val="none"/>
          <w:lang w:val="en-US" w:eastAsia="zh-CN"/>
        </w:rPr>
        <w:t>所有参与本项目的供应商所出具的报价应为含</w:t>
      </w:r>
      <w:r>
        <w:rPr>
          <w:rFonts w:hint="eastAsia" w:ascii="仿宋_GB2312" w:hAnsi="仿宋_GB2312" w:eastAsia="仿宋_GB2312" w:cs="仿宋_GB2312"/>
          <w:b w:val="0"/>
          <w:bCs/>
          <w:sz w:val="32"/>
          <w:szCs w:val="32"/>
          <w:highlight w:val="none"/>
          <w:lang w:val="en-US" w:eastAsia="zh-CN"/>
        </w:rPr>
        <w:t>增值</w:t>
      </w:r>
      <w:r>
        <w:rPr>
          <w:rFonts w:hint="default" w:ascii="仿宋_GB2312" w:hAnsi="仿宋_GB2312" w:eastAsia="仿宋_GB2312" w:cs="仿宋_GB2312"/>
          <w:b w:val="0"/>
          <w:bCs/>
          <w:sz w:val="32"/>
          <w:szCs w:val="32"/>
          <w:highlight w:val="none"/>
          <w:lang w:val="en-US" w:eastAsia="zh-CN"/>
        </w:rPr>
        <w:t>税价格，同时，其应已包括向招标人完整、达标提供本项目服务所必须考虑的随附服务、人力资源及客观情况发生变化所可能导致的成本费用变化。</w:t>
      </w:r>
    </w:p>
    <w:p w14:paraId="2F1212D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w:t>
      </w:r>
      <w:r>
        <w:rPr>
          <w:rFonts w:hint="default" w:ascii="仿宋_GB2312" w:hAnsi="仿宋_GB2312" w:eastAsia="仿宋_GB2312" w:cs="仿宋_GB2312"/>
          <w:b w:val="0"/>
          <w:bCs/>
          <w:sz w:val="32"/>
          <w:szCs w:val="32"/>
          <w:highlight w:val="none"/>
          <w:lang w:val="en-US" w:eastAsia="zh-CN"/>
        </w:rPr>
        <w:t>投标人均应自行承担所有与参与本次招标活动有关的全部费用。</w:t>
      </w:r>
    </w:p>
    <w:p w14:paraId="2593758F">
      <w:pPr>
        <w:pStyle w:val="4"/>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outlineLvl w:val="0"/>
        <w:rPr>
          <w:rFonts w:hint="eastAsia" w:ascii="黑体" w:hAnsi="黑体" w:eastAsia="黑体" w:cs="黑体"/>
          <w:b w:val="0"/>
          <w:bCs/>
          <w:sz w:val="32"/>
          <w:szCs w:val="32"/>
          <w:highlight w:val="none"/>
        </w:rPr>
      </w:pPr>
      <w:bookmarkStart w:id="88" w:name="_Toc3672"/>
      <w:bookmarkStart w:id="89" w:name="_Toc8844"/>
      <w:bookmarkStart w:id="90" w:name="_Toc19995"/>
      <w:r>
        <w:rPr>
          <w:rFonts w:hint="eastAsia" w:ascii="黑体" w:hAnsi="黑体" w:eastAsia="黑体" w:cs="黑体"/>
          <w:b w:val="0"/>
          <w:bCs/>
          <w:sz w:val="32"/>
          <w:szCs w:val="32"/>
          <w:highlight w:val="none"/>
          <w:lang w:val="en-US" w:eastAsia="zh-CN"/>
        </w:rPr>
        <w:t>七</w:t>
      </w:r>
      <w:r>
        <w:rPr>
          <w:rFonts w:hint="eastAsia" w:ascii="黑体" w:hAnsi="黑体" w:eastAsia="黑体" w:cs="黑体"/>
          <w:b w:val="0"/>
          <w:bCs/>
          <w:sz w:val="32"/>
          <w:szCs w:val="32"/>
          <w:highlight w:val="none"/>
        </w:rPr>
        <w:t>、投标文件要求</w:t>
      </w:r>
      <w:bookmarkEnd w:id="88"/>
      <w:bookmarkEnd w:id="89"/>
      <w:bookmarkEnd w:id="90"/>
    </w:p>
    <w:p w14:paraId="7BFE697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1"/>
        <w:rPr>
          <w:rFonts w:hint="eastAsia" w:ascii="楷体_GB2312" w:hAnsi="楷体_GB2312" w:eastAsia="楷体_GB2312" w:cs="楷体_GB2312"/>
          <w:b w:val="0"/>
          <w:bCs/>
          <w:sz w:val="32"/>
          <w:szCs w:val="32"/>
          <w:highlight w:val="none"/>
        </w:rPr>
      </w:pPr>
      <w:bookmarkStart w:id="91" w:name="_Toc10583"/>
      <w:bookmarkStart w:id="92" w:name="_Toc30282"/>
      <w:bookmarkStart w:id="93" w:name="_Toc2217"/>
      <w:r>
        <w:rPr>
          <w:rFonts w:hint="eastAsia" w:ascii="楷体_GB2312" w:hAnsi="楷体_GB2312" w:eastAsia="楷体_GB2312" w:cs="楷体_GB2312"/>
          <w:b w:val="0"/>
          <w:bCs/>
          <w:sz w:val="32"/>
          <w:szCs w:val="32"/>
          <w:highlight w:val="none"/>
        </w:rPr>
        <w:t>（一）投标文件构成</w:t>
      </w:r>
      <w:bookmarkEnd w:id="91"/>
      <w:bookmarkEnd w:id="92"/>
      <w:bookmarkEnd w:id="93"/>
    </w:p>
    <w:p w14:paraId="64276DB1">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outlineLvl w:val="2"/>
        <w:rPr>
          <w:rFonts w:hint="eastAsia" w:ascii="仿宋_GB2312" w:hAnsi="仿宋_GB2312" w:eastAsia="仿宋_GB2312" w:cs="仿宋_GB2312"/>
          <w:b/>
          <w:bCs w:val="0"/>
          <w:sz w:val="32"/>
          <w:szCs w:val="32"/>
          <w:highlight w:val="none"/>
        </w:rPr>
      </w:pPr>
      <w:bookmarkStart w:id="94" w:name="_Toc21270"/>
      <w:bookmarkStart w:id="95" w:name="_Toc22355"/>
      <w:bookmarkStart w:id="96" w:name="_Toc12420"/>
      <w:r>
        <w:rPr>
          <w:rFonts w:hint="eastAsia" w:ascii="仿宋_GB2312" w:hAnsi="仿宋_GB2312" w:eastAsia="仿宋_GB2312" w:cs="仿宋_GB2312"/>
          <w:b/>
          <w:bCs w:val="0"/>
          <w:sz w:val="32"/>
          <w:szCs w:val="32"/>
          <w:highlight w:val="none"/>
        </w:rPr>
        <w:t>1.唱标信封及开标一览表</w:t>
      </w:r>
      <w:bookmarkEnd w:id="94"/>
      <w:bookmarkEnd w:id="95"/>
      <w:bookmarkEnd w:id="96"/>
    </w:p>
    <w:p w14:paraId="0CCF9AF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3"/>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唱标信封</w:t>
      </w:r>
    </w:p>
    <w:p w14:paraId="5F115C3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用以密封开标一览表，信封格式</w:t>
      </w:r>
      <w:r>
        <w:rPr>
          <w:rFonts w:hint="eastAsia" w:ascii="仿宋_GB2312" w:hAnsi="仿宋_GB2312" w:eastAsia="仿宋_GB2312" w:cs="仿宋_GB2312"/>
          <w:b w:val="0"/>
          <w:bCs/>
          <w:sz w:val="32"/>
          <w:szCs w:val="32"/>
          <w:highlight w:val="none"/>
          <w:lang w:val="en-US" w:eastAsia="zh-CN"/>
        </w:rPr>
        <w:t>本文件</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 xml:space="preserve">第二部分招标文件 </w:t>
      </w:r>
      <w:r>
        <w:rPr>
          <w:rFonts w:hint="eastAsia" w:ascii="仿宋_GB2312" w:hAnsi="仿宋_GB2312" w:eastAsia="仿宋_GB2312" w:cs="仿宋_GB2312"/>
          <w:b w:val="0"/>
          <w:bCs/>
          <w:sz w:val="32"/>
          <w:szCs w:val="32"/>
          <w:highlight w:val="none"/>
        </w:rPr>
        <w:t>第四章投标文件格式 格式1 唱标信封”；</w:t>
      </w:r>
    </w:p>
    <w:p w14:paraId="2F527F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3"/>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开标一览表</w:t>
      </w:r>
    </w:p>
    <w:p w14:paraId="4852246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用唱标信封单独封装，与投标文件一并递交，一览表指定格式见</w:t>
      </w:r>
      <w:r>
        <w:rPr>
          <w:rFonts w:hint="eastAsia" w:ascii="仿宋_GB2312" w:hAnsi="仿宋_GB2312" w:eastAsia="仿宋_GB2312" w:cs="仿宋_GB2312"/>
          <w:b w:val="0"/>
          <w:bCs/>
          <w:sz w:val="32"/>
          <w:szCs w:val="32"/>
          <w:highlight w:val="none"/>
          <w:lang w:val="en-US" w:eastAsia="zh-CN"/>
        </w:rPr>
        <w:t>本文件</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 xml:space="preserve">第二部分招标文件 </w:t>
      </w:r>
      <w:r>
        <w:rPr>
          <w:rFonts w:hint="eastAsia" w:ascii="仿宋_GB2312" w:hAnsi="仿宋_GB2312" w:eastAsia="仿宋_GB2312" w:cs="仿宋_GB2312"/>
          <w:b w:val="0"/>
          <w:bCs/>
          <w:sz w:val="32"/>
          <w:szCs w:val="32"/>
          <w:highlight w:val="none"/>
        </w:rPr>
        <w:t>第四章投标文件格式 格式2 开标一览表”。</w:t>
      </w:r>
    </w:p>
    <w:p w14:paraId="43468DB1">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outlineLvl w:val="2"/>
        <w:rPr>
          <w:rFonts w:hint="eastAsia" w:ascii="仿宋_GB2312" w:hAnsi="仿宋_GB2312" w:eastAsia="仿宋_GB2312" w:cs="仿宋_GB2312"/>
          <w:b/>
          <w:bCs w:val="0"/>
          <w:sz w:val="32"/>
          <w:szCs w:val="32"/>
          <w:highlight w:val="none"/>
        </w:rPr>
      </w:pPr>
      <w:bookmarkStart w:id="97" w:name="_Toc28863"/>
      <w:bookmarkStart w:id="98" w:name="_Toc17369"/>
      <w:bookmarkStart w:id="99" w:name="_Toc9191"/>
      <w:r>
        <w:rPr>
          <w:rFonts w:hint="eastAsia" w:ascii="仿宋_GB2312" w:hAnsi="仿宋_GB2312" w:eastAsia="仿宋_GB2312" w:cs="仿宋_GB2312"/>
          <w:b/>
          <w:bCs w:val="0"/>
          <w:sz w:val="32"/>
          <w:szCs w:val="32"/>
          <w:highlight w:val="none"/>
        </w:rPr>
        <w:t>2.投标文件</w:t>
      </w:r>
      <w:bookmarkEnd w:id="97"/>
      <w:bookmarkEnd w:id="98"/>
      <w:bookmarkEnd w:id="99"/>
    </w:p>
    <w:p w14:paraId="40D48A6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3"/>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1</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资质证明文件</w:t>
      </w:r>
    </w:p>
    <w:p w14:paraId="0A82EA0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投标人资质证明文件应按以下顺序排序：</w:t>
      </w:r>
    </w:p>
    <w:p w14:paraId="75BDF2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color w:val="auto"/>
          <w:sz w:val="32"/>
          <w:szCs w:val="32"/>
          <w:highlight w:val="none"/>
          <w:lang w:val="en-US" w:eastAsia="zh-CN"/>
        </w:rPr>
      </w:pPr>
      <w:r>
        <w:rPr>
          <w:rFonts w:hint="eastAsia" w:ascii="仿宋_GB2312" w:hAnsi="仿宋_GB2312" w:eastAsia="仿宋_GB2312" w:cs="仿宋_GB2312"/>
          <w:bCs/>
          <w:smallCaps w:val="0"/>
          <w:color w:val="auto"/>
          <w:sz w:val="32"/>
          <w:szCs w:val="32"/>
          <w:highlight w:val="none"/>
          <w:lang w:val="en-US" w:eastAsia="zh-CN"/>
        </w:rPr>
        <w:t>1）</w:t>
      </w:r>
      <w:r>
        <w:rPr>
          <w:rFonts w:hint="eastAsia" w:ascii="仿宋_GB2312" w:hAnsi="仿宋_GB2312" w:eastAsia="仿宋_GB2312" w:cs="仿宋_GB2312"/>
          <w:bCs/>
          <w:smallCaps w:val="0"/>
          <w:color w:val="auto"/>
          <w:sz w:val="32"/>
          <w:szCs w:val="32"/>
          <w:highlight w:val="none"/>
        </w:rPr>
        <w:t>“三证合一”营业执照，非企业机构提供组织机构代码证（加盖公章）</w:t>
      </w:r>
      <w:r>
        <w:rPr>
          <w:rFonts w:hint="eastAsia" w:ascii="仿宋_GB2312" w:hAnsi="仿宋_GB2312" w:eastAsia="仿宋_GB2312" w:cs="仿宋_GB2312"/>
          <w:bCs/>
          <w:smallCaps w:val="0"/>
          <w:color w:val="auto"/>
          <w:sz w:val="32"/>
          <w:szCs w:val="32"/>
          <w:highlight w:val="none"/>
          <w:lang w:eastAsia="zh-CN"/>
        </w:rPr>
        <w:t>；</w:t>
      </w:r>
    </w:p>
    <w:p w14:paraId="22C3C58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color w:val="auto"/>
          <w:sz w:val="32"/>
          <w:szCs w:val="32"/>
          <w:highlight w:val="none"/>
          <w:lang w:val="en-US" w:eastAsia="zh-CN"/>
        </w:rPr>
      </w:pPr>
      <w:r>
        <w:rPr>
          <w:rFonts w:hint="eastAsia" w:ascii="仿宋_GB2312" w:hAnsi="仿宋_GB2312" w:eastAsia="仿宋_GB2312" w:cs="仿宋_GB2312"/>
          <w:bCs/>
          <w:smallCaps w:val="0"/>
          <w:color w:val="auto"/>
          <w:sz w:val="32"/>
          <w:szCs w:val="32"/>
          <w:highlight w:val="none"/>
          <w:lang w:val="en-US" w:eastAsia="zh-CN"/>
        </w:rPr>
        <w:t>2）法定代表人身份证明书及法人身份证复印件（格式自拟并加盖公章）；</w:t>
      </w:r>
    </w:p>
    <w:p w14:paraId="0EA166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color w:val="auto"/>
          <w:sz w:val="32"/>
          <w:szCs w:val="32"/>
          <w:highlight w:val="none"/>
          <w:lang w:val="en-US" w:eastAsia="zh-CN"/>
        </w:rPr>
      </w:pPr>
      <w:r>
        <w:rPr>
          <w:rFonts w:hint="eastAsia" w:ascii="仿宋_GB2312" w:hAnsi="仿宋_GB2312" w:eastAsia="仿宋_GB2312" w:cs="仿宋_GB2312"/>
          <w:bCs/>
          <w:smallCaps w:val="0"/>
          <w:color w:val="auto"/>
          <w:sz w:val="32"/>
          <w:szCs w:val="32"/>
          <w:highlight w:val="none"/>
          <w:lang w:val="en-US" w:eastAsia="zh-CN"/>
        </w:rPr>
        <w:t>3）法定代表人授权委托书及被委托人身份证复印件（格式自拟并加盖公章）；</w:t>
      </w:r>
    </w:p>
    <w:p w14:paraId="4FA973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bCs/>
          <w:smallCaps w:val="0"/>
          <w:color w:val="auto"/>
          <w:sz w:val="32"/>
          <w:szCs w:val="32"/>
          <w:highlight w:val="none"/>
          <w:lang w:val="en-US" w:eastAsia="zh-CN"/>
        </w:rPr>
      </w:pPr>
      <w:r>
        <w:rPr>
          <w:rFonts w:hint="eastAsia" w:ascii="仿宋_GB2312" w:hAnsi="仿宋_GB2312" w:eastAsia="仿宋_GB2312" w:cs="仿宋_GB2312"/>
          <w:bCs/>
          <w:smallCaps w:val="0"/>
          <w:strike w:val="0"/>
          <w:dstrike w:val="0"/>
          <w:color w:val="auto"/>
          <w:sz w:val="32"/>
          <w:szCs w:val="32"/>
          <w:highlight w:val="none"/>
          <w:lang w:val="en-US" w:eastAsia="zh-CN"/>
        </w:rPr>
        <w:t>4）</w:t>
      </w:r>
      <w:r>
        <w:rPr>
          <w:rFonts w:hint="default" w:ascii="Times New Roman" w:hAnsi="Times New Roman" w:eastAsia="仿宋_GB2312" w:cs="仿宋"/>
          <w:bCs/>
          <w:strike w:val="0"/>
          <w:dstrike w:val="0"/>
          <w:sz w:val="32"/>
          <w:szCs w:val="32"/>
          <w:highlight w:val="none"/>
          <w:lang w:val="en-US" w:eastAsia="zh-CN"/>
        </w:rPr>
        <w:t>投标人具备</w:t>
      </w:r>
      <w:r>
        <w:rPr>
          <w:rFonts w:hint="eastAsia" w:ascii="Times New Roman" w:hAnsi="Times New Roman" w:eastAsia="仿宋_GB2312" w:cs="仿宋"/>
          <w:bCs/>
          <w:strike w:val="0"/>
          <w:dstrike w:val="0"/>
          <w:sz w:val="32"/>
          <w:szCs w:val="32"/>
          <w:highlight w:val="none"/>
          <w:lang w:val="en-US" w:eastAsia="zh-CN"/>
        </w:rPr>
        <w:t>人力资源服务</w:t>
      </w:r>
      <w:r>
        <w:rPr>
          <w:rFonts w:hint="default" w:ascii="Times New Roman" w:hAnsi="Times New Roman" w:eastAsia="仿宋_GB2312" w:cs="仿宋"/>
          <w:bCs/>
          <w:strike w:val="0"/>
          <w:dstrike w:val="0"/>
          <w:sz w:val="32"/>
          <w:szCs w:val="32"/>
          <w:highlight w:val="none"/>
          <w:lang w:val="en-US" w:eastAsia="zh-CN"/>
        </w:rPr>
        <w:t>许可资质，提供有效的《人力资源服务许可证》扫描件。</w:t>
      </w:r>
    </w:p>
    <w:p w14:paraId="3753B6C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3"/>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2</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价格文件</w:t>
      </w:r>
    </w:p>
    <w:p w14:paraId="327D13D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color w:val="auto"/>
          <w:sz w:val="32"/>
          <w:szCs w:val="32"/>
          <w:highlight w:val="none"/>
        </w:rPr>
      </w:pPr>
      <w:r>
        <w:rPr>
          <w:rFonts w:hint="eastAsia" w:ascii="Times New Roman" w:hAnsi="Times New Roman" w:eastAsia="仿宋_GB2312" w:cs="仿宋"/>
          <w:b w:val="0"/>
          <w:bCs/>
          <w:color w:val="auto"/>
          <w:sz w:val="32"/>
          <w:szCs w:val="32"/>
          <w:highlight w:val="none"/>
        </w:rPr>
        <w:t>格式参见本文件“</w:t>
      </w:r>
      <w:r>
        <w:rPr>
          <w:rFonts w:hint="eastAsia" w:ascii="Times New Roman" w:hAnsi="Times New Roman" w:eastAsia="仿宋_GB2312" w:cs="仿宋_GB2312"/>
          <w:bCs/>
          <w:smallCaps w:val="0"/>
          <w:color w:val="auto"/>
          <w:sz w:val="32"/>
          <w:szCs w:val="32"/>
          <w:highlight w:val="none"/>
        </w:rPr>
        <w:t>第二部分第四章 投标文件格式 格式</w:t>
      </w:r>
      <w:r>
        <w:rPr>
          <w:rFonts w:hint="eastAsia" w:ascii="Times New Roman" w:hAnsi="Times New Roman" w:eastAsia="仿宋_GB2312" w:cs="仿宋_GB2312"/>
          <w:bCs/>
          <w:smallCaps w:val="0"/>
          <w:color w:val="auto"/>
          <w:sz w:val="32"/>
          <w:szCs w:val="32"/>
          <w:highlight w:val="none"/>
          <w:lang w:val="en-US" w:eastAsia="zh-CN"/>
        </w:rPr>
        <w:t>7</w:t>
      </w:r>
      <w:r>
        <w:rPr>
          <w:rFonts w:hint="eastAsia" w:ascii="Times New Roman" w:hAnsi="Times New Roman" w:eastAsia="仿宋_GB2312" w:cs="仿宋_GB2312"/>
          <w:bCs/>
          <w:smallCaps w:val="0"/>
          <w:color w:val="auto"/>
          <w:sz w:val="32"/>
          <w:szCs w:val="32"/>
          <w:highlight w:val="none"/>
        </w:rPr>
        <w:t xml:space="preserve"> </w:t>
      </w:r>
      <w:r>
        <w:rPr>
          <w:rFonts w:hint="eastAsia" w:ascii="Times New Roman" w:hAnsi="Times New Roman" w:eastAsia="仿宋_GB2312" w:cs="仿宋_GB2312"/>
          <w:bCs/>
          <w:smallCaps w:val="0"/>
          <w:color w:val="auto"/>
          <w:sz w:val="32"/>
          <w:szCs w:val="32"/>
          <w:highlight w:val="none"/>
          <w:lang w:val="en-US" w:eastAsia="zh-CN"/>
        </w:rPr>
        <w:t>服务项目报价单</w:t>
      </w:r>
      <w:r>
        <w:rPr>
          <w:rFonts w:hint="eastAsia" w:ascii="Times New Roman" w:hAnsi="Times New Roman" w:eastAsia="仿宋_GB2312" w:cs="仿宋"/>
          <w:b w:val="0"/>
          <w:bCs/>
          <w:color w:val="auto"/>
          <w:sz w:val="32"/>
          <w:szCs w:val="32"/>
          <w:highlight w:val="none"/>
        </w:rPr>
        <w:t>”。</w:t>
      </w:r>
    </w:p>
    <w:p w14:paraId="603DDC1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3"/>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（3）商务技术文件</w:t>
      </w:r>
    </w:p>
    <w:p w14:paraId="0BB59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1）评标标准及细则内要求提供的证明文件（按“招标文件 第二章 评标程序及标</w:t>
      </w:r>
      <w:r>
        <w:rPr>
          <w:rFonts w:hint="eastAsia" w:ascii="Times New Roman" w:hAnsi="Times New Roman" w:eastAsia="仿宋_GB2312" w:cs="仿宋"/>
          <w:b w:val="0"/>
          <w:bCs/>
          <w:color w:val="auto"/>
          <w:sz w:val="32"/>
          <w:szCs w:val="32"/>
          <w:highlight w:val="none"/>
        </w:rPr>
        <w:t>准”内各评分项列示顺序排序并加盖公章）；</w:t>
      </w:r>
    </w:p>
    <w:p w14:paraId="784813C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除招标文件要求外，投标人另行承诺的</w:t>
      </w:r>
      <w:r>
        <w:rPr>
          <w:rFonts w:hint="eastAsia" w:ascii="仿宋_GB2312" w:hAnsi="仿宋_GB2312" w:eastAsia="仿宋_GB2312" w:cs="仿宋_GB2312"/>
          <w:b w:val="0"/>
          <w:bCs/>
          <w:color w:val="auto"/>
          <w:sz w:val="32"/>
          <w:szCs w:val="32"/>
          <w:highlight w:val="none"/>
          <w:lang w:eastAsia="zh-CN"/>
        </w:rPr>
        <w:t>增值</w:t>
      </w:r>
      <w:r>
        <w:rPr>
          <w:rFonts w:hint="eastAsia" w:ascii="仿宋_GB2312" w:hAnsi="仿宋_GB2312" w:eastAsia="仿宋_GB2312" w:cs="仿宋_GB2312"/>
          <w:b w:val="0"/>
          <w:bCs/>
          <w:color w:val="auto"/>
          <w:sz w:val="32"/>
          <w:szCs w:val="32"/>
          <w:highlight w:val="none"/>
        </w:rPr>
        <w:t>服务；</w:t>
      </w:r>
    </w:p>
    <w:p w14:paraId="028B076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其他投标人</w:t>
      </w:r>
      <w:r>
        <w:rPr>
          <w:rFonts w:hint="eastAsia" w:ascii="Times New Roman" w:hAnsi="Times New Roman" w:eastAsia="仿宋_GB2312" w:cs="仿宋"/>
          <w:b w:val="0"/>
          <w:bCs/>
          <w:color w:val="auto"/>
          <w:sz w:val="32"/>
          <w:szCs w:val="32"/>
          <w:highlight w:val="none"/>
        </w:rPr>
        <w:t>认为需要说明的事项；</w:t>
      </w:r>
    </w:p>
    <w:p w14:paraId="32A6EAC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招标文件</w:t>
      </w:r>
      <w:r>
        <w:rPr>
          <w:rFonts w:hint="eastAsia" w:ascii="仿宋_GB2312" w:hAnsi="仿宋_GB2312" w:eastAsia="仿宋_GB2312" w:cs="仿宋_GB2312"/>
          <w:b w:val="0"/>
          <w:bCs/>
          <w:color w:val="auto"/>
          <w:sz w:val="32"/>
          <w:szCs w:val="32"/>
          <w:highlight w:val="none"/>
          <w:lang w:eastAsia="zh-CN"/>
        </w:rPr>
        <w:t>响应</w:t>
      </w:r>
      <w:r>
        <w:rPr>
          <w:rFonts w:hint="eastAsia" w:ascii="仿宋_GB2312" w:hAnsi="仿宋_GB2312" w:eastAsia="仿宋_GB2312" w:cs="仿宋_GB2312"/>
          <w:b w:val="0"/>
          <w:bCs/>
          <w:color w:val="auto"/>
          <w:sz w:val="32"/>
          <w:szCs w:val="32"/>
          <w:highlight w:val="none"/>
          <w:lang w:val="en-US" w:eastAsia="zh-CN"/>
        </w:rPr>
        <w:t>情况偏离</w:t>
      </w:r>
    </w:p>
    <w:p w14:paraId="015ACE1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color w:val="auto"/>
          <w:sz w:val="32"/>
          <w:szCs w:val="32"/>
          <w:highlight w:val="none"/>
        </w:rPr>
      </w:pPr>
      <w:r>
        <w:rPr>
          <w:rFonts w:hint="eastAsia" w:ascii="Times New Roman" w:hAnsi="Times New Roman" w:eastAsia="仿宋_GB2312" w:cs="仿宋"/>
          <w:b w:val="0"/>
          <w:bCs/>
          <w:color w:val="auto"/>
          <w:sz w:val="32"/>
          <w:szCs w:val="32"/>
          <w:highlight w:val="none"/>
        </w:rPr>
        <w:t>投标人应制作与服务方案一致，按照“</w:t>
      </w:r>
      <w:r>
        <w:rPr>
          <w:rFonts w:hint="eastAsia" w:ascii="Times New Roman" w:hAnsi="Times New Roman" w:eastAsia="仿宋_GB2312" w:cs="仿宋"/>
          <w:b w:val="0"/>
          <w:bCs/>
          <w:color w:val="auto"/>
          <w:sz w:val="32"/>
          <w:szCs w:val="32"/>
          <w:highlight w:val="none"/>
          <w:lang w:eastAsia="zh-CN"/>
        </w:rPr>
        <w:t>招标文件</w:t>
      </w:r>
      <w:r>
        <w:rPr>
          <w:rFonts w:hint="eastAsia" w:ascii="Times New Roman" w:hAnsi="Times New Roman" w:eastAsia="仿宋_GB2312" w:cs="仿宋"/>
          <w:b w:val="0"/>
          <w:bCs/>
          <w:color w:val="auto"/>
          <w:sz w:val="32"/>
          <w:szCs w:val="32"/>
          <w:highlight w:val="none"/>
        </w:rPr>
        <w:t xml:space="preserve"> 第四章 </w:t>
      </w:r>
      <w:r>
        <w:rPr>
          <w:rFonts w:hint="eastAsia" w:ascii="Times New Roman" w:hAnsi="Times New Roman" w:eastAsia="仿宋_GB2312" w:cs="仿宋"/>
          <w:b w:val="0"/>
          <w:bCs/>
          <w:color w:val="auto"/>
          <w:sz w:val="32"/>
          <w:szCs w:val="32"/>
          <w:highlight w:val="none"/>
          <w:lang w:val="en-US" w:eastAsia="zh-CN"/>
        </w:rPr>
        <w:t>招标</w:t>
      </w:r>
      <w:r>
        <w:rPr>
          <w:rFonts w:hint="eastAsia" w:ascii="Times New Roman" w:hAnsi="Times New Roman" w:eastAsia="仿宋_GB2312" w:cs="仿宋"/>
          <w:b w:val="0"/>
          <w:bCs/>
          <w:color w:val="auto"/>
          <w:sz w:val="32"/>
          <w:szCs w:val="32"/>
          <w:highlight w:val="none"/>
        </w:rPr>
        <w:t>文件格式 格式</w:t>
      </w:r>
      <w:r>
        <w:rPr>
          <w:rFonts w:hint="eastAsia" w:ascii="Times New Roman" w:hAnsi="Times New Roman" w:eastAsia="仿宋_GB2312" w:cs="仿宋"/>
          <w:b w:val="0"/>
          <w:bCs/>
          <w:color w:val="auto"/>
          <w:sz w:val="32"/>
          <w:szCs w:val="32"/>
          <w:highlight w:val="none"/>
          <w:lang w:val="en-US" w:eastAsia="zh-CN"/>
        </w:rPr>
        <w:t>6</w:t>
      </w:r>
      <w:r>
        <w:rPr>
          <w:rFonts w:hint="eastAsia" w:ascii="Times New Roman" w:hAnsi="Times New Roman" w:eastAsia="仿宋_GB2312" w:cs="仿宋"/>
          <w:b w:val="0"/>
          <w:bCs/>
          <w:color w:val="auto"/>
          <w:sz w:val="32"/>
          <w:szCs w:val="32"/>
          <w:highlight w:val="none"/>
        </w:rPr>
        <w:t xml:space="preserve"> </w:t>
      </w:r>
      <w:r>
        <w:rPr>
          <w:rFonts w:hint="eastAsia" w:ascii="Times New Roman" w:hAnsi="Times New Roman" w:eastAsia="仿宋_GB2312" w:cs="仿宋"/>
          <w:b w:val="0"/>
          <w:bCs/>
          <w:color w:val="auto"/>
          <w:sz w:val="32"/>
          <w:szCs w:val="32"/>
          <w:highlight w:val="none"/>
          <w:lang w:val="en-US" w:eastAsia="zh-CN"/>
        </w:rPr>
        <w:t>招标文件</w:t>
      </w:r>
      <w:r>
        <w:rPr>
          <w:rFonts w:hint="eastAsia" w:ascii="Times New Roman" w:hAnsi="Times New Roman" w:eastAsia="仿宋_GB2312" w:cs="仿宋"/>
          <w:b w:val="0"/>
          <w:bCs/>
          <w:color w:val="auto"/>
          <w:sz w:val="32"/>
          <w:szCs w:val="32"/>
          <w:highlight w:val="none"/>
        </w:rPr>
        <w:t>响应</w:t>
      </w:r>
      <w:r>
        <w:rPr>
          <w:rFonts w:hint="eastAsia" w:ascii="Times New Roman" w:hAnsi="Times New Roman" w:eastAsia="仿宋_GB2312" w:cs="仿宋"/>
          <w:b w:val="0"/>
          <w:bCs/>
          <w:color w:val="auto"/>
          <w:sz w:val="32"/>
          <w:szCs w:val="32"/>
          <w:highlight w:val="none"/>
          <w:lang w:val="en-US" w:eastAsia="zh-CN"/>
        </w:rPr>
        <w:t>情况偏离表</w:t>
      </w:r>
      <w:r>
        <w:rPr>
          <w:rFonts w:hint="eastAsia" w:ascii="Times New Roman" w:hAnsi="Times New Roman" w:eastAsia="仿宋_GB2312" w:cs="仿宋"/>
          <w:b w:val="0"/>
          <w:bCs/>
          <w:color w:val="auto"/>
          <w:sz w:val="32"/>
          <w:szCs w:val="32"/>
          <w:highlight w:val="none"/>
        </w:rPr>
        <w:t>”模板填列的要素响应情况，注明相关要求响应的服务承诺及投标文件对应页数。</w:t>
      </w:r>
    </w:p>
    <w:p w14:paraId="471AD40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outlineLvl w:val="3"/>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廉洁</w:t>
      </w:r>
      <w:r>
        <w:rPr>
          <w:rFonts w:hint="eastAsia" w:ascii="仿宋_GB2312" w:hAnsi="仿宋_GB2312" w:eastAsia="仿宋_GB2312" w:cs="仿宋_GB2312"/>
          <w:b w:val="0"/>
          <w:bCs/>
          <w:color w:val="auto"/>
          <w:sz w:val="32"/>
          <w:szCs w:val="32"/>
          <w:highlight w:val="none"/>
          <w:lang w:eastAsia="zh-CN"/>
        </w:rPr>
        <w:t>承诺函</w:t>
      </w:r>
    </w:p>
    <w:p w14:paraId="7FE5F53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color w:val="auto"/>
          <w:sz w:val="32"/>
          <w:szCs w:val="32"/>
          <w:highlight w:val="none"/>
        </w:rPr>
      </w:pPr>
      <w:r>
        <w:rPr>
          <w:rFonts w:hint="eastAsia" w:ascii="Times New Roman" w:hAnsi="Times New Roman" w:eastAsia="仿宋_GB2312" w:cs="仿宋"/>
          <w:b w:val="0"/>
          <w:bCs/>
          <w:color w:val="auto"/>
          <w:sz w:val="32"/>
          <w:szCs w:val="32"/>
          <w:highlight w:val="none"/>
        </w:rPr>
        <w:t>承诺函格式参见“</w:t>
      </w:r>
      <w:r>
        <w:rPr>
          <w:rFonts w:hint="eastAsia" w:ascii="Times New Roman" w:hAnsi="Times New Roman" w:eastAsia="仿宋_GB2312" w:cs="仿宋"/>
          <w:b w:val="0"/>
          <w:bCs/>
          <w:color w:val="auto"/>
          <w:sz w:val="32"/>
          <w:szCs w:val="32"/>
          <w:highlight w:val="none"/>
          <w:lang w:eastAsia="zh-CN"/>
        </w:rPr>
        <w:t>招标文件</w:t>
      </w:r>
      <w:r>
        <w:rPr>
          <w:rFonts w:hint="eastAsia" w:ascii="Times New Roman" w:hAnsi="Times New Roman" w:eastAsia="仿宋_GB2312" w:cs="仿宋"/>
          <w:b w:val="0"/>
          <w:bCs/>
          <w:color w:val="auto"/>
          <w:sz w:val="32"/>
          <w:szCs w:val="32"/>
          <w:highlight w:val="none"/>
        </w:rPr>
        <w:t xml:space="preserve"> 第四章 </w:t>
      </w:r>
      <w:r>
        <w:rPr>
          <w:rFonts w:hint="eastAsia" w:ascii="Times New Roman" w:hAnsi="Times New Roman" w:eastAsia="仿宋_GB2312" w:cs="仿宋"/>
          <w:b w:val="0"/>
          <w:bCs/>
          <w:color w:val="auto"/>
          <w:sz w:val="32"/>
          <w:szCs w:val="32"/>
          <w:highlight w:val="none"/>
          <w:lang w:val="en-US" w:eastAsia="zh-CN"/>
        </w:rPr>
        <w:t>招标</w:t>
      </w:r>
      <w:r>
        <w:rPr>
          <w:rFonts w:hint="eastAsia" w:ascii="Times New Roman" w:hAnsi="Times New Roman" w:eastAsia="仿宋_GB2312" w:cs="仿宋"/>
          <w:b w:val="0"/>
          <w:bCs/>
          <w:color w:val="auto"/>
          <w:sz w:val="32"/>
          <w:szCs w:val="32"/>
          <w:highlight w:val="none"/>
        </w:rPr>
        <w:t>文件格式 格式</w:t>
      </w:r>
      <w:r>
        <w:rPr>
          <w:rFonts w:hint="eastAsia" w:ascii="Times New Roman" w:hAnsi="Times New Roman" w:eastAsia="仿宋_GB2312" w:cs="仿宋"/>
          <w:b w:val="0"/>
          <w:bCs/>
          <w:color w:val="auto"/>
          <w:sz w:val="32"/>
          <w:szCs w:val="32"/>
          <w:highlight w:val="none"/>
          <w:lang w:val="en-US" w:eastAsia="zh-CN"/>
        </w:rPr>
        <w:t>8廉洁</w:t>
      </w:r>
      <w:r>
        <w:rPr>
          <w:rFonts w:hint="eastAsia" w:ascii="Times New Roman" w:hAnsi="Times New Roman" w:eastAsia="仿宋_GB2312" w:cs="仿宋"/>
          <w:b w:val="0"/>
          <w:bCs/>
          <w:color w:val="auto"/>
          <w:sz w:val="32"/>
          <w:szCs w:val="32"/>
          <w:highlight w:val="none"/>
        </w:rPr>
        <w:t>承诺函”。</w:t>
      </w:r>
    </w:p>
    <w:p w14:paraId="55DA8533">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left="0" w:leftChars="0" w:firstLine="640" w:firstLineChars="200"/>
        <w:jc w:val="left"/>
        <w:textAlignment w:val="auto"/>
        <w:outlineLvl w:val="1"/>
        <w:rPr>
          <w:rFonts w:hint="eastAsia" w:ascii="楷体_GB2312" w:hAnsi="楷体_GB2312" w:eastAsia="楷体_GB2312" w:cs="楷体_GB2312"/>
          <w:b w:val="0"/>
          <w:bCs/>
          <w:sz w:val="32"/>
          <w:szCs w:val="32"/>
          <w:highlight w:val="none"/>
        </w:rPr>
      </w:pPr>
      <w:bookmarkStart w:id="100" w:name="_Toc30071"/>
      <w:bookmarkStart w:id="101" w:name="_Toc1674"/>
      <w:bookmarkStart w:id="102" w:name="_Toc933"/>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rPr>
        <w:t>投标文件标注及封装</w:t>
      </w:r>
      <w:bookmarkEnd w:id="100"/>
      <w:bookmarkEnd w:id="101"/>
      <w:bookmarkEnd w:id="102"/>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投标人应将投标文件严格按以下要求进行标注、封装，并就封装做出清晰标注：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val="en-US" w:eastAsia="zh-CN"/>
        </w:rPr>
        <w:t>编制具有目录页的</w:t>
      </w:r>
      <w:r>
        <w:rPr>
          <w:rFonts w:hint="eastAsia" w:ascii="仿宋_GB2312" w:hAnsi="仿宋_GB2312" w:eastAsia="仿宋_GB2312" w:cs="仿宋_GB2312"/>
          <w:b w:val="0"/>
          <w:bCs/>
          <w:sz w:val="32"/>
          <w:szCs w:val="32"/>
          <w:highlight w:val="none"/>
        </w:rPr>
        <w:t>投标文件</w:t>
      </w:r>
      <w:r>
        <w:rPr>
          <w:rFonts w:hint="eastAsia" w:ascii="仿宋_GB2312" w:hAnsi="仿宋_GB2312" w:eastAsia="仿宋_GB2312" w:cs="仿宋_GB2312"/>
          <w:b w:val="0"/>
          <w:bCs/>
          <w:sz w:val="32"/>
          <w:szCs w:val="32"/>
          <w:highlight w:val="none"/>
          <w:lang w:val="en-US" w:eastAsia="zh-CN"/>
        </w:rPr>
        <w:t>装订</w:t>
      </w:r>
      <w:r>
        <w:rPr>
          <w:rFonts w:hint="eastAsia" w:ascii="仿宋_GB2312" w:hAnsi="仿宋_GB2312" w:eastAsia="仿宋_GB2312" w:cs="仿宋_GB2312"/>
          <w:b w:val="0"/>
          <w:bCs/>
          <w:sz w:val="32"/>
          <w:szCs w:val="32"/>
          <w:highlight w:val="none"/>
        </w:rPr>
        <w:t>成册，形</w:t>
      </w:r>
      <w:r>
        <w:rPr>
          <w:rFonts w:hint="eastAsia" w:ascii="Times New Roman" w:hAnsi="Times New Roman" w:eastAsia="仿宋_GB2312" w:cs="仿宋_GB2312"/>
          <w:b w:val="0"/>
          <w:bCs/>
          <w:sz w:val="32"/>
          <w:szCs w:val="32"/>
          <w:highlight w:val="none"/>
        </w:rPr>
        <w:t>成正本1份</w:t>
      </w:r>
      <w:r>
        <w:rPr>
          <w:rFonts w:hint="eastAsia" w:ascii="仿宋_GB2312" w:hAnsi="仿宋_GB2312" w:eastAsia="仿宋_GB2312" w:cs="仿宋_GB2312"/>
          <w:b w:val="0"/>
          <w:bCs/>
          <w:sz w:val="32"/>
          <w:szCs w:val="32"/>
          <w:highlight w:val="none"/>
        </w:rPr>
        <w:t>，正本每页均需加盖公章，并盖骑缝章；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3.正本应与和其内容一致的投标文件电子文本</w:t>
      </w:r>
      <w:r>
        <w:rPr>
          <w:rFonts w:hint="eastAsia" w:ascii="Times New Roman" w:hAnsi="Times New Roman" w:eastAsia="仿宋_GB2312" w:cs="仿宋_GB2312"/>
          <w:b w:val="0"/>
          <w:bCs/>
          <w:sz w:val="32"/>
          <w:szCs w:val="32"/>
          <w:highlight w:val="none"/>
        </w:rPr>
        <w:t>的U盘</w:t>
      </w:r>
      <w:r>
        <w:rPr>
          <w:rFonts w:hint="eastAsia" w:ascii="仿宋_GB2312" w:hAnsi="仿宋_GB2312" w:eastAsia="仿宋_GB2312" w:cs="仿宋_GB2312"/>
          <w:b w:val="0"/>
          <w:bCs/>
          <w:sz w:val="32"/>
          <w:szCs w:val="32"/>
          <w:highlight w:val="none"/>
        </w:rPr>
        <w:t>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4.投标文件应同时形成副</w:t>
      </w:r>
      <w:r>
        <w:rPr>
          <w:rFonts w:hint="eastAsia" w:ascii="Times New Roman" w:hAnsi="Times New Roman" w:eastAsia="仿宋_GB2312" w:cs="仿宋_GB2312"/>
          <w:b w:val="0"/>
          <w:bCs/>
          <w:sz w:val="32"/>
          <w:szCs w:val="32"/>
          <w:highlight w:val="none"/>
        </w:rPr>
        <w:t>本</w:t>
      </w:r>
      <w:r>
        <w:rPr>
          <w:rFonts w:hint="eastAsia" w:ascii="Times New Roman" w:hAnsi="Times New Roman" w:eastAsia="仿宋_GB2312" w:cs="仿宋_GB2312"/>
          <w:b w:val="0"/>
          <w:bCs/>
          <w:sz w:val="32"/>
          <w:szCs w:val="32"/>
          <w:highlight w:val="none"/>
          <w:lang w:val="en-US" w:eastAsia="zh-CN"/>
        </w:rPr>
        <w:t>2</w:t>
      </w:r>
      <w:r>
        <w:rPr>
          <w:rFonts w:hint="eastAsia" w:ascii="Times New Roman" w:hAnsi="Times New Roman" w:eastAsia="仿宋_GB2312" w:cs="仿宋_GB2312"/>
          <w:b w:val="0"/>
          <w:bCs/>
          <w:sz w:val="32"/>
          <w:szCs w:val="32"/>
          <w:highlight w:val="none"/>
        </w:rPr>
        <w:t>份</w:t>
      </w:r>
      <w:r>
        <w:rPr>
          <w:rFonts w:hint="eastAsia" w:ascii="仿宋_GB2312" w:hAnsi="仿宋_GB2312" w:eastAsia="仿宋_GB2312" w:cs="仿宋_GB2312"/>
          <w:b w:val="0"/>
          <w:bCs/>
          <w:sz w:val="32"/>
          <w:szCs w:val="32"/>
          <w:highlight w:val="none"/>
        </w:rPr>
        <w:t>，副本可为正本的复印件，封装至一个信封内；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5.正副本封面及封装信封均应注明投标项目、招标编码、投标单位全称、正/副本性质，装于一个信封内密封；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6.封装信封除以上信息外，还应标注内件正/副本性质、份数，密封处加盖公章。</w:t>
      </w:r>
    </w:p>
    <w:p w14:paraId="20A0DD3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投标人未按照招标文件要求进行排序、标注或封装导致招标人提前拆开或错误拆开投标文件造成废标的，由投标人自行承担不利后果。</w:t>
      </w:r>
    </w:p>
    <w:p w14:paraId="745A48EF">
      <w:pPr>
        <w:pStyle w:val="4"/>
        <w:keepNext w:val="0"/>
        <w:keepLines w:val="0"/>
        <w:pageBreakBefore w:val="0"/>
        <w:widowControl w:val="0"/>
        <w:kinsoku/>
        <w:wordWrap/>
        <w:overflowPunct/>
        <w:topLinePunct w:val="0"/>
        <w:autoSpaceDE/>
        <w:autoSpaceDN/>
        <w:bidi w:val="0"/>
        <w:adjustRightInd/>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03" w:name="_Toc16443"/>
      <w:bookmarkStart w:id="104" w:name="_Toc769"/>
      <w:bookmarkStart w:id="105" w:name="_Toc431"/>
      <w:r>
        <w:rPr>
          <w:rFonts w:hint="eastAsia" w:ascii="黑体" w:hAnsi="黑体" w:eastAsia="黑体" w:cs="黑体"/>
          <w:b w:val="0"/>
          <w:bCs/>
          <w:sz w:val="32"/>
          <w:szCs w:val="32"/>
          <w:highlight w:val="none"/>
          <w:lang w:val="en-US" w:eastAsia="zh-CN"/>
        </w:rPr>
        <w:t>八</w:t>
      </w:r>
      <w:r>
        <w:rPr>
          <w:rFonts w:hint="eastAsia" w:ascii="黑体" w:hAnsi="黑体" w:eastAsia="黑体" w:cs="黑体"/>
          <w:b w:val="0"/>
          <w:bCs/>
          <w:sz w:val="32"/>
          <w:szCs w:val="32"/>
          <w:highlight w:val="none"/>
        </w:rPr>
        <w:t>、投标人须知</w:t>
      </w:r>
      <w:bookmarkEnd w:id="103"/>
      <w:bookmarkEnd w:id="104"/>
      <w:bookmarkEnd w:id="105"/>
    </w:p>
    <w:p w14:paraId="10A6B387">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（一）投标人因故不能参加投标的，须在开标会议至少前</w:t>
      </w:r>
      <w:r>
        <w:rPr>
          <w:rFonts w:hint="eastAsia" w:ascii="Times New Roman" w:hAnsi="Times New Roman" w:eastAsia="仿宋_GB2312" w:cs="仿宋"/>
          <w:b w:val="0"/>
          <w:bCs/>
          <w:sz w:val="32"/>
          <w:szCs w:val="32"/>
          <w:highlight w:val="none"/>
          <w:lang w:val="en-US" w:eastAsia="zh-CN"/>
        </w:rPr>
        <w:t>3</w:t>
      </w:r>
      <w:r>
        <w:rPr>
          <w:rFonts w:hint="eastAsia" w:ascii="Times New Roman" w:hAnsi="Times New Roman" w:eastAsia="仿宋_GB2312" w:cs="仿宋"/>
          <w:b w:val="0"/>
          <w:bCs/>
          <w:sz w:val="32"/>
          <w:szCs w:val="32"/>
          <w:highlight w:val="none"/>
        </w:rPr>
        <w:t>个工作日内以书面形式通知招标人。如未按本条要求通知招标人而造成招标工作受到阻碍或不良影响的，三年内不得参与招标人采购项目投标。</w:t>
      </w:r>
    </w:p>
    <w:p w14:paraId="420988B0">
      <w:pPr>
        <w:keepNext w:val="0"/>
        <w:keepLines w:val="0"/>
        <w:pageBreakBefore w:val="0"/>
        <w:widowControl w:val="0"/>
        <w:kinsoku/>
        <w:wordWrap w:val="0"/>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lang w:val="en-US" w:eastAsia="zh-CN"/>
        </w:rPr>
        <w:t>（二）投标人对招标文件有任何疑问的，可在2026年3月19日17</w:t>
      </w:r>
      <w:r>
        <w:rPr>
          <w:rFonts w:hint="eastAsia" w:ascii="Times New Roman" w:hAnsi="Times New Roman" w:eastAsia="仿宋_GB2312" w:cs="仿宋"/>
          <w:b w:val="0"/>
          <w:bCs/>
          <w:color w:val="auto"/>
          <w:sz w:val="32"/>
          <w:szCs w:val="32"/>
          <w:highlight w:val="none"/>
          <w:u w:val="none"/>
          <w:lang w:val="en-US" w:eastAsia="zh-CN"/>
        </w:rPr>
        <w:t>时前向本文件第一部分 招标公告 公告列示的联系邮箱（huangxj@plhr.cn）发送书面答疑请求，未在规定时间或未按指定方式提出的，视为对招标文件及程序的认可，不得再以任何理由提出答疑，招标人将于2026年3月20</w:t>
      </w:r>
      <w:r>
        <w:rPr>
          <w:rFonts w:hint="eastAsia" w:ascii="Times New Roman" w:hAnsi="Times New Roman" w:eastAsia="仿宋_GB2312" w:cs="仿宋"/>
          <w:b w:val="0"/>
          <w:bCs/>
          <w:sz w:val="32"/>
          <w:szCs w:val="32"/>
          <w:highlight w:val="none"/>
          <w:lang w:val="en-US" w:eastAsia="zh-CN"/>
        </w:rPr>
        <w:t>日17时前进</w:t>
      </w:r>
      <w:r>
        <w:rPr>
          <w:rFonts w:hint="eastAsia" w:ascii="Times New Roman" w:hAnsi="Times New Roman" w:eastAsia="仿宋_GB2312" w:cs="仿宋"/>
          <w:b w:val="0"/>
          <w:bCs/>
          <w:sz w:val="32"/>
          <w:szCs w:val="32"/>
          <w:highlight w:val="none"/>
        </w:rPr>
        <w:t>行统一答疑。</w:t>
      </w:r>
    </w:p>
    <w:p w14:paraId="4BCBBA98">
      <w:pPr>
        <w:keepNext w:val="0"/>
        <w:keepLines w:val="0"/>
        <w:pageBreakBefore w:val="0"/>
        <w:widowControl w:val="0"/>
        <w:kinsoku/>
        <w:wordWrap w:val="0"/>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_GB2312"/>
          <w:bCs/>
          <w:smallCaps w:val="0"/>
          <w:sz w:val="32"/>
          <w:szCs w:val="32"/>
          <w:highlight w:val="none"/>
          <w:lang w:val="en-US" w:eastAsia="zh-CN"/>
        </w:rPr>
        <w:t>（三）投标人</w:t>
      </w:r>
      <w:r>
        <w:rPr>
          <w:rFonts w:hint="eastAsia" w:ascii="Times New Roman" w:hAnsi="Times New Roman" w:eastAsia="仿宋_GB2312" w:cs="仿宋_GB2312"/>
          <w:bCs/>
          <w:smallCaps w:val="0"/>
          <w:sz w:val="32"/>
          <w:szCs w:val="32"/>
          <w:highlight w:val="none"/>
        </w:rPr>
        <w:t>应逐项阅读</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文件的全部要求，根据</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真实情况以审慎、诚信原则提交</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文件。如</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编制的</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文件不能</w:t>
      </w:r>
      <w:r>
        <w:rPr>
          <w:rFonts w:hint="eastAsia" w:ascii="Times New Roman" w:hAnsi="Times New Roman" w:eastAsia="仿宋_GB2312" w:cs="仿宋_GB2312"/>
          <w:bCs/>
          <w:smallCaps w:val="0"/>
          <w:sz w:val="32"/>
          <w:szCs w:val="32"/>
          <w:highlight w:val="none"/>
          <w:lang w:val="en-US" w:eastAsia="zh-CN"/>
        </w:rPr>
        <w:t>响应</w:t>
      </w:r>
      <w:r>
        <w:rPr>
          <w:rFonts w:hint="eastAsia" w:ascii="Times New Roman" w:hAnsi="Times New Roman" w:eastAsia="仿宋_GB2312" w:cs="仿宋_GB2312"/>
          <w:bCs/>
          <w:smallCaps w:val="0"/>
          <w:sz w:val="32"/>
          <w:szCs w:val="32"/>
          <w:highlight w:val="none"/>
        </w:rPr>
        <w:t>满足</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文件及项目要求，该</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将被视为无效，由此引起的不利后果由投标人自行承担；</w:t>
      </w:r>
    </w:p>
    <w:p w14:paraId="76F2C98C">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 w:val="0"/>
          <w:bCs/>
          <w:sz w:val="32"/>
          <w:szCs w:val="32"/>
          <w:highlight w:val="none"/>
          <w:lang w:val="en-US" w:eastAsia="zh-CN"/>
        </w:rPr>
        <w:t>四</w:t>
      </w: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_GB2312"/>
          <w:bCs/>
          <w:smallCaps w:val="0"/>
          <w:sz w:val="32"/>
          <w:szCs w:val="32"/>
          <w:highlight w:val="none"/>
        </w:rPr>
        <w:t>投标人在开标现场递交加盖投标</w:t>
      </w:r>
      <w:r>
        <w:rPr>
          <w:rFonts w:hint="eastAsia" w:ascii="Times New Roman" w:hAnsi="Times New Roman" w:eastAsia="仿宋_GB2312" w:cs="仿宋_GB2312"/>
          <w:bCs/>
          <w:smallCaps w:val="0"/>
          <w:sz w:val="32"/>
          <w:szCs w:val="32"/>
          <w:highlight w:val="none"/>
          <w:lang w:val="en-US" w:eastAsia="zh-CN"/>
        </w:rPr>
        <w:t>人</w:t>
      </w:r>
      <w:r>
        <w:rPr>
          <w:rFonts w:hint="eastAsia" w:ascii="Times New Roman" w:hAnsi="Times New Roman" w:eastAsia="仿宋_GB2312" w:cs="仿宋_GB2312"/>
          <w:bCs/>
          <w:smallCaps w:val="0"/>
          <w:sz w:val="32"/>
          <w:szCs w:val="32"/>
          <w:highlight w:val="none"/>
        </w:rPr>
        <w:t>公司公章并密封</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以人民币为报价单位的报价表，</w:t>
      </w:r>
      <w:r>
        <w:rPr>
          <w:rFonts w:hint="eastAsia" w:ascii="Times New Roman" w:hAnsi="Times New Roman" w:eastAsia="仿宋_GB2312" w:cs="仿宋"/>
          <w:b w:val="0"/>
          <w:bCs/>
          <w:sz w:val="32"/>
          <w:szCs w:val="32"/>
          <w:highlight w:val="none"/>
        </w:rPr>
        <w:t>投标人提出的报价应为已包括项目成本、依法应纳税金、履行服务所必要的随附工作所产生的其他费用等。</w:t>
      </w:r>
    </w:p>
    <w:p w14:paraId="2B858B7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 w:val="0"/>
          <w:bCs/>
          <w:sz w:val="32"/>
          <w:szCs w:val="32"/>
          <w:highlight w:val="none"/>
          <w:lang w:val="en-US" w:eastAsia="zh-CN"/>
        </w:rPr>
        <w:t>五</w:t>
      </w:r>
      <w:r>
        <w:rPr>
          <w:rFonts w:hint="eastAsia" w:ascii="Times New Roman" w:hAnsi="Times New Roman" w:eastAsia="仿宋_GB2312" w:cs="仿宋"/>
          <w:b w:val="0"/>
          <w:bCs/>
          <w:sz w:val="32"/>
          <w:szCs w:val="32"/>
          <w:highlight w:val="none"/>
        </w:rPr>
        <w:t>）定标完成后，招标人将在公司官网（www.plhr.cn）</w:t>
      </w:r>
      <w:r>
        <w:rPr>
          <w:rFonts w:hint="eastAsia" w:ascii="Times New Roman" w:hAnsi="Times New Roman" w:eastAsia="仿宋_GB2312" w:cs="仿宋"/>
          <w:b w:val="0"/>
          <w:bCs/>
          <w:sz w:val="32"/>
          <w:szCs w:val="32"/>
          <w:highlight w:val="none"/>
          <w:lang w:val="en-US" w:eastAsia="zh-CN"/>
        </w:rPr>
        <w:t>及阳光采购平台</w:t>
      </w:r>
      <w:r>
        <w:rPr>
          <w:rFonts w:hint="eastAsia" w:ascii="Times New Roman" w:hAnsi="Times New Roman" w:eastAsia="仿宋_GB2312" w:cs="仿宋"/>
          <w:b w:val="0"/>
          <w:bCs/>
          <w:sz w:val="32"/>
          <w:szCs w:val="32"/>
          <w:highlight w:val="none"/>
        </w:rPr>
        <w:t>发布预中标结果公示，公示期为3个</w:t>
      </w:r>
      <w:r>
        <w:rPr>
          <w:rFonts w:hint="eastAsia" w:ascii="Times New Roman" w:hAnsi="Times New Roman" w:eastAsia="仿宋_GB2312" w:cs="仿宋"/>
          <w:b w:val="0"/>
          <w:bCs/>
          <w:sz w:val="32"/>
          <w:szCs w:val="32"/>
          <w:highlight w:val="none"/>
          <w:lang w:val="en-US" w:eastAsia="zh-CN"/>
        </w:rPr>
        <w:t>工作</w:t>
      </w:r>
      <w:r>
        <w:rPr>
          <w:rFonts w:hint="eastAsia" w:ascii="Times New Roman" w:hAnsi="Times New Roman" w:eastAsia="仿宋_GB2312" w:cs="仿宋"/>
          <w:b w:val="0"/>
          <w:bCs/>
          <w:sz w:val="32"/>
          <w:szCs w:val="32"/>
          <w:highlight w:val="none"/>
        </w:rPr>
        <w:t>日。</w:t>
      </w:r>
      <w:r>
        <w:rPr>
          <w:rFonts w:hint="eastAsia" w:ascii="Times New Roman" w:hAnsi="Times New Roman" w:eastAsia="仿宋_GB2312" w:cs="仿宋"/>
          <w:b w:val="0"/>
          <w:bCs/>
          <w:sz w:val="32"/>
          <w:szCs w:val="32"/>
          <w:highlight w:val="none"/>
          <w:lang w:eastAsia="zh-CN"/>
        </w:rPr>
        <w:t>至</w:t>
      </w:r>
      <w:r>
        <w:rPr>
          <w:rFonts w:hint="eastAsia" w:ascii="Times New Roman" w:hAnsi="Times New Roman" w:eastAsia="仿宋_GB2312" w:cs="仿宋"/>
          <w:b w:val="0"/>
          <w:bCs/>
          <w:sz w:val="32"/>
          <w:szCs w:val="32"/>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Times New Roman" w:hAnsi="Times New Roman" w:eastAsia="仿宋_GB2312" w:cs="仿宋"/>
          <w:b w:val="0"/>
          <w:bCs/>
          <w:sz w:val="32"/>
          <w:szCs w:val="32"/>
          <w:highlight w:val="none"/>
          <w:lang w:val="en-US" w:eastAsia="zh-CN"/>
        </w:rPr>
        <w:t>项目</w:t>
      </w:r>
      <w:r>
        <w:rPr>
          <w:rFonts w:hint="eastAsia" w:ascii="Times New Roman" w:hAnsi="Times New Roman" w:eastAsia="仿宋_GB2312" w:cs="仿宋"/>
          <w:b w:val="0"/>
          <w:bCs/>
          <w:sz w:val="32"/>
          <w:szCs w:val="32"/>
          <w:highlight w:val="none"/>
          <w:lang w:eastAsia="zh-CN"/>
        </w:rPr>
        <w:t>采购响应</w:t>
      </w:r>
      <w:r>
        <w:rPr>
          <w:rFonts w:hint="eastAsia" w:ascii="Times New Roman" w:hAnsi="Times New Roman" w:eastAsia="仿宋_GB2312" w:cs="仿宋"/>
          <w:b w:val="0"/>
          <w:bCs/>
          <w:sz w:val="32"/>
          <w:szCs w:val="32"/>
          <w:highlight w:val="none"/>
        </w:rPr>
        <w:t>。</w:t>
      </w:r>
    </w:p>
    <w:p w14:paraId="0471B7E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 w:val="0"/>
          <w:bCs/>
          <w:sz w:val="32"/>
          <w:szCs w:val="32"/>
          <w:highlight w:val="none"/>
          <w:lang w:val="en-US" w:eastAsia="zh-CN"/>
        </w:rPr>
        <w:t>六</w:t>
      </w: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Cs/>
          <w:sz w:val="32"/>
          <w:szCs w:val="32"/>
          <w:highlight w:val="none"/>
          <w:lang w:val="en-US" w:eastAsia="zh-CN"/>
        </w:rPr>
        <w:t>本项目拟采购2至5家服务机构，最终中标人数量将根据有效投标人数量及评审结果综合确定，中标人数量与有效投标人数量的比例不低于1:2（即中标X家至少有2X家有效投标人）。</w:t>
      </w:r>
    </w:p>
    <w:p w14:paraId="06400BA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both"/>
        <w:textAlignment w:val="auto"/>
        <w:rPr>
          <w:rFonts w:hint="default" w:eastAsia="仿宋_GB2312"/>
          <w:highlight w:val="none"/>
          <w:lang w:val="en-US" w:eastAsia="zh-CN"/>
        </w:rPr>
      </w:pPr>
      <w:r>
        <w:rPr>
          <w:rFonts w:hint="eastAsia" w:ascii="Times New Roman" w:hAnsi="Times New Roman" w:eastAsia="仿宋_GB2312" w:cs="仿宋"/>
          <w:bCs/>
          <w:sz w:val="32"/>
          <w:szCs w:val="32"/>
          <w:highlight w:val="none"/>
        </w:rPr>
        <w:t>若接受邀请、递交投标文件或投标文件符合性审查阶段中任一阶段的有效投标人数量不足</w:t>
      </w:r>
      <w:r>
        <w:rPr>
          <w:rFonts w:hint="eastAsia" w:ascii="Times New Roman" w:hAnsi="Times New Roman" w:eastAsia="仿宋_GB2312" w:cs="仿宋"/>
          <w:bCs/>
          <w:sz w:val="32"/>
          <w:szCs w:val="32"/>
          <w:highlight w:val="none"/>
          <w:lang w:val="en-US" w:eastAsia="zh-CN"/>
        </w:rPr>
        <w:t>4家，招标人</w:t>
      </w:r>
      <w:r>
        <w:rPr>
          <w:rFonts w:hint="eastAsia" w:ascii="Times New Roman" w:hAnsi="Times New Roman" w:eastAsia="仿宋_GB2312" w:cs="仿宋"/>
          <w:bCs/>
          <w:sz w:val="32"/>
          <w:szCs w:val="32"/>
          <w:highlight w:val="none"/>
        </w:rPr>
        <w:t>根据经营管理需要</w:t>
      </w:r>
      <w:r>
        <w:rPr>
          <w:rFonts w:hint="eastAsia" w:ascii="Times New Roman" w:hAnsi="Times New Roman" w:eastAsia="仿宋_GB2312" w:cs="仿宋"/>
          <w:bCs/>
          <w:sz w:val="32"/>
          <w:szCs w:val="32"/>
          <w:highlight w:val="none"/>
          <w:lang w:val="en-US" w:eastAsia="zh-CN"/>
        </w:rPr>
        <w:t>重新</w:t>
      </w:r>
      <w:r>
        <w:rPr>
          <w:rFonts w:hint="default" w:ascii="Times New Roman" w:hAnsi="Times New Roman" w:eastAsia="仿宋_GB2312" w:cs="仿宋"/>
          <w:bCs/>
          <w:sz w:val="32"/>
          <w:szCs w:val="32"/>
          <w:highlight w:val="none"/>
        </w:rPr>
        <w:t>实施公开招标，</w:t>
      </w:r>
      <w:r>
        <w:rPr>
          <w:rFonts w:hint="eastAsia" w:ascii="Times New Roman" w:hAnsi="Times New Roman" w:eastAsia="仿宋_GB2312" w:cs="仿宋"/>
          <w:bCs/>
          <w:sz w:val="32"/>
          <w:szCs w:val="32"/>
          <w:highlight w:val="none"/>
          <w:lang w:val="en-US" w:eastAsia="zh-CN"/>
        </w:rPr>
        <w:t>如二次公告有效投标人仍不足4家的，</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将根据经营管理需要变更采购方式为</w:t>
      </w:r>
      <w:r>
        <w:rPr>
          <w:rFonts w:hint="eastAsia" w:ascii="Times New Roman" w:hAnsi="Times New Roman" w:eastAsia="仿宋_GB2312" w:cs="仿宋_GB2312"/>
          <w:bCs/>
          <w:smallCaps w:val="0"/>
          <w:sz w:val="32"/>
          <w:szCs w:val="32"/>
          <w:highlight w:val="none"/>
          <w:lang w:val="en-US" w:eastAsia="zh-CN"/>
        </w:rPr>
        <w:t>单一来源或竞争性采购谈判</w:t>
      </w:r>
      <w:r>
        <w:rPr>
          <w:rFonts w:hint="eastAsia" w:ascii="Times New Roman" w:hAnsi="Times New Roman" w:eastAsia="仿宋_GB2312" w:cs="仿宋_GB2312"/>
          <w:bCs/>
          <w:smallCaps w:val="0"/>
          <w:sz w:val="32"/>
          <w:szCs w:val="32"/>
          <w:highlight w:val="none"/>
        </w:rPr>
        <w:t>。</w:t>
      </w:r>
      <w:r>
        <w:rPr>
          <w:rFonts w:hint="default" w:ascii="Times New Roman" w:hAnsi="Times New Roman" w:eastAsia="仿宋_GB2312" w:cs="仿宋"/>
          <w:bCs/>
          <w:sz w:val="32"/>
          <w:szCs w:val="32"/>
          <w:highlight w:val="none"/>
        </w:rPr>
        <w:t>前述各阶段已经作出有效响应的</w:t>
      </w:r>
      <w:r>
        <w:rPr>
          <w:rFonts w:hint="eastAsia" w:ascii="Times New Roman" w:hAnsi="Times New Roman" w:eastAsia="仿宋_GB2312" w:cs="仿宋"/>
          <w:bCs/>
          <w:sz w:val="32"/>
          <w:szCs w:val="32"/>
          <w:highlight w:val="none"/>
        </w:rPr>
        <w:t>投标文件</w:t>
      </w:r>
      <w:r>
        <w:rPr>
          <w:rFonts w:hint="default" w:ascii="Times New Roman" w:hAnsi="Times New Roman" w:eastAsia="仿宋_GB2312" w:cs="仿宋"/>
          <w:bCs/>
          <w:sz w:val="32"/>
          <w:szCs w:val="32"/>
          <w:highlight w:val="none"/>
        </w:rPr>
        <w:t>可以直接</w:t>
      </w:r>
      <w:r>
        <w:rPr>
          <w:rFonts w:hint="eastAsia" w:ascii="Times New Roman" w:hAnsi="Times New Roman" w:eastAsia="仿宋_GB2312" w:cs="仿宋"/>
          <w:bCs/>
          <w:sz w:val="32"/>
          <w:szCs w:val="32"/>
          <w:highlight w:val="none"/>
        </w:rPr>
        <w:t>适用于竞争性谈判</w:t>
      </w:r>
      <w:r>
        <w:rPr>
          <w:rFonts w:hint="default" w:ascii="Times New Roman" w:hAnsi="Times New Roman" w:eastAsia="仿宋_GB2312" w:cs="仿宋"/>
          <w:bCs/>
          <w:sz w:val="32"/>
          <w:szCs w:val="32"/>
          <w:highlight w:val="none"/>
        </w:rPr>
        <w:t>。</w:t>
      </w:r>
    </w:p>
    <w:p w14:paraId="1EE129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Cs/>
          <w:sz w:val="32"/>
          <w:szCs w:val="32"/>
          <w:highlight w:val="none"/>
        </w:rPr>
        <w:t>招标人不承担因招标失败给投标人造成的损失。</w:t>
      </w:r>
    </w:p>
    <w:p w14:paraId="65D0007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 w:val="0"/>
          <w:bCs/>
          <w:sz w:val="32"/>
          <w:szCs w:val="32"/>
          <w:highlight w:val="none"/>
          <w:lang w:val="en-US" w:eastAsia="zh-CN"/>
        </w:rPr>
        <w:t>七</w:t>
      </w:r>
      <w:r>
        <w:rPr>
          <w:rFonts w:hint="eastAsia" w:ascii="Times New Roman" w:hAnsi="Times New Roman" w:eastAsia="仿宋_GB2312" w:cs="仿宋"/>
          <w:b w:val="0"/>
          <w:bCs/>
          <w:sz w:val="32"/>
          <w:szCs w:val="32"/>
          <w:highlight w:val="none"/>
        </w:rPr>
        <w:t>）本项目采用综合评标法，招标人不承诺投标价格最低的投标人中标。</w:t>
      </w:r>
    </w:p>
    <w:p w14:paraId="38A94FC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 w:val="0"/>
          <w:bCs/>
          <w:sz w:val="32"/>
          <w:szCs w:val="32"/>
          <w:highlight w:val="none"/>
          <w:lang w:val="en-US" w:eastAsia="zh-CN"/>
        </w:rPr>
        <w:t>八</w:t>
      </w:r>
      <w:r>
        <w:rPr>
          <w:rFonts w:hint="eastAsia" w:ascii="Times New Roman" w:hAnsi="Times New Roman" w:eastAsia="仿宋_GB2312" w:cs="仿宋"/>
          <w:b w:val="0"/>
          <w:bCs/>
          <w:sz w:val="32"/>
          <w:szCs w:val="32"/>
          <w:highlight w:val="none"/>
        </w:rPr>
        <w:t>）招标人将以电子邮件形式发出中标通知书</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中标人须在收到邮件后3个工作日内按要求进行确认。逾期未确认者，视为自动放弃中标资格，项目重新招标，自动放弃的投标方不得再次参加本项目投标。</w:t>
      </w:r>
    </w:p>
    <w:p w14:paraId="1C71CAD8">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招标人在发出中标通知书之前的任何时候，均有对中标候选人履约能力进行审查的权利，包括审查中标候选人资信情况的有关原件、经营状况、</w:t>
      </w:r>
      <w:r>
        <w:rPr>
          <w:rFonts w:hint="eastAsia" w:ascii="Times New Roman" w:hAnsi="Times New Roman" w:eastAsia="仿宋_GB2312" w:cs="仿宋"/>
          <w:b w:val="0"/>
          <w:bCs/>
          <w:sz w:val="32"/>
          <w:szCs w:val="32"/>
          <w:highlight w:val="none"/>
          <w:lang w:val="en-US" w:eastAsia="zh-CN"/>
        </w:rPr>
        <w:t>服务</w:t>
      </w:r>
      <w:r>
        <w:rPr>
          <w:rFonts w:hint="eastAsia" w:ascii="Times New Roman" w:hAnsi="Times New Roman" w:eastAsia="仿宋_GB2312" w:cs="仿宋"/>
          <w:b w:val="0"/>
          <w:bCs/>
          <w:sz w:val="32"/>
          <w:szCs w:val="32"/>
          <w:highlight w:val="none"/>
        </w:rPr>
        <w:t>能力等招标人认为可能影响投标人履约的相关材料，投标人须无条件配合招标人的相关审查工作。审查不合格的或不配合审查的，原评标委员会将重新审查其中标候选人资格。</w:t>
      </w:r>
    </w:p>
    <w:p w14:paraId="34319E3F">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w:t>
      </w:r>
      <w:r>
        <w:rPr>
          <w:rFonts w:hint="eastAsia" w:ascii="Times New Roman" w:hAnsi="Times New Roman" w:eastAsia="仿宋_GB2312" w:cs="仿宋"/>
          <w:b w:val="0"/>
          <w:bCs/>
          <w:sz w:val="32"/>
          <w:szCs w:val="32"/>
          <w:highlight w:val="none"/>
          <w:lang w:val="en-US" w:eastAsia="zh-CN"/>
        </w:rPr>
        <w:t>九</w:t>
      </w:r>
      <w:r>
        <w:rPr>
          <w:rFonts w:hint="eastAsia" w:ascii="Times New Roman" w:hAnsi="Times New Roman" w:eastAsia="仿宋_GB2312" w:cs="仿宋"/>
          <w:b w:val="0"/>
          <w:bCs/>
          <w:sz w:val="32"/>
          <w:szCs w:val="32"/>
          <w:highlight w:val="none"/>
        </w:rPr>
        <w:t>）本项目不设置投标保证金，但招标人可以根据实际经营管理需要在定标完成后就合同条款、补充协议的订立与中标人进行协商以获得更有利于招标人经营管理的服务或价格。</w:t>
      </w:r>
    </w:p>
    <w:p w14:paraId="73B59255">
      <w:pPr>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仿宋_GB2312" w:hAnsi="仿宋_GB2312" w:eastAsia="仿宋_GB2312" w:cs="仿宋_GB2312"/>
          <w:b w:val="0"/>
          <w:bCs/>
          <w:kern w:val="2"/>
          <w:sz w:val="32"/>
          <w:szCs w:val="32"/>
          <w:lang w:val="en-US" w:eastAsia="zh-CN" w:bidi="ar-SA"/>
        </w:rPr>
        <w:t>（十）</w:t>
      </w:r>
      <w:r>
        <w:rPr>
          <w:rFonts w:hint="eastAsia" w:ascii="Times New Roman" w:hAnsi="Times New Roman" w:eastAsia="仿宋_GB2312" w:cs="仿宋"/>
          <w:b w:val="0"/>
          <w:bCs/>
          <w:sz w:val="32"/>
          <w:szCs w:val="32"/>
          <w:highlight w:val="none"/>
        </w:rPr>
        <w:t>投标人必须接受招标人对本项目的全部招标、谈判方法。招标人对投标人未中标的结果不负有解释义务，不退还投标文件，且不承担投标方因投标产生的任何费用或损失。</w:t>
      </w:r>
    </w:p>
    <w:p w14:paraId="2934D1E3">
      <w:pPr>
        <w:pageBreakBefore w:val="0"/>
        <w:widowControl w:val="0"/>
        <w:numPr>
          <w:ilvl w:val="0"/>
          <w:numId w:val="0"/>
        </w:numPr>
        <w:kinsoku/>
        <w:wordWrap/>
        <w:overflowPunct/>
        <w:topLinePunct w:val="0"/>
        <w:autoSpaceDE/>
        <w:autoSpaceDN/>
        <w:bidi w:val="0"/>
        <w:snapToGrid w:val="0"/>
        <w:spacing w:line="560" w:lineRule="exact"/>
        <w:ind w:left="0" w:leftChars="0" w:firstLine="640" w:firstLineChars="200"/>
        <w:jc w:val="left"/>
        <w:textAlignment w:val="auto"/>
        <w:rPr>
          <w:rFonts w:hint="eastAsia"/>
        </w:rPr>
      </w:pPr>
      <w:r>
        <w:rPr>
          <w:rFonts w:hint="eastAsia" w:ascii="仿宋_GB2312" w:hAnsi="仿宋_GB2312" w:eastAsia="仿宋_GB2312" w:cs="仿宋_GB2312"/>
          <w:kern w:val="2"/>
          <w:sz w:val="32"/>
          <w:szCs w:val="32"/>
          <w:lang w:val="en-US" w:eastAsia="zh-CN" w:bidi="ar-SA"/>
        </w:rPr>
        <w:t>（十一）</w:t>
      </w:r>
      <w:r>
        <w:rPr>
          <w:rFonts w:hint="eastAsia" w:ascii="Times New Roman" w:hAnsi="Times New Roman" w:eastAsia="仿宋_GB2312" w:cs="仿宋"/>
          <w:b w:val="0"/>
          <w:bCs/>
          <w:kern w:val="2"/>
          <w:sz w:val="32"/>
          <w:szCs w:val="32"/>
          <w:highlight w:val="none"/>
          <w:lang w:val="en-US" w:eastAsia="zh-CN" w:bidi="ar-SA"/>
        </w:rPr>
        <w:t>投标人不得相互串通报价，不得排挤其他供应商的公平竞争。一经发现违规行为，招标人有权立即终止采购活动并取消违反规定的投标人资格。</w:t>
      </w:r>
    </w:p>
    <w:p w14:paraId="4C871EC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（十</w:t>
      </w:r>
      <w:r>
        <w:rPr>
          <w:rFonts w:hint="eastAsia" w:ascii="Times New Roman" w:hAnsi="Times New Roman" w:eastAsia="仿宋_GB2312" w:cs="仿宋"/>
          <w:b w:val="0"/>
          <w:bCs/>
          <w:sz w:val="32"/>
          <w:szCs w:val="32"/>
          <w:highlight w:val="none"/>
          <w:lang w:val="en-US" w:eastAsia="zh-CN"/>
        </w:rPr>
        <w:t>二</w:t>
      </w:r>
      <w:r>
        <w:rPr>
          <w:rFonts w:hint="eastAsia" w:ascii="Times New Roman" w:hAnsi="Times New Roman" w:eastAsia="仿宋_GB2312" w:cs="仿宋"/>
          <w:b w:val="0"/>
          <w:bCs/>
          <w:sz w:val="32"/>
          <w:szCs w:val="32"/>
          <w:highlight w:val="none"/>
        </w:rPr>
        <w:t>）投标人有义务在整个招标工作开展期间自行留意招标人官方网站（www.plhr.cn）</w:t>
      </w:r>
      <w:r>
        <w:rPr>
          <w:rFonts w:hint="eastAsia" w:ascii="Times New Roman" w:hAnsi="Times New Roman" w:eastAsia="仿宋_GB2312" w:cs="仿宋"/>
          <w:b w:val="0"/>
          <w:bCs/>
          <w:sz w:val="32"/>
          <w:szCs w:val="32"/>
          <w:highlight w:val="none"/>
          <w:lang w:val="en-US" w:eastAsia="zh-CN"/>
        </w:rPr>
        <w:t>及深圳阳光采购平台</w:t>
      </w:r>
      <w:r>
        <w:rPr>
          <w:rFonts w:hint="eastAsia" w:ascii="Times New Roman" w:hAnsi="Times New Roman" w:eastAsia="仿宋_GB2312" w:cs="仿宋"/>
          <w:b w:val="0"/>
          <w:bCs/>
          <w:sz w:val="32"/>
          <w:szCs w:val="32"/>
          <w:highlight w:val="none"/>
        </w:rPr>
        <w:t>发布的公告通知，所有在该网站发布的公告、通知均视为有效送达。因投标人疏于浏览而导致的不利后果由投标人自行承担。</w:t>
      </w:r>
    </w:p>
    <w:p w14:paraId="1C0C8D71">
      <w:pPr>
        <w:pStyle w:val="4"/>
        <w:keepNext w:val="0"/>
        <w:keepLines w:val="0"/>
        <w:pageBreakBefore w:val="0"/>
        <w:widowControl w:val="0"/>
        <w:kinsoku/>
        <w:wordWrap/>
        <w:overflowPunct/>
        <w:topLinePunct w:val="0"/>
        <w:autoSpaceDE/>
        <w:autoSpaceDN/>
        <w:bidi w:val="0"/>
        <w:adjustRightInd/>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06" w:name="_Toc22195"/>
      <w:bookmarkStart w:id="107" w:name="_Toc895"/>
      <w:bookmarkStart w:id="108" w:name="_Toc3012"/>
      <w:r>
        <w:rPr>
          <w:rFonts w:hint="eastAsia" w:ascii="黑体" w:hAnsi="黑体" w:eastAsia="黑体" w:cs="黑体"/>
          <w:b w:val="0"/>
          <w:bCs/>
          <w:sz w:val="32"/>
          <w:szCs w:val="32"/>
          <w:highlight w:val="none"/>
          <w:lang w:val="en-US" w:eastAsia="zh-CN"/>
        </w:rPr>
        <w:t>九</w:t>
      </w:r>
      <w:r>
        <w:rPr>
          <w:rFonts w:hint="eastAsia" w:ascii="黑体" w:hAnsi="黑体" w:eastAsia="黑体" w:cs="黑体"/>
          <w:b w:val="0"/>
          <w:bCs/>
          <w:sz w:val="32"/>
          <w:szCs w:val="32"/>
          <w:highlight w:val="none"/>
        </w:rPr>
        <w:t>、投标文件作废</w:t>
      </w:r>
      <w:bookmarkEnd w:id="106"/>
      <w:bookmarkEnd w:id="107"/>
      <w:bookmarkEnd w:id="108"/>
    </w:p>
    <w:p w14:paraId="5690177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投标人在投标过程中存在以下任一行为的，投标文件作废，取消投标资格：</w:t>
      </w:r>
    </w:p>
    <w:p w14:paraId="2307BE2B">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rPr>
        <w:t>未按照投标邀请函要求提交答复函、报名表及随附材料；</w:t>
      </w:r>
    </w:p>
    <w:p w14:paraId="57547F8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二）</w:t>
      </w:r>
      <w:r>
        <w:rPr>
          <w:rFonts w:hint="eastAsia" w:ascii="仿宋_GB2312" w:hAnsi="仿宋_GB2312" w:eastAsia="仿宋_GB2312" w:cs="仿宋_GB2312"/>
          <w:b w:val="0"/>
          <w:bCs/>
          <w:sz w:val="32"/>
          <w:szCs w:val="32"/>
          <w:highlight w:val="none"/>
        </w:rPr>
        <w:t>投标人在投标、评标、定标期间存在企图影响招标结果、泄密、违反《承诺函》函示内容等不公平竞争行为；</w:t>
      </w:r>
    </w:p>
    <w:p w14:paraId="26C3903C">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三）</w:t>
      </w:r>
      <w:r>
        <w:rPr>
          <w:rFonts w:hint="eastAsia" w:ascii="仿宋_GB2312" w:hAnsi="仿宋_GB2312" w:eastAsia="仿宋_GB2312" w:cs="仿宋_GB2312"/>
          <w:b w:val="0"/>
          <w:bCs/>
          <w:sz w:val="32"/>
          <w:szCs w:val="32"/>
          <w:highlight w:val="none"/>
        </w:rPr>
        <w:t>未按照招标文件要求制作投标文件；</w:t>
      </w:r>
    </w:p>
    <w:p w14:paraId="723F663F">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四）</w:t>
      </w:r>
      <w:r>
        <w:rPr>
          <w:rFonts w:hint="eastAsia" w:ascii="仿宋_GB2312" w:hAnsi="仿宋_GB2312" w:eastAsia="仿宋_GB2312" w:cs="仿宋_GB2312"/>
          <w:b w:val="0"/>
          <w:bCs/>
          <w:sz w:val="32"/>
          <w:szCs w:val="32"/>
          <w:highlight w:val="none"/>
        </w:rPr>
        <w:t>未经招标方同意擅自改动招标文件内容；</w:t>
      </w:r>
    </w:p>
    <w:p w14:paraId="68D483C5">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五）</w:t>
      </w:r>
      <w:r>
        <w:rPr>
          <w:rFonts w:hint="eastAsia" w:ascii="仿宋_GB2312" w:hAnsi="仿宋_GB2312" w:eastAsia="仿宋_GB2312" w:cs="仿宋_GB2312"/>
          <w:b w:val="0"/>
          <w:bCs/>
          <w:sz w:val="32"/>
          <w:szCs w:val="32"/>
          <w:highlight w:val="none"/>
        </w:rPr>
        <w:t>投标文件递交超过截止时限或未能递交投标文件；</w:t>
      </w:r>
    </w:p>
    <w:p w14:paraId="1D28E3D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六）</w:t>
      </w:r>
      <w:r>
        <w:rPr>
          <w:rFonts w:hint="eastAsia" w:ascii="仿宋_GB2312" w:hAnsi="仿宋_GB2312" w:eastAsia="仿宋_GB2312" w:cs="仿宋_GB2312"/>
          <w:b w:val="0"/>
          <w:bCs/>
          <w:sz w:val="32"/>
          <w:szCs w:val="32"/>
          <w:highlight w:val="none"/>
        </w:rPr>
        <w:t>在邀请投标及后续谈判的任意环节中提供虚假材料及信息；</w:t>
      </w:r>
    </w:p>
    <w:p w14:paraId="1D3928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trike w:val="0"/>
          <w:dstrike w:val="0"/>
          <w:sz w:val="32"/>
          <w:szCs w:val="32"/>
          <w:highlight w:val="none"/>
          <w:u w:val="none"/>
          <w:lang w:val="en-US" w:eastAsia="zh-CN"/>
        </w:rPr>
      </w:pPr>
      <w:r>
        <w:rPr>
          <w:rFonts w:hint="eastAsia" w:ascii="仿宋_GB2312" w:hAnsi="仿宋_GB2312" w:eastAsia="仿宋_GB2312" w:cs="仿宋_GB2312"/>
          <w:bCs/>
          <w:strike w:val="0"/>
          <w:dstrike w:val="0"/>
          <w:sz w:val="32"/>
          <w:szCs w:val="32"/>
          <w:highlight w:val="none"/>
          <w:u w:val="none"/>
          <w:lang w:eastAsia="zh-CN"/>
        </w:rPr>
        <w:t>（</w:t>
      </w:r>
      <w:r>
        <w:rPr>
          <w:rFonts w:hint="eastAsia" w:ascii="仿宋_GB2312" w:hAnsi="仿宋_GB2312" w:eastAsia="仿宋_GB2312" w:cs="仿宋_GB2312"/>
          <w:bCs/>
          <w:strike w:val="0"/>
          <w:dstrike w:val="0"/>
          <w:sz w:val="32"/>
          <w:szCs w:val="32"/>
          <w:highlight w:val="none"/>
          <w:u w:val="none"/>
          <w:lang w:val="en-US" w:eastAsia="zh-CN"/>
        </w:rPr>
        <w:t xml:space="preserve">七）对招标文件提出的实质性要求和条件未作出响应的或不满足的，对招标文件实质性条款为招标文件中所有标注“★”号的条款要求的内容未作出响应的或不满足的； </w:t>
      </w:r>
    </w:p>
    <w:p w14:paraId="317E7E95">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八）</w:t>
      </w:r>
      <w:r>
        <w:rPr>
          <w:rFonts w:hint="eastAsia" w:ascii="仿宋_GB2312" w:hAnsi="仿宋_GB2312" w:eastAsia="仿宋_GB2312" w:cs="仿宋_GB2312"/>
          <w:b w:val="0"/>
          <w:bCs/>
          <w:sz w:val="32"/>
          <w:szCs w:val="32"/>
          <w:highlight w:val="none"/>
        </w:rPr>
        <w:t>本文件中规定的</w:t>
      </w:r>
      <w:r>
        <w:rPr>
          <w:rFonts w:hint="eastAsia" w:ascii="仿宋_GB2312" w:hAnsi="仿宋_GB2312" w:eastAsia="仿宋_GB2312" w:cs="仿宋_GB2312"/>
          <w:b w:val="0"/>
          <w:bCs/>
          <w:sz w:val="32"/>
          <w:szCs w:val="32"/>
          <w:highlight w:val="none"/>
          <w:lang w:eastAsia="zh-CN"/>
        </w:rPr>
        <w:t>其他按</w:t>
      </w:r>
      <w:r>
        <w:rPr>
          <w:rFonts w:hint="eastAsia" w:ascii="仿宋_GB2312" w:hAnsi="仿宋_GB2312" w:eastAsia="仿宋_GB2312" w:cs="仿宋_GB2312"/>
          <w:b w:val="0"/>
          <w:bCs/>
          <w:sz w:val="32"/>
          <w:szCs w:val="32"/>
          <w:highlight w:val="none"/>
        </w:rPr>
        <w:t>废标处理的情形。</w:t>
      </w:r>
    </w:p>
    <w:p w14:paraId="3E7019F3">
      <w:pPr>
        <w:pStyle w:val="4"/>
        <w:keepNext w:val="0"/>
        <w:keepLines w:val="0"/>
        <w:pageBreakBefore w:val="0"/>
        <w:kinsoku/>
        <w:wordWrap/>
        <w:overflowPunct/>
        <w:topLinePunct w:val="0"/>
        <w:autoSpaceDE/>
        <w:autoSpaceDN/>
        <w:bidi w:val="0"/>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09" w:name="_Toc1414"/>
      <w:bookmarkStart w:id="110" w:name="_Toc10558"/>
      <w:bookmarkStart w:id="111" w:name="_Toc21025"/>
      <w:r>
        <w:rPr>
          <w:rFonts w:hint="eastAsia" w:ascii="黑体" w:hAnsi="黑体" w:eastAsia="黑体" w:cs="黑体"/>
          <w:b w:val="0"/>
          <w:bCs/>
          <w:sz w:val="32"/>
          <w:szCs w:val="32"/>
          <w:highlight w:val="none"/>
          <w:lang w:val="en-US" w:eastAsia="zh-CN"/>
        </w:rPr>
        <w:t>十</w:t>
      </w:r>
      <w:r>
        <w:rPr>
          <w:rFonts w:hint="eastAsia" w:ascii="黑体" w:hAnsi="黑体" w:eastAsia="黑体" w:cs="黑体"/>
          <w:b w:val="0"/>
          <w:bCs/>
          <w:sz w:val="32"/>
          <w:szCs w:val="32"/>
          <w:highlight w:val="none"/>
        </w:rPr>
        <w:t>、其他要求</w:t>
      </w:r>
      <w:bookmarkEnd w:id="109"/>
      <w:bookmarkEnd w:id="110"/>
      <w:bookmarkEnd w:id="111"/>
    </w:p>
    <w:p w14:paraId="325EF8E8">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34FB306E">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违反法律法规或显著低于合理成本的报价</w:t>
      </w:r>
      <w:r>
        <w:rPr>
          <w:rFonts w:hint="eastAsia" w:ascii="Times New Roman" w:hAnsi="Times New Roman" w:eastAsia="仿宋_GB2312" w:cs="仿宋_GB2312"/>
          <w:bCs/>
          <w:smallCaps w:val="0"/>
          <w:sz w:val="32"/>
          <w:szCs w:val="32"/>
          <w:highlight w:val="none"/>
        </w:rPr>
        <w:t>投标</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中标后不能按照本招标文件“第二部分 招标文件 第三章 合同条款”要求的服务标准提供服务者，招标人有权即时停止履行合同，同时取消投标人供应商资格。对招标人造成实际经济或商誉损失的，招标人保留起诉、索赔等正当权利。</w:t>
      </w:r>
    </w:p>
    <w:p w14:paraId="1B2BBF95">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rPr>
        <w:t>不论投标结果如何，投标人的投标文件均不退回，且不对未中标单位</w:t>
      </w:r>
      <w:r>
        <w:rPr>
          <w:rFonts w:hint="eastAsia" w:ascii="Times New Roman" w:hAnsi="Times New Roman" w:eastAsia="仿宋_GB2312" w:cs="仿宋_GB2312"/>
          <w:bCs/>
          <w:smallCaps w:val="0"/>
          <w:sz w:val="32"/>
          <w:szCs w:val="32"/>
          <w:highlight w:val="none"/>
          <w:lang w:eastAsia="zh-CN"/>
        </w:rPr>
        <w:t>做任何解释</w:t>
      </w:r>
      <w:r>
        <w:rPr>
          <w:rFonts w:hint="eastAsia" w:ascii="Times New Roman" w:hAnsi="Times New Roman" w:eastAsia="仿宋_GB2312" w:cs="仿宋_GB2312"/>
          <w:bCs/>
          <w:smallCaps w:val="0"/>
          <w:sz w:val="32"/>
          <w:szCs w:val="32"/>
          <w:highlight w:val="none"/>
        </w:rPr>
        <w:t>。投标人因投标产生的一切费用不管投标结果如何，均由投标人承担。</w:t>
      </w:r>
    </w:p>
    <w:p w14:paraId="0E9C6618">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rPr>
        <w:t>投标人不得相互串通投标报价，不得排挤其他投标人的公平竞争。一经发现</w:t>
      </w:r>
      <w:r>
        <w:rPr>
          <w:rFonts w:hint="eastAsia" w:ascii="Times New Roman" w:hAnsi="Times New Roman" w:eastAsia="仿宋_GB2312" w:cs="仿宋_GB2312"/>
          <w:bCs/>
          <w:smallCaps w:val="0"/>
          <w:sz w:val="32"/>
          <w:szCs w:val="32"/>
          <w:highlight w:val="none"/>
          <w:lang w:val="en-US" w:eastAsia="zh-CN"/>
        </w:rPr>
        <w:t>违法</w:t>
      </w:r>
      <w:r>
        <w:rPr>
          <w:rFonts w:hint="eastAsia" w:ascii="Times New Roman" w:hAnsi="Times New Roman" w:eastAsia="仿宋_GB2312" w:cs="仿宋_GB2312"/>
          <w:bCs/>
          <w:smallCaps w:val="0"/>
          <w:sz w:val="32"/>
          <w:szCs w:val="32"/>
          <w:highlight w:val="none"/>
        </w:rPr>
        <w:t>违规行为，招标人有权立即终止采购活动并取消投标人资格。</w:t>
      </w:r>
    </w:p>
    <w:p w14:paraId="1CB18705">
      <w:pPr>
        <w:pStyle w:val="4"/>
        <w:keepNext w:val="0"/>
        <w:keepLines w:val="0"/>
        <w:pageBreakBefore w:val="0"/>
        <w:widowControl w:val="0"/>
        <w:kinsoku/>
        <w:wordWrap/>
        <w:overflowPunct/>
        <w:topLinePunct w:val="0"/>
        <w:autoSpaceDE/>
        <w:autoSpaceDN/>
        <w:bidi w:val="0"/>
        <w:adjustRightInd/>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12" w:name="_Toc21402"/>
      <w:bookmarkStart w:id="113" w:name="_Toc24774"/>
      <w:bookmarkStart w:id="114" w:name="_Toc28826"/>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、投标文件递交</w:t>
      </w:r>
      <w:bookmarkEnd w:id="112"/>
      <w:bookmarkEnd w:id="113"/>
      <w:bookmarkEnd w:id="114"/>
    </w:p>
    <w:p w14:paraId="4A50906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rPr>
      </w:pPr>
      <w:bookmarkStart w:id="115" w:name="_Toc11784"/>
      <w:bookmarkStart w:id="116" w:name="_Toc7680"/>
      <w:bookmarkStart w:id="117" w:name="_Toc6634"/>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rPr>
        <w:t>递交方式</w:t>
      </w:r>
      <w:bookmarkEnd w:id="115"/>
      <w:bookmarkEnd w:id="116"/>
      <w:bookmarkEnd w:id="117"/>
    </w:p>
    <w:p w14:paraId="496D359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现场递交</w:t>
      </w:r>
    </w:p>
    <w:p w14:paraId="48D23BF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lang w:val="en-US" w:eastAsia="zh-CN"/>
        </w:rPr>
      </w:pPr>
      <w:bookmarkStart w:id="118" w:name="_Toc26418"/>
      <w:bookmarkStart w:id="119" w:name="_Toc8922"/>
      <w:bookmarkStart w:id="120" w:name="_Toc19810"/>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递交</w:t>
      </w:r>
      <w:r>
        <w:rPr>
          <w:rFonts w:hint="eastAsia" w:ascii="楷体_GB2312" w:hAnsi="楷体_GB2312" w:eastAsia="楷体_GB2312" w:cs="楷体_GB2312"/>
          <w:b w:val="0"/>
          <w:bCs/>
          <w:sz w:val="32"/>
          <w:szCs w:val="32"/>
          <w:highlight w:val="none"/>
          <w:lang w:val="en-US" w:eastAsia="zh-CN"/>
        </w:rPr>
        <w:t>截止时间</w:t>
      </w:r>
      <w:bookmarkEnd w:id="118"/>
      <w:bookmarkEnd w:id="119"/>
      <w:bookmarkEnd w:id="120"/>
    </w:p>
    <w:p w14:paraId="0867A86D">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 w:val="0"/>
          <w:bCs/>
          <w:sz w:val="32"/>
          <w:szCs w:val="32"/>
          <w:highlight w:val="none"/>
          <w:lang w:eastAsia="zh-CN"/>
        </w:rPr>
      </w:pPr>
      <w:r>
        <w:rPr>
          <w:rFonts w:hint="eastAsia" w:ascii="Times New Roman" w:hAnsi="Times New Roman" w:eastAsia="仿宋_GB2312" w:cs="仿宋"/>
          <w:b w:val="0"/>
          <w:bCs/>
          <w:kern w:val="0"/>
          <w:sz w:val="32"/>
          <w:szCs w:val="32"/>
          <w:highlight w:val="none"/>
          <w:lang w:val="en-US" w:eastAsia="zh-CN" w:bidi="ar-SA"/>
        </w:rPr>
        <w:t>2026年4月7日（星期二）14时</w:t>
      </w:r>
      <w:r>
        <w:rPr>
          <w:rFonts w:hint="eastAsia" w:ascii="Times New Roman" w:hAnsi="Times New Roman" w:eastAsia="仿宋_GB2312" w:cs="仿宋"/>
          <w:b w:val="0"/>
          <w:bCs/>
          <w:sz w:val="32"/>
          <w:szCs w:val="32"/>
          <w:highlight w:val="none"/>
          <w:lang w:val="en-US" w:eastAsia="zh-CN"/>
        </w:rPr>
        <w:t>30</w:t>
      </w:r>
      <w:r>
        <w:rPr>
          <w:rFonts w:hint="eastAsia" w:ascii="Times New Roman" w:hAnsi="Times New Roman" w:eastAsia="仿宋_GB2312" w:cs="仿宋"/>
          <w:b w:val="0"/>
          <w:bCs/>
          <w:sz w:val="32"/>
          <w:szCs w:val="32"/>
          <w:highlight w:val="none"/>
        </w:rPr>
        <w:t>分</w:t>
      </w:r>
    </w:p>
    <w:p w14:paraId="7C9E892B">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lang w:eastAsia="zh-CN"/>
        </w:rPr>
      </w:pPr>
      <w:bookmarkStart w:id="121" w:name="_Toc16853"/>
      <w:bookmarkStart w:id="122" w:name="_Toc8793"/>
      <w:bookmarkStart w:id="123" w:name="_Toc24032"/>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三）</w:t>
      </w:r>
      <w:r>
        <w:rPr>
          <w:rFonts w:hint="eastAsia" w:ascii="楷体_GB2312" w:hAnsi="楷体_GB2312" w:eastAsia="楷体_GB2312" w:cs="楷体_GB2312"/>
          <w:b w:val="0"/>
          <w:bCs/>
          <w:sz w:val="32"/>
          <w:szCs w:val="32"/>
          <w:highlight w:val="none"/>
          <w:lang w:eastAsia="zh-CN"/>
        </w:rPr>
        <w:t>递交地址</w:t>
      </w:r>
      <w:bookmarkEnd w:id="121"/>
      <w:bookmarkEnd w:id="122"/>
      <w:bookmarkEnd w:id="123"/>
    </w:p>
    <w:p w14:paraId="4A27301F">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 w:val="0"/>
          <w:bCs/>
          <w:kern w:val="0"/>
          <w:sz w:val="32"/>
          <w:szCs w:val="32"/>
          <w:highlight w:val="none"/>
          <w:lang w:val="en-US" w:eastAsia="zh-CN" w:bidi="ar-SA"/>
        </w:rPr>
      </w:pPr>
      <w:r>
        <w:rPr>
          <w:rFonts w:hint="eastAsia" w:ascii="Times New Roman" w:hAnsi="Times New Roman" w:eastAsia="仿宋_GB2312" w:cs="仿宋"/>
          <w:b w:val="0"/>
          <w:bCs/>
          <w:kern w:val="0"/>
          <w:sz w:val="32"/>
          <w:szCs w:val="32"/>
          <w:highlight w:val="none"/>
          <w:lang w:val="en-US" w:eastAsia="zh-CN" w:bidi="ar-SA"/>
        </w:rPr>
        <w:t>深圳市罗湖区笋岗街道田心社区红岭北路2088号招商开元中心A座13层</w:t>
      </w:r>
    </w:p>
    <w:p w14:paraId="593CD36A">
      <w:pPr>
        <w:pageBreakBefore w:val="0"/>
        <w:widowControl/>
        <w:kinsoku/>
        <w:wordWrap/>
        <w:overflowPunct/>
        <w:topLinePunct w:val="0"/>
        <w:autoSpaceDE/>
        <w:autoSpaceDN/>
        <w:bidi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lang w:eastAsia="zh-CN"/>
        </w:rPr>
      </w:pPr>
      <w:bookmarkStart w:id="124" w:name="_Toc31606"/>
      <w:bookmarkStart w:id="125" w:name="_Toc6692"/>
      <w:bookmarkStart w:id="126" w:name="_Toc4519"/>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四）</w:t>
      </w:r>
      <w:r>
        <w:rPr>
          <w:rFonts w:hint="eastAsia" w:ascii="楷体_GB2312" w:hAnsi="楷体_GB2312" w:eastAsia="楷体_GB2312" w:cs="楷体_GB2312"/>
          <w:b w:val="0"/>
          <w:bCs/>
          <w:sz w:val="32"/>
          <w:szCs w:val="32"/>
          <w:highlight w:val="none"/>
          <w:lang w:eastAsia="zh-CN"/>
        </w:rPr>
        <w:t>递交要求</w:t>
      </w:r>
      <w:bookmarkEnd w:id="124"/>
      <w:bookmarkEnd w:id="125"/>
      <w:bookmarkEnd w:id="126"/>
    </w:p>
    <w:p w14:paraId="314E1109">
      <w:pPr>
        <w:pStyle w:val="10"/>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
          <w:b w:val="0"/>
          <w:bCs/>
          <w:kern w:val="0"/>
          <w:sz w:val="32"/>
          <w:szCs w:val="32"/>
          <w:highlight w:val="none"/>
          <w:lang w:val="en-US" w:eastAsia="zh-CN" w:bidi="ar-SA"/>
        </w:rPr>
      </w:pPr>
      <w:r>
        <w:rPr>
          <w:rFonts w:hint="eastAsia" w:ascii="Times New Roman" w:hAnsi="Times New Roman" w:eastAsia="仿宋_GB2312" w:cs="仿宋"/>
          <w:b w:val="0"/>
          <w:bCs/>
          <w:kern w:val="0"/>
          <w:sz w:val="32"/>
          <w:szCs w:val="32"/>
          <w:highlight w:val="none"/>
          <w:lang w:val="en-US" w:eastAsia="zh-CN" w:bidi="ar-SA"/>
        </w:rPr>
        <w:t>所有投标文件由投标人按照招标文件指定格式与方式逐一进场递交。</w:t>
      </w:r>
    </w:p>
    <w:p w14:paraId="0FB38D26">
      <w:pPr>
        <w:pStyle w:val="4"/>
        <w:pageBreakBefore w:val="0"/>
        <w:kinsoku/>
        <w:wordWrap/>
        <w:overflowPunct/>
        <w:topLinePunct w:val="0"/>
        <w:autoSpaceDE/>
        <w:autoSpaceDN/>
        <w:bidi w:val="0"/>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27" w:name="_Toc27808"/>
      <w:bookmarkStart w:id="128" w:name="_Toc11933"/>
      <w:bookmarkStart w:id="129" w:name="_Toc230"/>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二</w:t>
      </w:r>
      <w:r>
        <w:rPr>
          <w:rFonts w:hint="eastAsia" w:ascii="黑体" w:hAnsi="黑体" w:eastAsia="黑体" w:cs="黑体"/>
          <w:b w:val="0"/>
          <w:bCs/>
          <w:sz w:val="32"/>
          <w:szCs w:val="32"/>
          <w:highlight w:val="none"/>
        </w:rPr>
        <w:t>、开标</w:t>
      </w:r>
      <w:bookmarkEnd w:id="127"/>
      <w:bookmarkEnd w:id="128"/>
      <w:bookmarkEnd w:id="129"/>
    </w:p>
    <w:p w14:paraId="7B7A69F2">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rPr>
      </w:pPr>
      <w:bookmarkStart w:id="130" w:name="_Toc8600"/>
      <w:bookmarkStart w:id="131" w:name="_Toc16848"/>
      <w:bookmarkStart w:id="132" w:name="_Toc18078"/>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rPr>
        <w:t>开标时间</w:t>
      </w:r>
      <w:bookmarkEnd w:id="130"/>
      <w:bookmarkEnd w:id="131"/>
      <w:bookmarkEnd w:id="132"/>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kern w:val="0"/>
          <w:sz w:val="32"/>
          <w:szCs w:val="32"/>
          <w:highlight w:val="none"/>
          <w:lang w:val="en-US" w:eastAsia="zh-CN" w:bidi="ar-SA"/>
        </w:rPr>
        <w:t>2026年4月7日（星期二）14时</w:t>
      </w:r>
      <w:r>
        <w:rPr>
          <w:rFonts w:hint="eastAsia" w:ascii="Times New Roman" w:hAnsi="Times New Roman" w:eastAsia="仿宋_GB2312" w:cs="仿宋"/>
          <w:b w:val="0"/>
          <w:bCs/>
          <w:sz w:val="32"/>
          <w:szCs w:val="32"/>
          <w:highlight w:val="none"/>
          <w:lang w:val="en-US" w:eastAsia="zh-CN"/>
        </w:rPr>
        <w:t>30</w:t>
      </w:r>
      <w:r>
        <w:rPr>
          <w:rFonts w:hint="eastAsia" w:ascii="Times New Roman" w:hAnsi="Times New Roman" w:eastAsia="仿宋_GB2312" w:cs="仿宋"/>
          <w:b w:val="0"/>
          <w:bCs/>
          <w:sz w:val="32"/>
          <w:szCs w:val="32"/>
          <w:highlight w:val="none"/>
        </w:rPr>
        <w:t>分</w:t>
      </w:r>
    </w:p>
    <w:p w14:paraId="7479C3E3">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lang w:eastAsia="zh-CN"/>
        </w:rPr>
      </w:pPr>
      <w:bookmarkStart w:id="133" w:name="_Toc2977"/>
      <w:bookmarkStart w:id="134" w:name="_Toc23236"/>
      <w:bookmarkStart w:id="135" w:name="_Toc10034"/>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开标方式</w:t>
      </w:r>
      <w:bookmarkEnd w:id="133"/>
      <w:bookmarkEnd w:id="134"/>
      <w:bookmarkEnd w:id="135"/>
    </w:p>
    <w:p w14:paraId="069DB9E3">
      <w:pPr>
        <w:pStyle w:val="10"/>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现场开标</w:t>
      </w:r>
    </w:p>
    <w:p w14:paraId="26E2B1A7">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lang w:eastAsia="zh-CN"/>
        </w:rPr>
      </w:pPr>
      <w:bookmarkStart w:id="136" w:name="_Toc27449"/>
      <w:bookmarkStart w:id="137" w:name="_Toc5798"/>
      <w:bookmarkStart w:id="138" w:name="_Toc18439"/>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三）</w:t>
      </w:r>
      <w:r>
        <w:rPr>
          <w:rFonts w:hint="eastAsia" w:ascii="楷体_GB2312" w:hAnsi="楷体_GB2312" w:eastAsia="楷体_GB2312" w:cs="楷体_GB2312"/>
          <w:b w:val="0"/>
          <w:bCs/>
          <w:sz w:val="32"/>
          <w:szCs w:val="32"/>
          <w:highlight w:val="none"/>
          <w:lang w:eastAsia="zh-CN"/>
        </w:rPr>
        <w:t>开标地点</w:t>
      </w:r>
      <w:bookmarkEnd w:id="136"/>
      <w:bookmarkEnd w:id="137"/>
      <w:bookmarkEnd w:id="138"/>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深圳市罗湖区笋岗街道田心社区红岭北路2088号招商开元中心A座13层</w:t>
      </w:r>
    </w:p>
    <w:p w14:paraId="6C4E15AB">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lang w:eastAsia="zh-CN"/>
        </w:rPr>
      </w:pPr>
      <w:bookmarkStart w:id="139" w:name="_Toc19982"/>
      <w:bookmarkStart w:id="140" w:name="_Toc7083"/>
      <w:bookmarkStart w:id="141" w:name="_Toc6402"/>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四）</w:t>
      </w:r>
      <w:r>
        <w:rPr>
          <w:rFonts w:hint="eastAsia" w:ascii="楷体_GB2312" w:hAnsi="楷体_GB2312" w:eastAsia="楷体_GB2312" w:cs="楷体_GB2312"/>
          <w:b w:val="0"/>
          <w:bCs/>
          <w:sz w:val="32"/>
          <w:szCs w:val="32"/>
          <w:highlight w:val="none"/>
          <w:lang w:eastAsia="zh-CN"/>
        </w:rPr>
        <w:t>开标程序</w:t>
      </w:r>
      <w:bookmarkEnd w:id="139"/>
      <w:bookmarkEnd w:id="140"/>
      <w:bookmarkEnd w:id="141"/>
    </w:p>
    <w:p w14:paraId="04FE77E9">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招标人工作组进场；</w:t>
      </w:r>
    </w:p>
    <w:p w14:paraId="7E2F9C15">
      <w:pPr>
        <w:pStyle w:val="10"/>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招标人监督员、投标人代表检查投标文件密封情况并向工作组组长通报加密情况；</w:t>
      </w:r>
    </w:p>
    <w:p w14:paraId="5C00C1E0">
      <w:pPr>
        <w:pStyle w:val="10"/>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招标人工作组组长宣布开标；</w:t>
      </w:r>
    </w:p>
    <w:p w14:paraId="22E36383">
      <w:pPr>
        <w:pStyle w:val="10"/>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招标人工作组成员逐一拆开唱标信封，现场唱标并形成《开标记录表》；</w:t>
      </w:r>
    </w:p>
    <w:p w14:paraId="0AF51D77">
      <w:pPr>
        <w:pStyle w:val="10"/>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投标人代表确认开标记录，签字确认并离场。</w:t>
      </w:r>
    </w:p>
    <w:p w14:paraId="48871728">
      <w:pPr>
        <w:pStyle w:val="10"/>
        <w:pageBreakBefore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outlineLvl w:val="1"/>
        <w:rPr>
          <w:rFonts w:hint="eastAsia" w:ascii="楷体_GB2312" w:hAnsi="楷体_GB2312" w:eastAsia="楷体_GB2312" w:cs="楷体_GB2312"/>
          <w:b w:val="0"/>
          <w:bCs/>
          <w:sz w:val="32"/>
          <w:szCs w:val="32"/>
          <w:highlight w:val="none"/>
        </w:rPr>
      </w:pPr>
      <w:bookmarkStart w:id="142" w:name="_Toc14095"/>
      <w:bookmarkStart w:id="143" w:name="_Toc29311"/>
      <w:bookmarkStart w:id="144" w:name="_Toc13948"/>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五）</w:t>
      </w:r>
      <w:r>
        <w:rPr>
          <w:rFonts w:hint="eastAsia" w:ascii="楷体_GB2312" w:hAnsi="楷体_GB2312" w:eastAsia="楷体_GB2312" w:cs="楷体_GB2312"/>
          <w:b w:val="0"/>
          <w:bCs/>
          <w:sz w:val="32"/>
          <w:szCs w:val="32"/>
          <w:highlight w:val="none"/>
        </w:rPr>
        <w:t>注意事项</w:t>
      </w:r>
      <w:bookmarkEnd w:id="142"/>
      <w:bookmarkEnd w:id="143"/>
      <w:bookmarkEnd w:id="144"/>
    </w:p>
    <w:p w14:paraId="0D7ECA03">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开标全程由投标人代表、招标人派员监督；</w:t>
      </w:r>
    </w:p>
    <w:p w14:paraId="67BE76D8">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开标会议全程录音录像；</w:t>
      </w:r>
    </w:p>
    <w:p w14:paraId="6BCD544B">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投标人代表因故未能到场，或到场后中途离场的，视同为投标人主动放弃监督权利且投标人对开标结果完全认可，投标人不得再就此提出质疑或投诉。</w:t>
      </w:r>
    </w:p>
    <w:p w14:paraId="1532C139">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4.实质性响应投标</w:t>
      </w:r>
      <w:r>
        <w:rPr>
          <w:rFonts w:hint="eastAsia" w:ascii="Times New Roman" w:hAnsi="Times New Roman" w:eastAsia="仿宋_GB2312" w:cs="仿宋_GB2312"/>
          <w:b w:val="0"/>
          <w:bCs/>
          <w:sz w:val="32"/>
          <w:szCs w:val="32"/>
          <w:highlight w:val="none"/>
          <w:lang w:val="en-US" w:eastAsia="zh-CN"/>
        </w:rPr>
        <w:t>人少于4家</w:t>
      </w:r>
      <w:r>
        <w:rPr>
          <w:rFonts w:hint="eastAsia" w:ascii="仿宋_GB2312" w:hAnsi="仿宋_GB2312" w:eastAsia="仿宋_GB2312" w:cs="仿宋_GB2312"/>
          <w:b w:val="0"/>
          <w:bCs/>
          <w:sz w:val="32"/>
          <w:szCs w:val="32"/>
          <w:highlight w:val="none"/>
          <w:lang w:val="en-US" w:eastAsia="zh-CN"/>
        </w:rPr>
        <w:t>的，不予开标，根据招标人经营管理需要转其他采购方式。</w:t>
      </w:r>
    </w:p>
    <w:p w14:paraId="377732CC">
      <w:pPr>
        <w:pStyle w:val="4"/>
        <w:pageBreakBefore w:val="0"/>
        <w:kinsoku/>
        <w:wordWrap/>
        <w:overflowPunct/>
        <w:topLinePunct w:val="0"/>
        <w:autoSpaceDE/>
        <w:autoSpaceDN/>
        <w:bidi w:val="0"/>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45" w:name="_Toc10303"/>
      <w:bookmarkStart w:id="146" w:name="_Toc4041"/>
      <w:bookmarkStart w:id="147" w:name="_Toc9195"/>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三</w:t>
      </w:r>
      <w:r>
        <w:rPr>
          <w:rFonts w:hint="eastAsia" w:ascii="黑体" w:hAnsi="黑体" w:eastAsia="黑体" w:cs="黑体"/>
          <w:b w:val="0"/>
          <w:bCs/>
          <w:sz w:val="32"/>
          <w:szCs w:val="32"/>
          <w:highlight w:val="none"/>
        </w:rPr>
        <w:t>、评标</w:t>
      </w:r>
      <w:bookmarkEnd w:id="145"/>
      <w:bookmarkEnd w:id="146"/>
      <w:bookmarkEnd w:id="147"/>
    </w:p>
    <w:p w14:paraId="73B12F39">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楷体_GB2312" w:hAnsi="楷体_GB2312" w:eastAsia="楷体_GB2312" w:cs="楷体_GB2312"/>
          <w:b w:val="0"/>
          <w:bCs/>
          <w:sz w:val="32"/>
          <w:szCs w:val="32"/>
          <w:highlight w:val="none"/>
        </w:rPr>
      </w:pPr>
      <w:bookmarkStart w:id="148" w:name="_Toc647"/>
      <w:bookmarkStart w:id="149" w:name="_Toc12147"/>
      <w:bookmarkStart w:id="150" w:name="_Toc11375"/>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rPr>
        <w:t>评标方法</w:t>
      </w:r>
      <w:bookmarkEnd w:id="148"/>
      <w:bookmarkEnd w:id="149"/>
      <w:bookmarkEnd w:id="150"/>
    </w:p>
    <w:p w14:paraId="3E7610DB">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本项目采用综合评标法。</w:t>
      </w:r>
    </w:p>
    <w:p w14:paraId="76D6B312">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楷体_GB2312" w:hAnsi="楷体_GB2312" w:eastAsia="楷体_GB2312" w:cs="楷体_GB2312"/>
          <w:b w:val="0"/>
          <w:bCs/>
          <w:sz w:val="32"/>
          <w:szCs w:val="32"/>
          <w:highlight w:val="none"/>
          <w:lang w:eastAsia="zh-CN"/>
        </w:rPr>
      </w:pPr>
      <w:bookmarkStart w:id="151" w:name="_Toc1918"/>
      <w:bookmarkStart w:id="152" w:name="_Toc16982"/>
      <w:bookmarkStart w:id="153" w:name="_Toc31037"/>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评标细则及标准</w:t>
      </w:r>
      <w:bookmarkEnd w:id="151"/>
      <w:bookmarkEnd w:id="152"/>
      <w:bookmarkEnd w:id="153"/>
    </w:p>
    <w:p w14:paraId="34BB53F3">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见“</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第二章 评标程序及标准”）</w:t>
      </w:r>
    </w:p>
    <w:p w14:paraId="0A4C5C70">
      <w:pPr>
        <w:pStyle w:val="4"/>
        <w:keepNext w:val="0"/>
        <w:keepLines w:val="0"/>
        <w:pageBreakBefore w:val="0"/>
        <w:widowControl w:val="0"/>
        <w:kinsoku/>
        <w:wordWrap/>
        <w:overflowPunct/>
        <w:topLinePunct w:val="0"/>
        <w:autoSpaceDE/>
        <w:autoSpaceDN/>
        <w:bidi w:val="0"/>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54" w:name="_Toc2828"/>
      <w:bookmarkStart w:id="155" w:name="_Toc27062"/>
      <w:bookmarkStart w:id="156" w:name="_Toc20067"/>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、定标</w:t>
      </w:r>
      <w:bookmarkEnd w:id="154"/>
      <w:bookmarkEnd w:id="155"/>
      <w:bookmarkEnd w:id="156"/>
    </w:p>
    <w:p w14:paraId="359766E8">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Times New Roman" w:hAnsi="Times New Roman" w:eastAsia="仿宋_GB2312" w:cs="仿宋"/>
          <w:b w:val="0"/>
          <w:bCs/>
          <w:sz w:val="32"/>
          <w:szCs w:val="32"/>
          <w:highlight w:val="none"/>
          <w:lang w:eastAsia="zh-CN"/>
        </w:rPr>
        <w:t>由招标人招标决策委员会依据评标报告综合评价定标。</w:t>
      </w:r>
    </w:p>
    <w:p w14:paraId="49554875">
      <w:pPr>
        <w:pStyle w:val="4"/>
        <w:keepNext w:val="0"/>
        <w:keepLines w:val="0"/>
        <w:pageBreakBefore w:val="0"/>
        <w:widowControl w:val="0"/>
        <w:kinsoku/>
        <w:wordWrap/>
        <w:overflowPunct/>
        <w:topLinePunct w:val="0"/>
        <w:autoSpaceDE/>
        <w:autoSpaceDN/>
        <w:bidi w:val="0"/>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57" w:name="_Toc24957"/>
      <w:bookmarkStart w:id="158" w:name="_Toc114"/>
      <w:bookmarkStart w:id="159" w:name="_Toc13778"/>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、结算方式</w:t>
      </w:r>
      <w:bookmarkEnd w:id="157"/>
      <w:bookmarkEnd w:id="158"/>
      <w:bookmarkEnd w:id="159"/>
    </w:p>
    <w:p w14:paraId="137DE4BA">
      <w:pPr>
        <w:pStyle w:val="10"/>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按本文件“</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第三章 合同条款”约定的结算方式执行。</w:t>
      </w:r>
    </w:p>
    <w:p w14:paraId="0A442761">
      <w:pPr>
        <w:pStyle w:val="4"/>
        <w:pageBreakBefore w:val="0"/>
        <w:kinsoku/>
        <w:wordWrap/>
        <w:overflowPunct/>
        <w:topLinePunct w:val="0"/>
        <w:autoSpaceDE/>
        <w:autoSpaceDN/>
        <w:bidi w:val="0"/>
        <w:spacing w:before="0" w:after="0" w:line="560" w:lineRule="exact"/>
        <w:ind w:left="0" w:firstLine="640" w:firstLineChars="200"/>
        <w:textAlignment w:val="auto"/>
        <w:outlineLvl w:val="0"/>
        <w:rPr>
          <w:rFonts w:hint="eastAsia" w:ascii="黑体" w:hAnsi="黑体" w:eastAsia="黑体" w:cs="黑体"/>
          <w:b w:val="0"/>
          <w:bCs/>
          <w:sz w:val="32"/>
          <w:szCs w:val="32"/>
          <w:highlight w:val="none"/>
        </w:rPr>
      </w:pPr>
      <w:bookmarkStart w:id="160" w:name="_Toc21079"/>
      <w:bookmarkStart w:id="161" w:name="_Toc30046"/>
      <w:bookmarkStart w:id="162" w:name="_Toc3555"/>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rPr>
        <w:t>、解释权</w:t>
      </w:r>
      <w:bookmarkEnd w:id="160"/>
      <w:bookmarkEnd w:id="161"/>
      <w:bookmarkEnd w:id="162"/>
    </w:p>
    <w:p w14:paraId="6232DC18">
      <w:pPr>
        <w:pStyle w:val="10"/>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招标文件解释权归深圳市鹏劳人力资源管理有限公司招标决策委员会所有。</w:t>
      </w:r>
    </w:p>
    <w:p w14:paraId="5D8D9E1F">
      <w:pPr>
        <w:pStyle w:val="15"/>
        <w:pageBreakBefore w:val="0"/>
        <w:kinsoku/>
        <w:overflowPunct/>
        <w:topLinePunct w:val="0"/>
        <w:autoSpaceDE/>
        <w:autoSpaceDN/>
        <w:bidi w:val="0"/>
        <w:spacing w:line="560" w:lineRule="exact"/>
        <w:ind w:firstLine="0" w:firstLineChars="0"/>
        <w:outlineLvl w:val="9"/>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14:paraId="4D908B6A">
      <w:pPr>
        <w:pStyle w:val="3"/>
        <w:pageBreakBefore w:val="0"/>
        <w:kinsoku/>
        <w:overflowPunct/>
        <w:topLinePunct w:val="0"/>
        <w:autoSpaceDE/>
        <w:autoSpaceDN/>
        <w:bidi w:val="0"/>
        <w:spacing w:line="560" w:lineRule="exact"/>
        <w:jc w:val="center"/>
        <w:outlineLvl w:val="0"/>
        <w:rPr>
          <w:rFonts w:hint="eastAsia" w:ascii="黑体" w:hAnsi="黑体" w:eastAsia="黑体" w:cs="黑体"/>
          <w:b w:val="0"/>
          <w:bCs/>
          <w:sz w:val="32"/>
          <w:szCs w:val="32"/>
          <w:highlight w:val="none"/>
        </w:rPr>
      </w:pPr>
      <w:bookmarkStart w:id="163" w:name="_Toc25565"/>
      <w:bookmarkStart w:id="164" w:name="_Toc11757"/>
      <w:bookmarkStart w:id="165" w:name="_Toc14685"/>
      <w:bookmarkStart w:id="166" w:name="_Toc29463"/>
      <w:r>
        <w:rPr>
          <w:rFonts w:hint="eastAsia" w:ascii="黑体" w:hAnsi="黑体" w:eastAsia="黑体" w:cs="黑体"/>
          <w:b w:val="0"/>
          <w:bCs/>
          <w:sz w:val="32"/>
          <w:szCs w:val="32"/>
          <w:highlight w:val="none"/>
        </w:rPr>
        <w:t xml:space="preserve">第二章 </w:t>
      </w:r>
      <w:bookmarkEnd w:id="163"/>
      <w:r>
        <w:rPr>
          <w:rFonts w:hint="eastAsia" w:ascii="黑体" w:hAnsi="黑体" w:eastAsia="黑体" w:cs="黑体"/>
          <w:b w:val="0"/>
          <w:bCs/>
          <w:sz w:val="32"/>
          <w:szCs w:val="32"/>
          <w:highlight w:val="none"/>
        </w:rPr>
        <w:t>评标程序及标准</w:t>
      </w:r>
      <w:bookmarkEnd w:id="164"/>
      <w:bookmarkEnd w:id="165"/>
      <w:bookmarkEnd w:id="166"/>
    </w:p>
    <w:p w14:paraId="3223F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_GB2312" w:hAnsi="仿宋_GB2312" w:eastAsia="仿宋_GB2312" w:cs="仿宋_GB2312"/>
          <w:b w:val="0"/>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w:t>
      </w:r>
      <w:r>
        <w:rPr>
          <w:rFonts w:hint="eastAsia" w:ascii="仿宋_GB2312" w:hAnsi="仿宋_GB2312" w:eastAsia="仿宋_GB2312" w:cs="仿宋_GB2312"/>
          <w:b w:val="0"/>
          <w:bCs/>
          <w:sz w:val="32"/>
          <w:szCs w:val="32"/>
          <w:highlight w:val="none"/>
          <w:lang w:val="en-US" w:eastAsia="zh-CN"/>
        </w:rPr>
        <w:t>按</w:t>
      </w:r>
      <w:r>
        <w:rPr>
          <w:rFonts w:hint="eastAsia" w:ascii="仿宋_GB2312" w:hAnsi="仿宋_GB2312" w:eastAsia="仿宋_GB2312" w:cs="仿宋_GB2312"/>
          <w:b w:val="0"/>
          <w:bCs/>
          <w:sz w:val="32"/>
          <w:szCs w:val="32"/>
          <w:highlight w:val="none"/>
        </w:rPr>
        <w:t>商务技术标得分顺序排列；如</w:t>
      </w:r>
      <w:r>
        <w:rPr>
          <w:rFonts w:hint="eastAsia" w:ascii="仿宋_GB2312" w:hAnsi="仿宋_GB2312" w:eastAsia="仿宋_GB2312" w:cs="仿宋_GB2312"/>
          <w:b w:val="0"/>
          <w:bCs/>
          <w:sz w:val="32"/>
          <w:szCs w:val="32"/>
          <w:highlight w:val="none"/>
          <w:lang w:val="en-US" w:eastAsia="zh-CN"/>
        </w:rPr>
        <w:t>商务</w:t>
      </w:r>
      <w:r>
        <w:rPr>
          <w:rFonts w:hint="eastAsia" w:ascii="仿宋_GB2312" w:hAnsi="仿宋_GB2312" w:eastAsia="仿宋_GB2312" w:cs="仿宋_GB2312"/>
          <w:b w:val="0"/>
          <w:bCs/>
          <w:sz w:val="32"/>
          <w:szCs w:val="32"/>
          <w:highlight w:val="none"/>
        </w:rPr>
        <w:t>技术指标或服务方案得分仍然相同，则采用抽签的方法确定中标候选人的排序。具体程序如下：</w:t>
      </w:r>
    </w:p>
    <w:p w14:paraId="6A270A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highlight w:val="none"/>
        </w:rPr>
      </w:pPr>
      <w:bookmarkStart w:id="167" w:name="_Toc40445480"/>
      <w:bookmarkStart w:id="168" w:name="_Toc30960"/>
      <w:bookmarkStart w:id="169" w:name="_Toc25343"/>
      <w:bookmarkStart w:id="170" w:name="_Toc11436"/>
      <w:bookmarkStart w:id="171" w:name="_Toc532127158"/>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初步评审</w:t>
      </w:r>
      <w:bookmarkEnd w:id="167"/>
      <w:bookmarkEnd w:id="168"/>
      <w:bookmarkEnd w:id="169"/>
      <w:bookmarkEnd w:id="170"/>
      <w:bookmarkEnd w:id="171"/>
    </w:p>
    <w:p w14:paraId="231F3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评标专家组根据投标人</w:t>
      </w:r>
      <w:r>
        <w:rPr>
          <w:rFonts w:hint="eastAsia" w:ascii="仿宋_GB2312" w:hAnsi="仿宋_GB2312" w:eastAsia="仿宋_GB2312" w:cs="仿宋_GB2312"/>
          <w:b w:val="0"/>
          <w:bCs/>
          <w:sz w:val="32"/>
          <w:szCs w:val="32"/>
          <w:highlight w:val="none"/>
          <w:lang w:eastAsia="zh-CN"/>
        </w:rPr>
        <w:t>投标文件</w:t>
      </w:r>
      <w:r>
        <w:rPr>
          <w:rFonts w:hint="eastAsia" w:ascii="仿宋_GB2312" w:hAnsi="仿宋_GB2312" w:eastAsia="仿宋_GB2312" w:cs="仿宋_GB2312"/>
          <w:b w:val="0"/>
          <w:bCs/>
          <w:sz w:val="32"/>
          <w:szCs w:val="32"/>
          <w:highlight w:val="none"/>
        </w:rPr>
        <w:t>进行</w:t>
      </w:r>
      <w:r>
        <w:rPr>
          <w:rFonts w:hint="eastAsia" w:ascii="仿宋_GB2312" w:hAnsi="仿宋_GB2312" w:eastAsia="仿宋_GB2312" w:cs="仿宋_GB2312"/>
          <w:b w:val="0"/>
          <w:bCs/>
          <w:sz w:val="32"/>
          <w:szCs w:val="32"/>
          <w:highlight w:val="none"/>
          <w:lang w:eastAsia="zh-CN"/>
        </w:rPr>
        <w:t>资质</w:t>
      </w:r>
      <w:r>
        <w:rPr>
          <w:rFonts w:hint="eastAsia" w:ascii="仿宋_GB2312" w:hAnsi="仿宋_GB2312" w:eastAsia="仿宋_GB2312" w:cs="仿宋_GB2312"/>
          <w:b w:val="0"/>
          <w:bCs/>
          <w:sz w:val="32"/>
          <w:szCs w:val="32"/>
          <w:highlight w:val="none"/>
        </w:rPr>
        <w:t>核验。有一项不符合评审标准的，评标专家组应否决其投标。</w:t>
      </w:r>
    </w:p>
    <w:p w14:paraId="4A576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初步评审的结论是“通过”或“不通过”，只有结论为“通过”的投标方能进入下一阶段的评标，否则其投标将按无</w:t>
      </w:r>
      <w:r>
        <w:rPr>
          <w:rFonts w:hint="eastAsia" w:ascii="仿宋_GB2312" w:hAnsi="仿宋_GB2312" w:eastAsia="仿宋_GB2312" w:cs="仿宋_GB2312"/>
          <w:b w:val="0"/>
          <w:bCs/>
          <w:sz w:val="32"/>
          <w:szCs w:val="32"/>
          <w:highlight w:val="none"/>
          <w:lang w:eastAsia="zh-CN"/>
        </w:rPr>
        <w:t>投标无效</w:t>
      </w:r>
      <w:r>
        <w:rPr>
          <w:rFonts w:hint="eastAsia" w:ascii="仿宋_GB2312" w:hAnsi="仿宋_GB2312" w:eastAsia="仿宋_GB2312" w:cs="仿宋_GB2312"/>
          <w:b w:val="0"/>
          <w:bCs/>
          <w:sz w:val="32"/>
          <w:szCs w:val="32"/>
          <w:highlight w:val="none"/>
        </w:rPr>
        <w:t>处理。</w:t>
      </w:r>
    </w:p>
    <w:p w14:paraId="7BE40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highlight w:val="none"/>
          <w:lang w:val="en-US" w:eastAsia="zh-CN"/>
        </w:rPr>
      </w:pPr>
      <w:bookmarkStart w:id="172" w:name="_bookmark89"/>
      <w:bookmarkEnd w:id="172"/>
      <w:bookmarkStart w:id="173" w:name="_Toc17265"/>
      <w:bookmarkStart w:id="174" w:name="_Toc14388"/>
      <w:bookmarkStart w:id="175" w:name="_Toc40445481"/>
      <w:bookmarkStart w:id="176" w:name="_Toc532127159"/>
      <w:bookmarkStart w:id="177" w:name="_Toc19736"/>
      <w:r>
        <w:rPr>
          <w:rFonts w:hint="eastAsia" w:ascii="黑体" w:hAnsi="黑体" w:eastAsia="黑体" w:cs="黑体"/>
          <w:b w:val="0"/>
          <w:bCs/>
          <w:sz w:val="32"/>
          <w:szCs w:val="32"/>
          <w:highlight w:val="none"/>
          <w:lang w:val="en-US" w:eastAsia="zh-CN"/>
        </w:rPr>
        <w:t>二、详细评审</w:t>
      </w:r>
      <w:bookmarkEnd w:id="173"/>
      <w:bookmarkEnd w:id="174"/>
      <w:bookmarkEnd w:id="175"/>
      <w:bookmarkEnd w:id="176"/>
      <w:bookmarkEnd w:id="177"/>
    </w:p>
    <w:p w14:paraId="06AB1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rPr>
        <w:t>评标专家组按本章规定的量化因素和分值进行打分并计算出综合评估得分。</w:t>
      </w:r>
    </w:p>
    <w:p w14:paraId="39289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按本章商务技术标评分标准规定的评审因素和权重对应分值对商务部分计算出得分A；</w:t>
      </w:r>
    </w:p>
    <w:p w14:paraId="4E388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按本章价格标评分方法规定的评审因素和权重对应分值对投标报价计算出得分B；</w:t>
      </w:r>
    </w:p>
    <w:p w14:paraId="1D28E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评分分值计算保留小数点后两位，小数点后第三位“四舍五入”。</w:t>
      </w:r>
    </w:p>
    <w:p w14:paraId="29406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投标人得分=A+B。</w:t>
      </w:r>
    </w:p>
    <w:p w14:paraId="54597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二）</w:t>
      </w:r>
      <w:r>
        <w:rPr>
          <w:rFonts w:hint="eastAsia" w:ascii="仿宋_GB2312" w:hAnsi="仿宋_GB2312" w:eastAsia="仿宋_GB2312" w:cs="仿宋_GB2312"/>
          <w:b w:val="0"/>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47BD9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highlight w:val="none"/>
          <w:lang w:val="en-US" w:eastAsia="zh-CN"/>
        </w:rPr>
      </w:pPr>
      <w:bookmarkStart w:id="178" w:name="_Toc13527"/>
      <w:bookmarkStart w:id="179" w:name="_Toc532127160"/>
      <w:bookmarkStart w:id="180" w:name="_Toc25164"/>
      <w:bookmarkStart w:id="181" w:name="_Toc24156"/>
      <w:bookmarkStart w:id="182" w:name="_Toc40445482"/>
      <w:r>
        <w:rPr>
          <w:rFonts w:hint="eastAsia" w:ascii="黑体" w:hAnsi="黑体" w:eastAsia="黑体" w:cs="黑体"/>
          <w:b w:val="0"/>
          <w:bCs/>
          <w:sz w:val="32"/>
          <w:szCs w:val="32"/>
          <w:highlight w:val="none"/>
          <w:lang w:val="en-US" w:eastAsia="zh-CN"/>
        </w:rPr>
        <w:t>三、投标文件的澄清</w:t>
      </w:r>
      <w:bookmarkEnd w:id="178"/>
      <w:bookmarkEnd w:id="179"/>
      <w:bookmarkEnd w:id="180"/>
      <w:bookmarkEnd w:id="181"/>
      <w:bookmarkEnd w:id="182"/>
    </w:p>
    <w:p w14:paraId="553CCC9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14:paraId="67761DC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澄清、说明或补正不得超出投标文件的范围且不得改变投标文件的实质性内容，并构成投标文件的组成部分。</w:t>
      </w:r>
    </w:p>
    <w:p w14:paraId="5385CDD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评标专家组对投标人提交的澄清、说明或补正有疑问的，可以要求投标人进一步澄清、说明或补正，直至满足评标专家组的要求。</w:t>
      </w:r>
    </w:p>
    <w:p w14:paraId="355BAE1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183" w:name="_Toc532127161"/>
    </w:p>
    <w:p w14:paraId="4FCE9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highlight w:val="none"/>
          <w:lang w:val="en-US" w:eastAsia="zh-CN"/>
        </w:rPr>
      </w:pPr>
      <w:bookmarkStart w:id="184" w:name="_Toc26169"/>
      <w:bookmarkStart w:id="185" w:name="_Toc6650"/>
      <w:bookmarkStart w:id="186" w:name="_Toc40445483"/>
      <w:bookmarkStart w:id="187" w:name="_Toc15589"/>
      <w:r>
        <w:rPr>
          <w:rFonts w:hint="eastAsia" w:ascii="黑体" w:hAnsi="黑体" w:eastAsia="黑体" w:cs="黑体"/>
          <w:b w:val="0"/>
          <w:bCs/>
          <w:sz w:val="32"/>
          <w:szCs w:val="32"/>
          <w:highlight w:val="none"/>
          <w:lang w:val="en-US" w:eastAsia="zh-CN"/>
        </w:rPr>
        <w:t>四、评标结果</w:t>
      </w:r>
      <w:bookmarkEnd w:id="183"/>
      <w:bookmarkEnd w:id="184"/>
      <w:bookmarkEnd w:id="185"/>
      <w:bookmarkEnd w:id="186"/>
      <w:bookmarkEnd w:id="187"/>
    </w:p>
    <w:p w14:paraId="11B1700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评标专家组按照评审分数由低到高的顺序推荐中标候选人，并标明排序。</w:t>
      </w:r>
    </w:p>
    <w:p w14:paraId="3041D12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评标专家组完成评标后，应当向招标决策委员会提交书面评标报告和中标候选人名单。</w:t>
      </w:r>
      <w:bookmarkStart w:id="188" w:name="_Toc532127162"/>
      <w:r>
        <w:rPr>
          <w:rFonts w:hint="eastAsia" w:ascii="Times New Roman" w:hAnsi="Times New Roman" w:eastAsia="仿宋_GB2312" w:cs="仿宋"/>
          <w:b w:val="0"/>
          <w:bCs/>
          <w:sz w:val="32"/>
          <w:szCs w:val="32"/>
          <w:highlight w:val="none"/>
        </w:rPr>
        <w:t>具体程序如下</w:t>
      </w:r>
      <w:r>
        <w:rPr>
          <w:rFonts w:hint="eastAsia" w:ascii="Times New Roman" w:hAnsi="Times New Roman" w:eastAsia="仿宋_GB2312" w:cs="仿宋"/>
          <w:b w:val="0"/>
          <w:bCs/>
          <w:sz w:val="32"/>
          <w:szCs w:val="32"/>
          <w:highlight w:val="none"/>
          <w:lang w:eastAsia="zh-CN"/>
        </w:rPr>
        <w:t>：</w:t>
      </w:r>
    </w:p>
    <w:bookmarkEnd w:id="188"/>
    <w:p w14:paraId="11B48658">
      <w:pPr>
        <w:pageBreakBefore w:val="0"/>
        <w:numPr>
          <w:ilvl w:val="0"/>
          <w:numId w:val="4"/>
        </w:numPr>
        <w:kinsoku/>
        <w:overflowPunct/>
        <w:topLinePunct w:val="0"/>
        <w:autoSpaceDE/>
        <w:autoSpaceDN/>
        <w:bidi w:val="0"/>
        <w:spacing w:line="560" w:lineRule="exact"/>
        <w:ind w:left="0" w:leftChars="0"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按评审综合得分从高至低的顺序进行排序，向招标人决策委员会推荐评审总得分排名靠前的投标人为中标候选人，推荐数为2</w:t>
      </w:r>
      <w:r>
        <w:rPr>
          <w:rFonts w:hint="eastAsia" w:ascii="Times New Roman" w:hAnsi="Times New Roman" w:eastAsia="仿宋_GB2312" w:cs="仿宋"/>
          <w:b w:val="0"/>
          <w:bCs/>
          <w:sz w:val="32"/>
          <w:szCs w:val="32"/>
          <w:highlight w:val="none"/>
          <w:lang w:val="en-US" w:eastAsia="zh-CN"/>
        </w:rPr>
        <w:t>-5</w:t>
      </w:r>
      <w:r>
        <w:rPr>
          <w:rFonts w:hint="eastAsia" w:ascii="Times New Roman" w:hAnsi="Times New Roman" w:eastAsia="仿宋_GB2312" w:cs="仿宋"/>
          <w:b w:val="0"/>
          <w:bCs/>
          <w:sz w:val="32"/>
          <w:szCs w:val="32"/>
          <w:highlight w:val="none"/>
        </w:rPr>
        <w:t>家</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lang w:val="en-US" w:eastAsia="zh-CN"/>
        </w:rPr>
        <w:t>推荐数量与有效投标人数量的比例不低于1:2）</w:t>
      </w:r>
      <w:r>
        <w:rPr>
          <w:rFonts w:hint="eastAsia" w:ascii="Times New Roman" w:hAnsi="Times New Roman" w:eastAsia="仿宋_GB2312" w:cs="仿宋"/>
          <w:b w:val="0"/>
          <w:bCs/>
          <w:sz w:val="32"/>
          <w:szCs w:val="32"/>
          <w:highlight w:val="none"/>
        </w:rPr>
        <w:t>。</w:t>
      </w:r>
    </w:p>
    <w:p w14:paraId="4ABA7C13">
      <w:pPr>
        <w:pageBreakBefore w:val="0"/>
        <w:numPr>
          <w:ilvl w:val="0"/>
          <w:numId w:val="4"/>
        </w:numPr>
        <w:kinsoku/>
        <w:overflowPunct/>
        <w:topLinePunct w:val="0"/>
        <w:autoSpaceDE/>
        <w:autoSpaceDN/>
        <w:bidi w:val="0"/>
        <w:spacing w:line="560" w:lineRule="exact"/>
        <w:ind w:left="0" w:leftChars="0"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14:paraId="56E30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highlight w:val="none"/>
          <w:lang w:val="en-US" w:eastAsia="zh-CN"/>
        </w:rPr>
      </w:pPr>
      <w:bookmarkStart w:id="189" w:name="_Toc15615"/>
      <w:bookmarkStart w:id="190" w:name="_Toc11541"/>
      <w:bookmarkStart w:id="191" w:name="_Toc4777"/>
      <w:r>
        <w:rPr>
          <w:rFonts w:hint="eastAsia" w:ascii="黑体" w:hAnsi="黑体" w:eastAsia="黑体" w:cs="黑体"/>
          <w:b w:val="0"/>
          <w:bCs/>
          <w:sz w:val="32"/>
          <w:szCs w:val="32"/>
          <w:highlight w:val="none"/>
          <w:lang w:val="en-US" w:eastAsia="zh-CN"/>
        </w:rPr>
        <w:t>五、转为竞争性谈判的程序</w:t>
      </w:r>
      <w:bookmarkEnd w:id="189"/>
      <w:bookmarkEnd w:id="190"/>
      <w:bookmarkEnd w:id="191"/>
    </w:p>
    <w:p w14:paraId="360FA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按照</w:t>
      </w:r>
      <w:r>
        <w:rPr>
          <w:rFonts w:hint="eastAsia" w:ascii="仿宋_GB2312" w:hAnsi="仿宋_GB2312" w:eastAsia="仿宋_GB2312" w:cs="仿宋_GB2312"/>
          <w:b w:val="0"/>
          <w:bCs/>
          <w:sz w:val="32"/>
          <w:szCs w:val="32"/>
          <w:highlight w:val="none"/>
        </w:rPr>
        <w:t>法律法规规定执行。</w:t>
      </w:r>
    </w:p>
    <w:p w14:paraId="2DE62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highlight w:val="none"/>
          <w:lang w:val="en-US" w:eastAsia="zh-CN"/>
        </w:rPr>
      </w:pPr>
      <w:bookmarkStart w:id="192" w:name="_Toc40445485"/>
      <w:bookmarkStart w:id="193" w:name="_Toc32645"/>
      <w:bookmarkStart w:id="194" w:name="_Toc532127163"/>
      <w:bookmarkStart w:id="195" w:name="_Toc5338"/>
      <w:bookmarkStart w:id="196" w:name="_Toc9717"/>
      <w:r>
        <w:rPr>
          <w:rFonts w:hint="eastAsia" w:ascii="黑体" w:hAnsi="黑体" w:eastAsia="黑体" w:cs="黑体"/>
          <w:b w:val="0"/>
          <w:bCs/>
          <w:sz w:val="32"/>
          <w:szCs w:val="32"/>
          <w:highlight w:val="none"/>
          <w:lang w:val="en-US" w:eastAsia="zh-CN"/>
        </w:rPr>
        <w:t>六、附表</w:t>
      </w:r>
      <w:bookmarkEnd w:id="192"/>
      <w:bookmarkEnd w:id="193"/>
      <w:bookmarkEnd w:id="194"/>
      <w:bookmarkEnd w:id="195"/>
      <w:bookmarkEnd w:id="196"/>
    </w:p>
    <w:p w14:paraId="7DE962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highlight w:val="none"/>
          <w:lang w:eastAsia="zh-CN"/>
        </w:rPr>
        <w:t>附表1《商务</w:t>
      </w:r>
      <w:r>
        <w:rPr>
          <w:rFonts w:hint="eastAsia" w:ascii="仿宋_GB2312" w:hAnsi="仿宋_GB2312" w:eastAsia="仿宋_GB2312" w:cs="仿宋_GB2312"/>
          <w:b w:val="0"/>
          <w:bCs/>
          <w:sz w:val="32"/>
          <w:szCs w:val="32"/>
          <w:highlight w:val="none"/>
          <w:lang w:val="en-US" w:eastAsia="zh-CN"/>
        </w:rPr>
        <w:t>技术</w:t>
      </w:r>
      <w:r>
        <w:rPr>
          <w:rFonts w:hint="eastAsia" w:ascii="仿宋_GB2312" w:hAnsi="仿宋_GB2312" w:eastAsia="仿宋_GB2312" w:cs="仿宋_GB2312"/>
          <w:b w:val="0"/>
          <w:bCs/>
          <w:sz w:val="32"/>
          <w:szCs w:val="32"/>
          <w:highlight w:val="none"/>
          <w:lang w:eastAsia="zh-CN"/>
        </w:rPr>
        <w:t>标评审标准》</w:t>
      </w:r>
    </w:p>
    <w:p w14:paraId="54FE0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eastAsia="zh-CN"/>
        </w:rPr>
        <w:t>附表</w:t>
      </w: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lang w:eastAsia="zh-CN"/>
        </w:rPr>
        <w:t>《价格标评分方法》</w:t>
      </w:r>
    </w:p>
    <w:p w14:paraId="63052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附表</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lang w:eastAsia="zh-CN"/>
        </w:rPr>
        <w:t>《商务技术价格标权重表》</w:t>
      </w:r>
    </w:p>
    <w:p w14:paraId="0882EF1B">
      <w:pPr>
        <w:keepNext/>
        <w:keepLines/>
        <w:pageBreakBefore w:val="0"/>
        <w:widowControl/>
        <w:numPr>
          <w:ilvl w:val="3"/>
          <w:numId w:val="0"/>
        </w:numPr>
        <w:kinsoku/>
        <w:wordWrap/>
        <w:overflowPunct/>
        <w:topLinePunct w:val="0"/>
        <w:autoSpaceDE/>
        <w:autoSpaceDN/>
        <w:bidi w:val="0"/>
        <w:adjustRightInd w:val="0"/>
        <w:snapToGrid w:val="0"/>
        <w:spacing w:line="400" w:lineRule="exact"/>
        <w:textAlignment w:val="auto"/>
        <w:outlineLvl w:val="1"/>
        <w:rPr>
          <w:rFonts w:hint="eastAsia" w:ascii="仿宋" w:hAnsi="仿宋" w:eastAsia="仿宋" w:cs="仿宋"/>
          <w:b w:val="0"/>
          <w:bCs/>
          <w:sz w:val="32"/>
          <w:szCs w:val="32"/>
          <w:highlight w:val="none"/>
          <w:lang w:eastAsia="zh-CN"/>
        </w:rPr>
      </w:pPr>
      <w:bookmarkStart w:id="197" w:name="_bookmark91"/>
      <w:bookmarkEnd w:id="197"/>
      <w:bookmarkStart w:id="198" w:name="_bookmark90"/>
      <w:bookmarkEnd w:id="198"/>
      <w:r>
        <w:rPr>
          <w:rFonts w:hint="eastAsia" w:ascii="仿宋" w:hAnsi="仿宋" w:eastAsia="仿宋" w:cs="仿宋"/>
          <w:b w:val="0"/>
          <w:bCs/>
          <w:sz w:val="32"/>
          <w:szCs w:val="32"/>
          <w:highlight w:val="none"/>
        </w:rPr>
        <w:br w:type="page"/>
      </w:r>
      <w:bookmarkStart w:id="199" w:name="_Toc24941"/>
      <w:bookmarkStart w:id="200" w:name="_Toc9332"/>
      <w:bookmarkStart w:id="201" w:name="_Toc1703"/>
      <w:r>
        <w:rPr>
          <w:rFonts w:hint="eastAsia" w:ascii="仿宋" w:hAnsi="仿宋" w:eastAsia="仿宋" w:cs="仿宋"/>
          <w:b w:val="0"/>
          <w:bCs/>
          <w:sz w:val="24"/>
          <w:szCs w:val="24"/>
          <w:highlight w:val="none"/>
        </w:rPr>
        <w:t xml:space="preserve">附表1 </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商务标评审标准</w:t>
      </w:r>
      <w:r>
        <w:rPr>
          <w:rFonts w:hint="eastAsia" w:ascii="仿宋" w:hAnsi="仿宋" w:eastAsia="仿宋" w:cs="仿宋"/>
          <w:b w:val="0"/>
          <w:bCs/>
          <w:sz w:val="24"/>
          <w:szCs w:val="24"/>
          <w:highlight w:val="none"/>
          <w:lang w:eastAsia="zh-CN"/>
        </w:rPr>
        <w:t>》</w:t>
      </w:r>
      <w:bookmarkEnd w:id="199"/>
      <w:bookmarkEnd w:id="200"/>
      <w:bookmarkEnd w:id="201"/>
    </w:p>
    <w:p w14:paraId="0B848BBC">
      <w:pPr>
        <w:pageBreakBefore w:val="0"/>
        <w:widowControl/>
        <w:kinsoku/>
        <w:overflowPunct/>
        <w:topLinePunct w:val="0"/>
        <w:autoSpaceDE/>
        <w:autoSpaceDN/>
        <w:bidi w:val="0"/>
        <w:adjustRightInd w:val="0"/>
        <w:snapToGrid w:val="0"/>
        <w:spacing w:line="50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商务技术标评审标准</w:t>
      </w:r>
    </w:p>
    <w:tbl>
      <w:tblPr>
        <w:tblStyle w:val="17"/>
        <w:tblW w:w="560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687"/>
        <w:gridCol w:w="8325"/>
        <w:gridCol w:w="679"/>
      </w:tblGrid>
      <w:tr w14:paraId="6056E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tblHeader/>
          <w:jc w:val="center"/>
        </w:trPr>
        <w:tc>
          <w:tcPr>
            <w:tcW w:w="232" w:type="pct"/>
            <w:tcBorders>
              <w:tl2br w:val="nil"/>
              <w:tr2bl w:val="nil"/>
            </w:tcBorders>
            <w:shd w:val="clear" w:color="auto" w:fill="FFFFFF" w:themeFill="background1"/>
            <w:vAlign w:val="center"/>
          </w:tcPr>
          <w:p w14:paraId="1DE1184F">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宋体" w:cstheme="minorEastAsia"/>
                <w:b/>
                <w:bCs w:val="0"/>
                <w:sz w:val="18"/>
                <w:szCs w:val="18"/>
                <w:highlight w:val="none"/>
              </w:rPr>
            </w:pPr>
            <w:r>
              <w:rPr>
                <w:rFonts w:hint="eastAsia" w:ascii="Times New Roman" w:hAnsi="Times New Roman" w:eastAsia="宋体" w:cstheme="minorEastAsia"/>
                <w:b/>
                <w:bCs w:val="0"/>
                <w:sz w:val="18"/>
                <w:szCs w:val="18"/>
                <w:highlight w:val="none"/>
              </w:rPr>
              <w:t>序号</w:t>
            </w:r>
          </w:p>
        </w:tc>
        <w:tc>
          <w:tcPr>
            <w:tcW w:w="338" w:type="pct"/>
            <w:tcBorders>
              <w:tl2br w:val="nil"/>
              <w:tr2bl w:val="nil"/>
            </w:tcBorders>
            <w:shd w:val="clear" w:color="auto" w:fill="FFFFFF" w:themeFill="background1"/>
            <w:vAlign w:val="center"/>
          </w:tcPr>
          <w:p w14:paraId="070AC457">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宋体" w:cstheme="minorEastAsia"/>
                <w:b/>
                <w:bCs w:val="0"/>
                <w:sz w:val="18"/>
                <w:szCs w:val="18"/>
                <w:highlight w:val="none"/>
              </w:rPr>
            </w:pPr>
            <w:r>
              <w:rPr>
                <w:rFonts w:hint="eastAsia" w:ascii="Times New Roman" w:hAnsi="Times New Roman" w:eastAsia="宋体" w:cstheme="minorEastAsia"/>
                <w:b/>
                <w:bCs w:val="0"/>
                <w:sz w:val="18"/>
                <w:szCs w:val="18"/>
                <w:highlight w:val="none"/>
              </w:rPr>
              <w:t>评分</w:t>
            </w:r>
          </w:p>
          <w:p w14:paraId="535CFA88">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宋体" w:cstheme="minorEastAsia"/>
                <w:b/>
                <w:bCs w:val="0"/>
                <w:sz w:val="18"/>
                <w:szCs w:val="18"/>
                <w:highlight w:val="none"/>
              </w:rPr>
            </w:pPr>
            <w:r>
              <w:rPr>
                <w:rFonts w:hint="eastAsia" w:ascii="Times New Roman" w:hAnsi="Times New Roman" w:eastAsia="宋体" w:cstheme="minorEastAsia"/>
                <w:b/>
                <w:bCs w:val="0"/>
                <w:sz w:val="18"/>
                <w:szCs w:val="18"/>
                <w:highlight w:val="none"/>
              </w:rPr>
              <w:t>因素</w:t>
            </w:r>
          </w:p>
        </w:tc>
        <w:tc>
          <w:tcPr>
            <w:tcW w:w="4094" w:type="pct"/>
            <w:tcBorders>
              <w:tl2br w:val="nil"/>
              <w:tr2bl w:val="nil"/>
            </w:tcBorders>
            <w:shd w:val="clear" w:color="auto" w:fill="FFFFFF" w:themeFill="background1"/>
            <w:vAlign w:val="center"/>
          </w:tcPr>
          <w:p w14:paraId="204EF1D1">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宋体" w:cstheme="minorEastAsia"/>
                <w:b/>
                <w:bCs w:val="0"/>
                <w:sz w:val="18"/>
                <w:szCs w:val="18"/>
                <w:highlight w:val="none"/>
              </w:rPr>
            </w:pPr>
            <w:r>
              <w:rPr>
                <w:rFonts w:hint="eastAsia" w:ascii="Times New Roman" w:hAnsi="Times New Roman" w:eastAsia="宋体" w:cstheme="minorEastAsia"/>
                <w:b/>
                <w:bCs w:val="0"/>
                <w:sz w:val="18"/>
                <w:szCs w:val="18"/>
                <w:highlight w:val="none"/>
              </w:rPr>
              <w:t>评分</w:t>
            </w:r>
            <w:r>
              <w:rPr>
                <w:rFonts w:hint="eastAsia" w:ascii="Times New Roman" w:hAnsi="Times New Roman" w:eastAsia="宋体" w:cstheme="minorEastAsia"/>
                <w:b/>
                <w:bCs w:val="0"/>
                <w:sz w:val="18"/>
                <w:szCs w:val="18"/>
                <w:highlight w:val="none"/>
                <w:lang w:val="en-US" w:eastAsia="zh-CN"/>
              </w:rPr>
              <w:t>标准</w:t>
            </w:r>
          </w:p>
        </w:tc>
        <w:tc>
          <w:tcPr>
            <w:tcW w:w="334" w:type="pct"/>
            <w:tcBorders>
              <w:tl2br w:val="nil"/>
              <w:tr2bl w:val="nil"/>
            </w:tcBorders>
            <w:shd w:val="clear" w:color="auto" w:fill="FFFFFF" w:themeFill="background1"/>
            <w:vAlign w:val="center"/>
          </w:tcPr>
          <w:p w14:paraId="0FD0F913">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imes New Roman" w:hAnsi="Times New Roman" w:eastAsia="宋体" w:cstheme="minorEastAsia"/>
                <w:b/>
                <w:bCs w:val="0"/>
                <w:sz w:val="18"/>
                <w:szCs w:val="18"/>
                <w:highlight w:val="none"/>
              </w:rPr>
            </w:pPr>
            <w:r>
              <w:rPr>
                <w:rFonts w:hint="eastAsia" w:ascii="Times New Roman" w:hAnsi="Times New Roman" w:eastAsia="宋体" w:cstheme="minorEastAsia"/>
                <w:b/>
                <w:bCs w:val="0"/>
                <w:sz w:val="18"/>
                <w:szCs w:val="18"/>
                <w:highlight w:val="none"/>
              </w:rPr>
              <w:t>分值</w:t>
            </w:r>
          </w:p>
        </w:tc>
      </w:tr>
      <w:tr w14:paraId="54199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45" w:hRule="atLeast"/>
          <w:jc w:val="center"/>
        </w:trPr>
        <w:tc>
          <w:tcPr>
            <w:tcW w:w="232" w:type="pct"/>
            <w:tcBorders>
              <w:tl2br w:val="nil"/>
              <w:tr2bl w:val="nil"/>
            </w:tcBorders>
            <w:vAlign w:val="center"/>
          </w:tcPr>
          <w:p w14:paraId="6BAB0B63">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宋体" w:cstheme="minorEastAsia"/>
                <w:b w:val="0"/>
                <w:bCs/>
                <w:sz w:val="18"/>
                <w:szCs w:val="18"/>
                <w:highlight w:val="none"/>
                <w:lang w:val="en-US" w:eastAsia="zh-CN"/>
              </w:rPr>
            </w:pPr>
            <w:r>
              <w:rPr>
                <w:rFonts w:hint="eastAsia" w:ascii="Times New Roman" w:hAnsi="Times New Roman" w:eastAsia="宋体" w:cstheme="minorEastAsia"/>
                <w:b w:val="0"/>
                <w:bCs/>
                <w:sz w:val="18"/>
                <w:szCs w:val="18"/>
                <w:highlight w:val="none"/>
                <w:lang w:val="en-US" w:eastAsia="zh-CN"/>
              </w:rPr>
              <w:t>1</w:t>
            </w:r>
          </w:p>
        </w:tc>
        <w:tc>
          <w:tcPr>
            <w:tcW w:w="338" w:type="pct"/>
            <w:tcBorders>
              <w:tl2br w:val="nil"/>
              <w:tr2bl w:val="nil"/>
            </w:tcBorders>
            <w:vAlign w:val="center"/>
          </w:tcPr>
          <w:p w14:paraId="5218EF63">
            <w:pPr>
              <w:widowControl/>
              <w:snapToGrid w:val="0"/>
              <w:spacing w:line="200" w:lineRule="exact"/>
              <w:jc w:val="center"/>
              <w:rPr>
                <w:rFonts w:hint="default" w:ascii="Times New Roman" w:hAnsi="Times New Roman" w:eastAsia="宋体" w:cstheme="minorEastAsia"/>
                <w:b w:val="0"/>
                <w:bCs/>
                <w:sz w:val="18"/>
                <w:szCs w:val="18"/>
                <w:highlight w:val="none"/>
                <w:lang w:val="en-US" w:eastAsia="zh-CN"/>
              </w:rPr>
            </w:pPr>
            <w:r>
              <w:rPr>
                <w:rFonts w:hint="eastAsia" w:ascii="Times New Roman" w:hAnsi="Times New Roman" w:eastAsia="宋体" w:cs="宋体"/>
                <w:sz w:val="18"/>
                <w:szCs w:val="18"/>
                <w:highlight w:val="none"/>
              </w:rPr>
              <w:t>同类合作业绩</w:t>
            </w:r>
          </w:p>
        </w:tc>
        <w:tc>
          <w:tcPr>
            <w:tcW w:w="4094" w:type="pct"/>
            <w:tcBorders>
              <w:tl2br w:val="nil"/>
              <w:tr2bl w:val="nil"/>
            </w:tcBorders>
            <w:vAlign w:val="center"/>
          </w:tcPr>
          <w:p w14:paraId="2526B501">
            <w:pPr>
              <w:widowControl/>
              <w:numPr>
                <w:ilvl w:val="0"/>
                <w:numId w:val="0"/>
              </w:numPr>
              <w:autoSpaceDE w:val="0"/>
              <w:autoSpaceDN w:val="0"/>
              <w:adjustRightInd w:val="0"/>
              <w:snapToGrid w:val="0"/>
              <w:spacing w:line="200" w:lineRule="exact"/>
              <w:ind w:firstLine="361" w:firstLineChars="200"/>
              <w:jc w:val="left"/>
              <w:rPr>
                <w:rFonts w:hint="eastAsia" w:ascii="宋体" w:hAnsi="宋体" w:eastAsiaTheme="minorEastAsia" w:cstheme="minorBidi"/>
                <w:sz w:val="18"/>
                <w:szCs w:val="18"/>
                <w:highlight w:val="none"/>
                <w:lang w:val="en-US" w:eastAsia="zh-CN"/>
              </w:rPr>
            </w:pPr>
            <w:r>
              <w:rPr>
                <w:rFonts w:hint="eastAsia" w:ascii="宋体" w:hAnsi="宋体"/>
                <w:b/>
                <w:bCs/>
                <w:sz w:val="18"/>
                <w:szCs w:val="18"/>
                <w:highlight w:val="none"/>
                <w:lang w:val="en-US" w:eastAsia="zh-CN"/>
              </w:rPr>
              <w:t>评分标准：</w:t>
            </w:r>
            <w:r>
              <w:rPr>
                <w:rFonts w:hint="eastAsia" w:ascii="宋体" w:hAnsi="宋体"/>
                <w:sz w:val="18"/>
                <w:szCs w:val="18"/>
                <w:highlight w:val="none"/>
              </w:rPr>
              <w:t>根据投标人提供</w:t>
            </w:r>
            <w:r>
              <w:rPr>
                <w:rFonts w:hint="eastAsia" w:ascii="宋体" w:hAnsi="宋体"/>
                <w:sz w:val="18"/>
                <w:szCs w:val="18"/>
                <w:highlight w:val="none"/>
                <w:lang w:val="en-US" w:eastAsia="zh-CN"/>
              </w:rPr>
              <w:t>2023年1月1日至投标截止时间</w:t>
            </w:r>
            <w:r>
              <w:rPr>
                <w:rFonts w:hint="eastAsia" w:ascii="宋体" w:hAnsi="宋体"/>
                <w:sz w:val="18"/>
                <w:szCs w:val="18"/>
                <w:highlight w:val="none"/>
              </w:rPr>
              <w:t>完成与本项目</w:t>
            </w:r>
            <w:r>
              <w:rPr>
                <w:rFonts w:hint="eastAsia" w:ascii="宋体" w:hAnsi="宋体"/>
                <w:sz w:val="18"/>
                <w:szCs w:val="18"/>
                <w:highlight w:val="none"/>
                <w:lang w:val="en-US" w:eastAsia="zh-CN"/>
              </w:rPr>
              <w:t>招聘</w:t>
            </w:r>
            <w:r>
              <w:rPr>
                <w:rFonts w:hint="eastAsia" w:ascii="宋体" w:hAnsi="宋体"/>
                <w:sz w:val="18"/>
                <w:szCs w:val="18"/>
                <w:highlight w:val="none"/>
              </w:rPr>
              <w:t>服务内容</w:t>
            </w:r>
            <w:r>
              <w:rPr>
                <w:rFonts w:hint="eastAsia" w:ascii="宋体" w:hAnsi="宋体"/>
                <w:sz w:val="18"/>
                <w:szCs w:val="18"/>
                <w:highlight w:val="none"/>
                <w:lang w:val="en-US" w:eastAsia="zh-CN"/>
              </w:rPr>
              <w:t>近似</w:t>
            </w:r>
            <w:r>
              <w:rPr>
                <w:rFonts w:hint="eastAsia" w:ascii="宋体" w:hAnsi="宋体"/>
                <w:sz w:val="18"/>
                <w:szCs w:val="18"/>
                <w:highlight w:val="none"/>
              </w:rPr>
              <w:t>的</w:t>
            </w:r>
            <w:r>
              <w:rPr>
                <w:rFonts w:hint="eastAsia" w:ascii="宋体" w:hAnsi="宋体"/>
                <w:sz w:val="18"/>
                <w:szCs w:val="18"/>
                <w:highlight w:val="none"/>
                <w:lang w:val="en-US" w:eastAsia="zh-CN"/>
              </w:rPr>
              <w:t>有效</w:t>
            </w:r>
            <w:r>
              <w:rPr>
                <w:rFonts w:hint="eastAsia" w:ascii="宋体" w:hAnsi="宋体"/>
                <w:b w:val="0"/>
                <w:bCs w:val="0"/>
                <w:sz w:val="18"/>
                <w:szCs w:val="18"/>
                <w:highlight w:val="none"/>
                <w:lang w:val="en-US" w:eastAsia="zh-CN"/>
              </w:rPr>
              <w:t>业绩案例，</w:t>
            </w:r>
            <w:r>
              <w:rPr>
                <w:rFonts w:hint="eastAsia" w:ascii="宋体" w:hAnsi="宋体" w:eastAsiaTheme="minorEastAsia" w:cstheme="minorBidi"/>
                <w:b/>
                <w:bCs/>
                <w:sz w:val="18"/>
                <w:szCs w:val="18"/>
                <w:highlight w:val="none"/>
                <w:lang w:val="en-US" w:eastAsia="zh-CN"/>
              </w:rPr>
              <w:t>每个业绩案例须同时提供以下证明材料，缺一不可：</w:t>
            </w:r>
          </w:p>
          <w:p w14:paraId="40767213">
            <w:pPr>
              <w:widowControl/>
              <w:numPr>
                <w:ilvl w:val="0"/>
                <w:numId w:val="0"/>
              </w:numPr>
              <w:autoSpaceDE w:val="0"/>
              <w:autoSpaceDN w:val="0"/>
              <w:adjustRightInd w:val="0"/>
              <w:snapToGrid w:val="0"/>
              <w:spacing w:line="200" w:lineRule="exact"/>
              <w:ind w:firstLine="360" w:firstLineChars="200"/>
              <w:jc w:val="left"/>
              <w:rPr>
                <w:rFonts w:hint="eastAsia" w:ascii="宋体" w:hAnsi="宋体" w:eastAsiaTheme="minorEastAsia" w:cstheme="minorBidi"/>
                <w:sz w:val="18"/>
                <w:szCs w:val="18"/>
                <w:highlight w:val="none"/>
                <w:lang w:val="en-US" w:eastAsia="zh-CN"/>
              </w:rPr>
            </w:pPr>
            <w:r>
              <w:rPr>
                <w:rFonts w:hint="eastAsia" w:ascii="宋体" w:hAnsi="宋体" w:eastAsiaTheme="minorEastAsia" w:cstheme="minorBidi"/>
                <w:sz w:val="18"/>
                <w:szCs w:val="18"/>
                <w:highlight w:val="none"/>
                <w:lang w:val="en-US" w:eastAsia="zh-CN"/>
              </w:rPr>
              <w:t>1.服务合同关键页（含甲乙双方盖章、服务内容、服务期限）；</w:t>
            </w:r>
          </w:p>
          <w:p w14:paraId="1C253C23">
            <w:pPr>
              <w:widowControl/>
              <w:numPr>
                <w:ilvl w:val="0"/>
                <w:numId w:val="0"/>
              </w:numPr>
              <w:autoSpaceDE w:val="0"/>
              <w:autoSpaceDN w:val="0"/>
              <w:adjustRightInd w:val="0"/>
              <w:snapToGrid w:val="0"/>
              <w:spacing w:line="200" w:lineRule="exact"/>
              <w:ind w:firstLine="360" w:firstLineChars="200"/>
              <w:jc w:val="left"/>
              <w:rPr>
                <w:rFonts w:hint="eastAsia" w:ascii="宋体" w:hAnsi="宋体" w:eastAsiaTheme="minorEastAsia" w:cstheme="minorBidi"/>
                <w:sz w:val="18"/>
                <w:szCs w:val="18"/>
                <w:highlight w:val="none"/>
                <w:lang w:val="en-US" w:eastAsia="zh-CN"/>
              </w:rPr>
            </w:pPr>
            <w:r>
              <w:rPr>
                <w:rFonts w:hint="eastAsia" w:ascii="宋体" w:hAnsi="宋体" w:eastAsiaTheme="minorEastAsia" w:cstheme="minorBidi"/>
                <w:sz w:val="18"/>
                <w:szCs w:val="18"/>
                <w:highlight w:val="none"/>
                <w:lang w:val="en-US" w:eastAsia="zh-CN"/>
              </w:rPr>
              <w:t>2.录用人员名单（含姓名、岗位、入职时间，</w:t>
            </w:r>
            <w:r>
              <w:rPr>
                <w:rFonts w:hint="eastAsia" w:ascii="宋体" w:hAnsi="宋体" w:cstheme="minorBidi"/>
                <w:sz w:val="18"/>
                <w:szCs w:val="18"/>
                <w:highlight w:val="none"/>
                <w:lang w:val="en-US" w:eastAsia="zh-CN"/>
              </w:rPr>
              <w:t>具有结算方公章</w:t>
            </w:r>
            <w:r>
              <w:rPr>
                <w:rFonts w:hint="eastAsia" w:ascii="宋体" w:hAnsi="宋体" w:eastAsiaTheme="minorEastAsia" w:cstheme="minorBidi"/>
                <w:sz w:val="18"/>
                <w:szCs w:val="18"/>
                <w:highlight w:val="none"/>
                <w:lang w:val="en-US" w:eastAsia="zh-CN"/>
              </w:rPr>
              <w:t>）</w:t>
            </w:r>
            <w:r>
              <w:rPr>
                <w:rFonts w:hint="eastAsia" w:ascii="宋体" w:hAnsi="宋体" w:cstheme="minorBidi"/>
                <w:sz w:val="18"/>
                <w:szCs w:val="18"/>
                <w:highlight w:val="none"/>
                <w:lang w:val="en-US" w:eastAsia="zh-CN"/>
              </w:rPr>
              <w:t>或带有人员名单的结算单（具有结算方公章）</w:t>
            </w:r>
            <w:r>
              <w:rPr>
                <w:rFonts w:hint="eastAsia" w:ascii="宋体" w:hAnsi="宋体" w:eastAsiaTheme="minorEastAsia" w:cstheme="minorBidi"/>
                <w:sz w:val="18"/>
                <w:szCs w:val="18"/>
                <w:highlight w:val="none"/>
                <w:lang w:val="en-US" w:eastAsia="zh-CN"/>
              </w:rPr>
              <w:t>；</w:t>
            </w:r>
          </w:p>
          <w:p w14:paraId="5D0B4056">
            <w:pPr>
              <w:widowControl/>
              <w:numPr>
                <w:ilvl w:val="0"/>
                <w:numId w:val="0"/>
              </w:numPr>
              <w:autoSpaceDE w:val="0"/>
              <w:autoSpaceDN w:val="0"/>
              <w:adjustRightInd w:val="0"/>
              <w:snapToGrid w:val="0"/>
              <w:spacing w:line="200" w:lineRule="exact"/>
              <w:ind w:firstLine="360" w:firstLineChars="200"/>
              <w:jc w:val="left"/>
              <w:rPr>
                <w:rFonts w:hint="eastAsia" w:ascii="宋体" w:hAnsi="宋体" w:eastAsiaTheme="minorEastAsia" w:cstheme="minorBidi"/>
                <w:sz w:val="18"/>
                <w:szCs w:val="18"/>
                <w:highlight w:val="none"/>
                <w:lang w:val="en-US" w:eastAsia="zh-CN"/>
              </w:rPr>
            </w:pPr>
            <w:r>
              <w:rPr>
                <w:rFonts w:hint="eastAsia" w:ascii="宋体" w:hAnsi="宋体" w:eastAsiaTheme="minorEastAsia" w:cstheme="minorBidi"/>
                <w:sz w:val="18"/>
                <w:szCs w:val="18"/>
                <w:highlight w:val="none"/>
                <w:lang w:val="en-US" w:eastAsia="zh-CN"/>
              </w:rPr>
              <w:t>3.对应金额的增值税发票复印件。</w:t>
            </w:r>
          </w:p>
          <w:p w14:paraId="2C681422">
            <w:pPr>
              <w:widowControl/>
              <w:numPr>
                <w:ilvl w:val="0"/>
                <w:numId w:val="0"/>
              </w:numPr>
              <w:autoSpaceDE w:val="0"/>
              <w:autoSpaceDN w:val="0"/>
              <w:adjustRightInd w:val="0"/>
              <w:snapToGrid w:val="0"/>
              <w:spacing w:line="200" w:lineRule="exact"/>
              <w:ind w:firstLine="360" w:firstLineChars="200"/>
              <w:jc w:val="left"/>
              <w:rPr>
                <w:rFonts w:hint="eastAsia" w:ascii="宋体" w:hAnsi="宋体" w:eastAsiaTheme="minorEastAsia" w:cstheme="minorBidi"/>
                <w:sz w:val="18"/>
                <w:szCs w:val="18"/>
                <w:highlight w:val="none"/>
                <w:lang w:val="en-US" w:eastAsia="zh-CN"/>
              </w:rPr>
            </w:pPr>
            <w:r>
              <w:rPr>
                <w:rFonts w:hint="eastAsia" w:ascii="宋体" w:hAnsi="宋体" w:cstheme="minorBidi"/>
                <w:sz w:val="18"/>
                <w:szCs w:val="18"/>
                <w:highlight w:val="none"/>
                <w:lang w:val="en-US" w:eastAsia="zh-CN"/>
              </w:rPr>
              <w:t>业绩案例填写</w:t>
            </w:r>
            <w:r>
              <w:rPr>
                <w:rFonts w:hint="eastAsia" w:ascii="宋体" w:hAnsi="宋体" w:eastAsiaTheme="minorEastAsia" w:cstheme="minorBidi"/>
                <w:sz w:val="18"/>
                <w:szCs w:val="18"/>
                <w:highlight w:val="none"/>
                <w:lang w:val="en-US" w:eastAsia="zh-CN"/>
              </w:rPr>
              <w:t>格式参见本招标文件</w:t>
            </w:r>
            <w:r>
              <w:rPr>
                <w:rFonts w:hint="eastAsia" w:ascii="宋体" w:hAnsi="宋体" w:cstheme="minorBidi"/>
                <w:sz w:val="18"/>
                <w:szCs w:val="18"/>
                <w:highlight w:val="none"/>
                <w:lang w:val="en-US" w:eastAsia="zh-CN"/>
              </w:rPr>
              <w:t>“</w:t>
            </w:r>
            <w:r>
              <w:rPr>
                <w:rFonts w:hint="eastAsia" w:ascii="宋体" w:hAnsi="宋体" w:eastAsiaTheme="minorEastAsia" w:cstheme="minorBidi"/>
                <w:sz w:val="18"/>
                <w:szCs w:val="18"/>
                <w:highlight w:val="none"/>
                <w:lang w:val="en-US" w:eastAsia="zh-CN"/>
              </w:rPr>
              <w:t>第四章 投标文件格式 格式3 业绩证明”</w:t>
            </w:r>
            <w:r>
              <w:rPr>
                <w:rFonts w:hint="eastAsia" w:ascii="宋体" w:hAnsi="宋体" w:cstheme="minorBidi"/>
                <w:sz w:val="18"/>
                <w:szCs w:val="18"/>
                <w:highlight w:val="none"/>
                <w:lang w:val="en-US" w:eastAsia="zh-CN"/>
              </w:rPr>
              <w:t>，并同步提交“格式4 业绩案例交付数据情况表”（须加盖公章）。</w:t>
            </w:r>
            <w:r>
              <w:rPr>
                <w:rFonts w:hint="eastAsia" w:ascii="宋体" w:hAnsi="宋体" w:eastAsiaTheme="minorEastAsia" w:cstheme="minorBidi"/>
                <w:sz w:val="18"/>
                <w:szCs w:val="18"/>
                <w:highlight w:val="none"/>
                <w:lang w:val="en-US" w:eastAsia="zh-CN"/>
              </w:rPr>
              <w:t>所有文件均需清晰描，无法验证真实性或信息模糊的，该案例不予计分。</w:t>
            </w:r>
          </w:p>
          <w:p w14:paraId="24E1AFEC">
            <w:pPr>
              <w:widowControl/>
              <w:numPr>
                <w:ilvl w:val="0"/>
                <w:numId w:val="0"/>
              </w:numPr>
              <w:autoSpaceDE w:val="0"/>
              <w:autoSpaceDN w:val="0"/>
              <w:adjustRightInd w:val="0"/>
              <w:snapToGrid w:val="0"/>
              <w:spacing w:line="200" w:lineRule="exact"/>
              <w:ind w:firstLine="361" w:firstLineChars="200"/>
              <w:jc w:val="left"/>
              <w:rPr>
                <w:rFonts w:hint="eastAsia" w:ascii="宋体" w:hAnsi="宋体"/>
                <w:b/>
                <w:bCs/>
                <w:sz w:val="18"/>
                <w:szCs w:val="18"/>
                <w:highlight w:val="none"/>
              </w:rPr>
            </w:pPr>
            <w:r>
              <w:rPr>
                <w:rFonts w:hint="eastAsia" w:ascii="宋体" w:hAnsi="宋体"/>
                <w:b/>
                <w:bCs/>
                <w:sz w:val="18"/>
                <w:szCs w:val="18"/>
                <w:highlight w:val="none"/>
                <w:lang w:val="en-US" w:eastAsia="zh-CN"/>
              </w:rPr>
              <w:t>评分规则</w:t>
            </w:r>
            <w:r>
              <w:rPr>
                <w:rFonts w:hint="eastAsia" w:ascii="宋体" w:hAnsi="宋体"/>
                <w:b/>
                <w:bCs/>
                <w:sz w:val="18"/>
                <w:szCs w:val="18"/>
                <w:highlight w:val="none"/>
              </w:rPr>
              <w:t>具体如下：</w:t>
            </w:r>
          </w:p>
          <w:p w14:paraId="00174FDC">
            <w:pPr>
              <w:widowControl/>
              <w:autoSpaceDE w:val="0"/>
              <w:autoSpaceDN w:val="0"/>
              <w:adjustRightInd w:val="0"/>
              <w:snapToGrid w:val="0"/>
              <w:spacing w:line="200" w:lineRule="exact"/>
              <w:ind w:firstLine="361" w:firstLineChars="200"/>
              <w:jc w:val="left"/>
              <w:rPr>
                <w:rFonts w:hint="eastAsia" w:ascii="宋体" w:hAnsi="宋体"/>
                <w:b/>
                <w:bCs/>
                <w:sz w:val="18"/>
                <w:szCs w:val="18"/>
                <w:highlight w:val="none"/>
                <w:lang w:val="en-US" w:eastAsia="zh-CN"/>
              </w:rPr>
            </w:pPr>
            <w:r>
              <w:rPr>
                <w:rFonts w:hint="eastAsia" w:ascii="宋体" w:hAnsi="宋体"/>
                <w:b/>
                <w:bCs/>
                <w:sz w:val="18"/>
                <w:szCs w:val="18"/>
                <w:highlight w:val="none"/>
                <w:lang w:val="en-US" w:eastAsia="zh-CN"/>
              </w:rPr>
              <w:t>1.基础业绩分</w:t>
            </w:r>
          </w:p>
          <w:p w14:paraId="088F3AD7">
            <w:pPr>
              <w:widowControl/>
              <w:autoSpaceDE w:val="0"/>
              <w:autoSpaceDN w:val="0"/>
              <w:adjustRightInd w:val="0"/>
              <w:snapToGrid w:val="0"/>
              <w:spacing w:line="200" w:lineRule="exact"/>
              <w:ind w:firstLine="360" w:firstLineChars="200"/>
              <w:jc w:val="left"/>
              <w:rPr>
                <w:rFonts w:hint="eastAsia" w:ascii="宋体" w:hAnsi="宋体"/>
                <w:sz w:val="18"/>
                <w:szCs w:val="18"/>
                <w:highlight w:val="none"/>
                <w:lang w:val="en-US" w:eastAsia="zh-CN"/>
              </w:rPr>
            </w:pPr>
            <w:r>
              <w:rPr>
                <w:rFonts w:hint="eastAsia" w:ascii="宋体" w:hAnsi="宋体"/>
                <w:sz w:val="18"/>
                <w:szCs w:val="18"/>
                <w:highlight w:val="none"/>
                <w:lang w:val="en-US" w:eastAsia="zh-CN"/>
              </w:rPr>
              <w:t>投标人提供的呼叫中心客服类（以电话/远程服务为主的岗位）业绩案例年均交付人数≥20人（即合同总交付人数÷合同年数≥20人），</w:t>
            </w:r>
            <w:r>
              <w:rPr>
                <w:rFonts w:hint="eastAsia" w:ascii="宋体" w:hAnsi="宋体"/>
                <w:sz w:val="18"/>
                <w:szCs w:val="18"/>
                <w:highlight w:val="none"/>
              </w:rPr>
              <w:t>每提供</w:t>
            </w:r>
            <w:r>
              <w:rPr>
                <w:rFonts w:hint="eastAsia" w:ascii="宋体" w:hAnsi="宋体"/>
                <w:sz w:val="18"/>
                <w:szCs w:val="18"/>
                <w:highlight w:val="none"/>
                <w:lang w:val="en-US" w:eastAsia="zh-CN"/>
              </w:rPr>
              <w:t>1</w:t>
            </w:r>
            <w:r>
              <w:rPr>
                <w:rFonts w:hint="eastAsia" w:ascii="宋体" w:hAnsi="宋体"/>
                <w:sz w:val="18"/>
                <w:szCs w:val="18"/>
                <w:highlight w:val="none"/>
              </w:rPr>
              <w:t>个有效</w:t>
            </w:r>
            <w:r>
              <w:rPr>
                <w:rFonts w:hint="eastAsia" w:ascii="宋体" w:hAnsi="宋体"/>
                <w:sz w:val="18"/>
                <w:szCs w:val="18"/>
                <w:highlight w:val="none"/>
                <w:lang w:val="en-US" w:eastAsia="zh-CN"/>
              </w:rPr>
              <w:t>案例的</w:t>
            </w:r>
            <w:r>
              <w:rPr>
                <w:rFonts w:hint="eastAsia" w:ascii="宋体" w:hAnsi="宋体"/>
                <w:sz w:val="18"/>
                <w:szCs w:val="18"/>
                <w:highlight w:val="none"/>
              </w:rPr>
              <w:t>，得</w:t>
            </w:r>
            <w:r>
              <w:rPr>
                <w:rFonts w:hint="eastAsia" w:ascii="宋体" w:hAnsi="宋体"/>
                <w:sz w:val="18"/>
                <w:szCs w:val="18"/>
                <w:highlight w:val="none"/>
                <w:lang w:val="en-US" w:eastAsia="zh-CN"/>
              </w:rPr>
              <w:t>6</w:t>
            </w:r>
            <w:r>
              <w:rPr>
                <w:rFonts w:hint="eastAsia" w:ascii="宋体" w:hAnsi="宋体"/>
                <w:sz w:val="18"/>
                <w:szCs w:val="18"/>
                <w:highlight w:val="none"/>
              </w:rPr>
              <w:t>分</w:t>
            </w:r>
            <w:r>
              <w:rPr>
                <w:rFonts w:hint="eastAsia" w:ascii="宋体" w:hAnsi="宋体"/>
                <w:sz w:val="18"/>
                <w:szCs w:val="18"/>
                <w:highlight w:val="none"/>
                <w:lang w:eastAsia="zh-CN"/>
              </w:rPr>
              <w:t>，</w:t>
            </w:r>
            <w:r>
              <w:rPr>
                <w:rFonts w:hint="eastAsia" w:ascii="宋体" w:hAnsi="宋体"/>
                <w:sz w:val="18"/>
                <w:szCs w:val="18"/>
                <w:highlight w:val="none"/>
                <w:lang w:val="en-US" w:eastAsia="zh-CN"/>
              </w:rPr>
              <w:t>最多提供5个，基础分最高30分。</w:t>
            </w:r>
          </w:p>
          <w:p w14:paraId="4551E4B8">
            <w:pPr>
              <w:widowControl/>
              <w:autoSpaceDE w:val="0"/>
              <w:autoSpaceDN w:val="0"/>
              <w:adjustRightInd w:val="0"/>
              <w:snapToGrid w:val="0"/>
              <w:spacing w:line="200" w:lineRule="exact"/>
              <w:ind w:firstLine="361" w:firstLineChars="200"/>
              <w:jc w:val="left"/>
              <w:rPr>
                <w:rFonts w:hint="default" w:ascii="宋体" w:hAnsi="宋体"/>
                <w:b/>
                <w:bCs/>
                <w:sz w:val="18"/>
                <w:szCs w:val="18"/>
                <w:highlight w:val="none"/>
                <w:lang w:val="en-US" w:eastAsia="zh-CN"/>
              </w:rPr>
            </w:pPr>
            <w:r>
              <w:rPr>
                <w:rFonts w:hint="eastAsia" w:ascii="宋体" w:hAnsi="宋体"/>
                <w:b/>
                <w:bCs/>
                <w:sz w:val="18"/>
                <w:szCs w:val="18"/>
                <w:highlight w:val="none"/>
                <w:lang w:val="en-US" w:eastAsia="zh-CN"/>
              </w:rPr>
              <w:t>2.相关性加分</w:t>
            </w:r>
          </w:p>
          <w:p w14:paraId="370735FB">
            <w:pPr>
              <w:widowControl/>
              <w:autoSpaceDE w:val="0"/>
              <w:autoSpaceDN w:val="0"/>
              <w:adjustRightInd w:val="0"/>
              <w:snapToGrid w:val="0"/>
              <w:spacing w:line="200" w:lineRule="exact"/>
              <w:ind w:firstLine="360" w:firstLineChars="200"/>
              <w:jc w:val="left"/>
              <w:rPr>
                <w:rFonts w:hint="default" w:ascii="宋体" w:hAnsi="宋体"/>
                <w:sz w:val="18"/>
                <w:szCs w:val="18"/>
                <w:highlight w:val="none"/>
                <w:lang w:val="en-US" w:eastAsia="zh-CN"/>
              </w:rPr>
            </w:pPr>
            <w:r>
              <w:rPr>
                <w:rFonts w:hint="eastAsia" w:ascii="宋体" w:hAnsi="宋体"/>
                <w:sz w:val="18"/>
                <w:szCs w:val="18"/>
                <w:highlight w:val="none"/>
                <w:lang w:val="en-US" w:eastAsia="zh-CN"/>
              </w:rPr>
              <w:t>在已计入基础分的有效案例中，按以下规则额外加分（最高5分）：</w:t>
            </w:r>
          </w:p>
          <w:p w14:paraId="6A004235">
            <w:pPr>
              <w:widowControl/>
              <w:autoSpaceDE w:val="0"/>
              <w:autoSpaceDN w:val="0"/>
              <w:adjustRightInd w:val="0"/>
              <w:snapToGrid w:val="0"/>
              <w:spacing w:line="200" w:lineRule="exact"/>
              <w:ind w:firstLine="360" w:firstLineChars="200"/>
              <w:jc w:val="left"/>
              <w:rPr>
                <w:rFonts w:hint="eastAsia" w:ascii="宋体" w:hAnsi="宋体"/>
                <w:sz w:val="18"/>
                <w:szCs w:val="18"/>
                <w:highlight w:val="none"/>
                <w:lang w:val="en-US" w:eastAsia="zh-CN"/>
              </w:rPr>
            </w:pPr>
            <w:r>
              <w:rPr>
                <w:rFonts w:hint="eastAsia" w:ascii="宋体" w:hAnsi="宋体"/>
                <w:sz w:val="18"/>
                <w:szCs w:val="18"/>
                <w:highlight w:val="none"/>
                <w:lang w:val="en-US" w:eastAsia="zh-CN"/>
              </w:rPr>
              <w:t>1）若业绩案例为客户服务岗、风险审核岗、外呼岗的</w:t>
            </w:r>
            <w:r>
              <w:rPr>
                <w:rFonts w:hint="default" w:ascii="宋体" w:hAnsi="宋体"/>
                <w:sz w:val="18"/>
                <w:szCs w:val="18"/>
                <w:highlight w:val="none"/>
                <w:lang w:val="en-US" w:eastAsia="zh-CN"/>
              </w:rPr>
              <w:t>，</w:t>
            </w:r>
            <w:r>
              <w:rPr>
                <w:rFonts w:hint="default" w:ascii="宋体" w:hAnsi="宋体"/>
                <w:sz w:val="18"/>
                <w:szCs w:val="18"/>
                <w:highlight w:val="none"/>
              </w:rPr>
              <w:t>每</w:t>
            </w:r>
            <w:r>
              <w:rPr>
                <w:rFonts w:hint="default" w:ascii="宋体" w:hAnsi="宋体"/>
                <w:sz w:val="18"/>
                <w:szCs w:val="18"/>
                <w:highlight w:val="none"/>
                <w:lang w:val="en-US" w:eastAsia="zh-CN"/>
              </w:rPr>
              <w:t>1</w:t>
            </w:r>
            <w:r>
              <w:rPr>
                <w:rFonts w:hint="default" w:ascii="宋体" w:hAnsi="宋体"/>
                <w:sz w:val="18"/>
                <w:szCs w:val="18"/>
                <w:highlight w:val="none"/>
              </w:rPr>
              <w:t>个有效</w:t>
            </w:r>
            <w:r>
              <w:rPr>
                <w:rFonts w:hint="eastAsia" w:ascii="宋体" w:hAnsi="宋体"/>
                <w:sz w:val="18"/>
                <w:szCs w:val="18"/>
                <w:highlight w:val="none"/>
                <w:lang w:val="en-US" w:eastAsia="zh-CN"/>
              </w:rPr>
              <w:t>案例</w:t>
            </w:r>
            <w:r>
              <w:rPr>
                <w:rFonts w:hint="default" w:ascii="宋体" w:hAnsi="宋体"/>
                <w:sz w:val="18"/>
                <w:szCs w:val="18"/>
                <w:highlight w:val="none"/>
                <w:lang w:val="en-US" w:eastAsia="zh-CN"/>
              </w:rPr>
              <w:t>额外加</w:t>
            </w:r>
            <w:r>
              <w:rPr>
                <w:rFonts w:hint="eastAsia" w:ascii="宋体" w:hAnsi="宋体"/>
                <w:sz w:val="18"/>
                <w:szCs w:val="18"/>
                <w:highlight w:val="none"/>
                <w:lang w:val="en-US" w:eastAsia="zh-CN"/>
              </w:rPr>
              <w:t>2</w:t>
            </w:r>
            <w:r>
              <w:rPr>
                <w:rFonts w:hint="default" w:ascii="宋体" w:hAnsi="宋体"/>
                <w:sz w:val="18"/>
                <w:szCs w:val="18"/>
                <w:highlight w:val="none"/>
              </w:rPr>
              <w:t>分</w:t>
            </w:r>
            <w:r>
              <w:rPr>
                <w:rFonts w:hint="default" w:ascii="宋体" w:hAnsi="宋体"/>
                <w:sz w:val="18"/>
                <w:szCs w:val="18"/>
                <w:highlight w:val="none"/>
                <w:lang w:val="en-US" w:eastAsia="zh-CN"/>
              </w:rPr>
              <w:t>。</w:t>
            </w:r>
          </w:p>
          <w:p w14:paraId="65C4B84C">
            <w:pPr>
              <w:widowControl/>
              <w:numPr>
                <w:ilvl w:val="0"/>
                <w:numId w:val="0"/>
              </w:numPr>
              <w:autoSpaceDE w:val="0"/>
              <w:autoSpaceDN w:val="0"/>
              <w:adjustRightInd w:val="0"/>
              <w:snapToGrid w:val="0"/>
              <w:spacing w:line="200" w:lineRule="exact"/>
              <w:ind w:firstLine="360" w:firstLineChars="200"/>
              <w:jc w:val="left"/>
              <w:rPr>
                <w:rFonts w:hint="default" w:ascii="宋体" w:hAnsi="宋体"/>
                <w:b/>
                <w:bCs/>
                <w:sz w:val="18"/>
                <w:szCs w:val="18"/>
                <w:highlight w:val="none"/>
                <w:lang w:val="en-US" w:eastAsia="zh-CN"/>
              </w:rPr>
            </w:pPr>
            <w:r>
              <w:rPr>
                <w:rFonts w:hint="eastAsia" w:ascii="宋体" w:hAnsi="宋体"/>
                <w:b w:val="0"/>
                <w:bCs w:val="0"/>
                <w:sz w:val="18"/>
                <w:szCs w:val="18"/>
                <w:highlight w:val="none"/>
                <w:lang w:val="en-US" w:eastAsia="zh-CN"/>
              </w:rPr>
              <w:t>2）</w:t>
            </w:r>
            <w:r>
              <w:rPr>
                <w:rFonts w:hint="eastAsia" w:ascii="宋体" w:hAnsi="宋体"/>
                <w:sz w:val="18"/>
                <w:szCs w:val="18"/>
                <w:highlight w:val="none"/>
                <w:lang w:val="en-US" w:eastAsia="zh-CN"/>
              </w:rPr>
              <w:t>若业绩案例为贷后催收岗、中后台支持（数据分析）岗的</w:t>
            </w:r>
            <w:r>
              <w:rPr>
                <w:rFonts w:hint="default" w:ascii="宋体" w:hAnsi="宋体"/>
                <w:sz w:val="18"/>
                <w:szCs w:val="18"/>
                <w:highlight w:val="none"/>
                <w:lang w:val="en-US" w:eastAsia="zh-CN"/>
              </w:rPr>
              <w:t>，</w:t>
            </w:r>
            <w:r>
              <w:rPr>
                <w:rFonts w:hint="default" w:ascii="宋体" w:hAnsi="宋体"/>
                <w:sz w:val="18"/>
                <w:szCs w:val="18"/>
                <w:highlight w:val="none"/>
              </w:rPr>
              <w:t>每</w:t>
            </w:r>
            <w:r>
              <w:rPr>
                <w:rFonts w:hint="default" w:ascii="宋体" w:hAnsi="宋体"/>
                <w:sz w:val="18"/>
                <w:szCs w:val="18"/>
                <w:highlight w:val="none"/>
                <w:lang w:val="en-US" w:eastAsia="zh-CN"/>
              </w:rPr>
              <w:t>1</w:t>
            </w:r>
            <w:r>
              <w:rPr>
                <w:rFonts w:hint="default" w:ascii="宋体" w:hAnsi="宋体"/>
                <w:sz w:val="18"/>
                <w:szCs w:val="18"/>
                <w:highlight w:val="none"/>
              </w:rPr>
              <w:t>个有效</w:t>
            </w:r>
            <w:r>
              <w:rPr>
                <w:rFonts w:hint="eastAsia" w:ascii="宋体" w:hAnsi="宋体"/>
                <w:sz w:val="18"/>
                <w:szCs w:val="18"/>
                <w:highlight w:val="none"/>
                <w:lang w:val="en-US" w:eastAsia="zh-CN"/>
              </w:rPr>
              <w:t>案例</w:t>
            </w:r>
            <w:r>
              <w:rPr>
                <w:rFonts w:hint="default" w:ascii="宋体" w:hAnsi="宋体"/>
                <w:sz w:val="18"/>
                <w:szCs w:val="18"/>
                <w:highlight w:val="none"/>
                <w:lang w:val="en-US" w:eastAsia="zh-CN"/>
              </w:rPr>
              <w:t>额外加</w:t>
            </w:r>
            <w:r>
              <w:rPr>
                <w:rFonts w:hint="eastAsia" w:ascii="宋体" w:hAnsi="宋体"/>
                <w:sz w:val="18"/>
                <w:szCs w:val="18"/>
                <w:highlight w:val="none"/>
                <w:lang w:val="en-US" w:eastAsia="zh-CN"/>
              </w:rPr>
              <w:t>1</w:t>
            </w:r>
            <w:r>
              <w:rPr>
                <w:rFonts w:hint="default" w:ascii="宋体" w:hAnsi="宋体"/>
                <w:sz w:val="18"/>
                <w:szCs w:val="18"/>
                <w:highlight w:val="none"/>
              </w:rPr>
              <w:t>分</w:t>
            </w:r>
            <w:r>
              <w:rPr>
                <w:rFonts w:hint="default" w:ascii="宋体" w:hAnsi="宋体"/>
                <w:sz w:val="18"/>
                <w:szCs w:val="18"/>
                <w:highlight w:val="none"/>
                <w:lang w:val="en-US" w:eastAsia="zh-CN"/>
              </w:rPr>
              <w:t>。</w:t>
            </w:r>
          </w:p>
          <w:p w14:paraId="2546040B">
            <w:pPr>
              <w:widowControl/>
              <w:numPr>
                <w:ilvl w:val="0"/>
                <w:numId w:val="0"/>
              </w:numPr>
              <w:autoSpaceDE w:val="0"/>
              <w:autoSpaceDN w:val="0"/>
              <w:adjustRightInd w:val="0"/>
              <w:snapToGrid w:val="0"/>
              <w:spacing w:line="200" w:lineRule="exact"/>
              <w:ind w:firstLine="361" w:firstLineChars="200"/>
              <w:jc w:val="left"/>
              <w:rPr>
                <w:rFonts w:hint="default" w:ascii="宋体" w:hAnsi="宋体" w:eastAsiaTheme="minorEastAsia" w:cstheme="minorBidi"/>
                <w:b/>
                <w:bCs/>
                <w:sz w:val="18"/>
                <w:szCs w:val="18"/>
                <w:highlight w:val="none"/>
                <w:lang w:val="en-US" w:eastAsia="zh-CN"/>
              </w:rPr>
            </w:pPr>
            <w:r>
              <w:rPr>
                <w:rFonts w:hint="default" w:ascii="宋体" w:hAnsi="宋体" w:eastAsiaTheme="minorEastAsia" w:cstheme="minorBidi"/>
                <w:b/>
                <w:bCs/>
                <w:sz w:val="18"/>
                <w:szCs w:val="18"/>
                <w:highlight w:val="none"/>
                <w:lang w:val="en-US" w:eastAsia="zh-CN"/>
              </w:rPr>
              <w:t>说明：</w:t>
            </w:r>
          </w:p>
          <w:p w14:paraId="22157C53">
            <w:pPr>
              <w:widowControl/>
              <w:numPr>
                <w:ilvl w:val="0"/>
                <w:numId w:val="0"/>
              </w:numPr>
              <w:autoSpaceDE w:val="0"/>
              <w:autoSpaceDN w:val="0"/>
              <w:adjustRightInd w:val="0"/>
              <w:snapToGrid w:val="0"/>
              <w:spacing w:line="200" w:lineRule="exact"/>
              <w:ind w:firstLine="360" w:firstLineChars="200"/>
              <w:jc w:val="left"/>
              <w:rPr>
                <w:rFonts w:hint="eastAsia" w:ascii="宋体" w:hAnsi="宋体" w:eastAsiaTheme="minorEastAsia" w:cstheme="minorBidi"/>
                <w:sz w:val="18"/>
                <w:szCs w:val="18"/>
                <w:highlight w:val="none"/>
                <w:lang w:val="en-US" w:eastAsia="zh-CN"/>
              </w:rPr>
            </w:pPr>
            <w:r>
              <w:rPr>
                <w:rFonts w:hint="default" w:ascii="宋体" w:hAnsi="宋体" w:eastAsiaTheme="minorEastAsia" w:cstheme="minorBidi"/>
                <w:kern w:val="2"/>
                <w:sz w:val="18"/>
                <w:szCs w:val="18"/>
                <w:highlight w:val="none"/>
                <w:lang w:val="en-US" w:eastAsia="zh-CN" w:bidi="ar-SA"/>
              </w:rPr>
              <w:t>1.</w:t>
            </w:r>
            <w:r>
              <w:rPr>
                <w:rFonts w:hint="eastAsia" w:ascii="宋体" w:hAnsi="宋体" w:eastAsiaTheme="minorEastAsia" w:cstheme="minorBidi"/>
                <w:sz w:val="18"/>
                <w:szCs w:val="18"/>
                <w:highlight w:val="none"/>
                <w:lang w:val="en-US" w:eastAsia="zh-CN"/>
              </w:rPr>
              <w:t>同一客户在不同时间段签订的多份合同，视为1个案例，不重复计分。</w:t>
            </w:r>
          </w:p>
          <w:p w14:paraId="535A4ACB">
            <w:pPr>
              <w:widowControl/>
              <w:numPr>
                <w:ilvl w:val="0"/>
                <w:numId w:val="0"/>
              </w:numPr>
              <w:autoSpaceDE w:val="0"/>
              <w:autoSpaceDN w:val="0"/>
              <w:adjustRightInd w:val="0"/>
              <w:snapToGrid w:val="0"/>
              <w:spacing w:line="200" w:lineRule="exact"/>
              <w:ind w:firstLine="360" w:firstLineChars="200"/>
              <w:jc w:val="left"/>
              <w:rPr>
                <w:rFonts w:hint="default" w:ascii="宋体" w:hAnsi="宋体" w:eastAsiaTheme="minorEastAsia" w:cstheme="minorBidi"/>
                <w:sz w:val="18"/>
                <w:szCs w:val="18"/>
                <w:highlight w:val="none"/>
                <w:lang w:val="en-US" w:eastAsia="zh-CN"/>
              </w:rPr>
            </w:pPr>
            <w:r>
              <w:rPr>
                <w:rFonts w:hint="eastAsia" w:ascii="宋体" w:hAnsi="宋体" w:cstheme="minorBidi"/>
                <w:sz w:val="18"/>
                <w:szCs w:val="18"/>
                <w:highlight w:val="none"/>
                <w:lang w:val="en-US" w:eastAsia="zh-CN"/>
              </w:rPr>
              <w:t>2.若一个案例同时包含多个岗位类别，按占比高者认定类别。</w:t>
            </w:r>
          </w:p>
          <w:p w14:paraId="0439340A">
            <w:pPr>
              <w:widowControl/>
              <w:numPr>
                <w:ilvl w:val="0"/>
                <w:numId w:val="0"/>
              </w:numPr>
              <w:autoSpaceDE w:val="0"/>
              <w:autoSpaceDN w:val="0"/>
              <w:adjustRightInd w:val="0"/>
              <w:snapToGrid w:val="0"/>
              <w:spacing w:line="200" w:lineRule="exact"/>
              <w:ind w:firstLine="360" w:firstLineChars="200"/>
              <w:jc w:val="left"/>
              <w:rPr>
                <w:rFonts w:hint="eastAsia" w:ascii="宋体" w:hAnsi="宋体" w:cstheme="minorBidi"/>
                <w:sz w:val="18"/>
                <w:szCs w:val="18"/>
                <w:highlight w:val="none"/>
                <w:lang w:val="en-US" w:eastAsia="zh-CN"/>
              </w:rPr>
            </w:pPr>
            <w:r>
              <w:rPr>
                <w:rFonts w:hint="eastAsia" w:ascii="宋体" w:hAnsi="宋体" w:cstheme="minorBidi"/>
                <w:sz w:val="18"/>
                <w:szCs w:val="18"/>
                <w:highlight w:val="none"/>
                <w:lang w:val="en-US" w:eastAsia="zh-CN"/>
              </w:rPr>
              <w:t>3.呼叫中心客服类案例年均交付人数少于20人的案例或未按要求提交格式3、格式4的，不得分。</w:t>
            </w:r>
          </w:p>
          <w:p w14:paraId="67FFA3FB">
            <w:pPr>
              <w:widowControl/>
              <w:numPr>
                <w:ilvl w:val="0"/>
                <w:numId w:val="0"/>
              </w:numPr>
              <w:autoSpaceDE w:val="0"/>
              <w:autoSpaceDN w:val="0"/>
              <w:adjustRightInd w:val="0"/>
              <w:snapToGrid w:val="0"/>
              <w:spacing w:line="200" w:lineRule="exact"/>
              <w:ind w:firstLine="360" w:firstLineChars="200"/>
              <w:jc w:val="left"/>
              <w:rPr>
                <w:rFonts w:hint="default" w:ascii="宋体" w:hAnsi="宋体" w:eastAsiaTheme="minorEastAsia" w:cstheme="minorBidi"/>
                <w:sz w:val="18"/>
                <w:szCs w:val="18"/>
                <w:highlight w:val="none"/>
                <w:lang w:val="en-US" w:eastAsia="zh-CN"/>
              </w:rPr>
            </w:pPr>
            <w:r>
              <w:rPr>
                <w:rFonts w:hint="eastAsia" w:ascii="宋体" w:hAnsi="宋体" w:cstheme="minorBidi"/>
                <w:sz w:val="18"/>
                <w:szCs w:val="18"/>
                <w:highlight w:val="none"/>
                <w:lang w:val="en-US" w:eastAsia="zh-CN"/>
              </w:rPr>
              <w:t xml:space="preserve">4.所有材料信息模糊、无法验证真实性的，该案例无效。 </w:t>
            </w:r>
          </w:p>
        </w:tc>
        <w:tc>
          <w:tcPr>
            <w:tcW w:w="334" w:type="pct"/>
            <w:tcBorders>
              <w:tl2br w:val="nil"/>
              <w:tr2bl w:val="nil"/>
            </w:tcBorders>
            <w:vAlign w:val="center"/>
          </w:tcPr>
          <w:p w14:paraId="5AABBCF9">
            <w:pPr>
              <w:widowControl/>
              <w:snapToGrid w:val="0"/>
              <w:spacing w:line="200" w:lineRule="exact"/>
              <w:jc w:val="center"/>
              <w:rPr>
                <w:rFonts w:hint="default" w:ascii="Times New Roman" w:hAnsi="Times New Roman" w:eastAsia="宋体" w:cstheme="minorEastAsia"/>
                <w:b w:val="0"/>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40</w:t>
            </w:r>
            <w:r>
              <w:rPr>
                <w:rFonts w:hint="eastAsia" w:ascii="Times New Roman" w:hAnsi="Times New Roman" w:eastAsia="宋体" w:cs="宋体"/>
                <w:sz w:val="18"/>
                <w:szCs w:val="18"/>
                <w:highlight w:val="none"/>
              </w:rPr>
              <w:t>分</w:t>
            </w:r>
          </w:p>
        </w:tc>
      </w:tr>
      <w:tr w14:paraId="6DB18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59" w:hRule="atLeast"/>
          <w:jc w:val="center"/>
        </w:trPr>
        <w:tc>
          <w:tcPr>
            <w:tcW w:w="232" w:type="pct"/>
            <w:tcBorders>
              <w:tl2br w:val="nil"/>
              <w:tr2bl w:val="nil"/>
            </w:tcBorders>
            <w:vAlign w:val="center"/>
          </w:tcPr>
          <w:p w14:paraId="369D1DF3">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宋体" w:cstheme="minorEastAsia"/>
                <w:b w:val="0"/>
                <w:bCs/>
                <w:sz w:val="18"/>
                <w:szCs w:val="18"/>
                <w:highlight w:val="none"/>
                <w:lang w:val="en-US" w:eastAsia="zh-CN"/>
              </w:rPr>
            </w:pPr>
            <w:r>
              <w:rPr>
                <w:rFonts w:hint="eastAsia" w:ascii="Times New Roman" w:hAnsi="Times New Roman" w:eastAsia="宋体" w:cstheme="minorEastAsia"/>
                <w:b w:val="0"/>
                <w:bCs/>
                <w:sz w:val="18"/>
                <w:szCs w:val="18"/>
                <w:highlight w:val="none"/>
                <w:lang w:val="en-US" w:eastAsia="zh-CN"/>
              </w:rPr>
              <w:t>2</w:t>
            </w:r>
          </w:p>
        </w:tc>
        <w:tc>
          <w:tcPr>
            <w:tcW w:w="338" w:type="pct"/>
            <w:tcBorders>
              <w:tl2br w:val="nil"/>
              <w:tr2bl w:val="nil"/>
            </w:tcBorders>
            <w:vAlign w:val="center"/>
          </w:tcPr>
          <w:p w14:paraId="1EB6F7D2">
            <w:pPr>
              <w:widowControl/>
              <w:snapToGrid w:val="0"/>
              <w:spacing w:line="200" w:lineRule="exact"/>
              <w:jc w:val="center"/>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项目实施服务方案</w:t>
            </w:r>
          </w:p>
        </w:tc>
        <w:tc>
          <w:tcPr>
            <w:tcW w:w="4094" w:type="pct"/>
            <w:tcBorders>
              <w:tl2br w:val="nil"/>
              <w:tr2bl w:val="nil"/>
            </w:tcBorders>
            <w:vAlign w:val="center"/>
          </w:tcPr>
          <w:p w14:paraId="4268B7CD">
            <w:pPr>
              <w:widowControl/>
              <w:numPr>
                <w:ilvl w:val="0"/>
                <w:numId w:val="0"/>
              </w:numPr>
              <w:autoSpaceDE w:val="0"/>
              <w:autoSpaceDN w:val="0"/>
              <w:adjustRightInd w:val="0"/>
              <w:snapToGrid w:val="0"/>
              <w:spacing w:line="200" w:lineRule="exact"/>
              <w:ind w:firstLine="361" w:firstLineChars="200"/>
              <w:jc w:val="left"/>
              <w:rPr>
                <w:rFonts w:hint="eastAsia" w:ascii="宋体" w:hAnsi="宋体" w:cstheme="minorBidi"/>
                <w:bCs w:val="0"/>
                <w:smallCaps w:val="0"/>
                <w:sz w:val="18"/>
                <w:szCs w:val="18"/>
                <w:lang w:val="en-US" w:eastAsia="zh-CN"/>
              </w:rPr>
            </w:pPr>
            <w:r>
              <w:rPr>
                <w:rFonts w:hint="eastAsia" w:ascii="宋体" w:hAnsi="宋体" w:eastAsiaTheme="minorEastAsia" w:cstheme="minorBidi"/>
                <w:b/>
                <w:bCs/>
                <w:smallCaps w:val="0"/>
                <w:sz w:val="18"/>
                <w:szCs w:val="18"/>
                <w:lang w:val="en-US" w:eastAsia="zh-CN"/>
              </w:rPr>
              <w:t>评分标准</w:t>
            </w:r>
            <w:r>
              <w:rPr>
                <w:rFonts w:hint="eastAsia" w:ascii="宋体" w:hAnsi="宋体" w:eastAsiaTheme="minorEastAsia" w:cstheme="minorBidi"/>
                <w:bCs w:val="0"/>
                <w:smallCaps w:val="0"/>
                <w:sz w:val="18"/>
                <w:szCs w:val="18"/>
                <w:lang w:val="en-US" w:eastAsia="zh-CN"/>
              </w:rPr>
              <w:t>：</w:t>
            </w:r>
          </w:p>
          <w:p w14:paraId="66739BB3">
            <w:pPr>
              <w:widowControl/>
              <w:numPr>
                <w:ilvl w:val="0"/>
                <w:numId w:val="0"/>
              </w:numPr>
              <w:autoSpaceDE w:val="0"/>
              <w:autoSpaceDN w:val="0"/>
              <w:adjustRightInd w:val="0"/>
              <w:snapToGrid w:val="0"/>
              <w:spacing w:line="200" w:lineRule="exact"/>
              <w:ind w:firstLine="360" w:firstLineChars="200"/>
              <w:jc w:val="left"/>
              <w:rPr>
                <w:rFonts w:hint="eastAsia" w:ascii="宋体" w:hAnsi="宋体" w:cstheme="minorBidi"/>
                <w:bCs w:val="0"/>
                <w:smallCaps w:val="0"/>
                <w:sz w:val="18"/>
                <w:szCs w:val="18"/>
                <w:lang w:val="en-US" w:eastAsia="zh-CN"/>
              </w:rPr>
            </w:pPr>
            <w:r>
              <w:rPr>
                <w:rFonts w:hint="eastAsia" w:ascii="宋体" w:hAnsi="宋体" w:cstheme="minorBidi"/>
                <w:bCs w:val="0"/>
                <w:smallCaps w:val="0"/>
                <w:sz w:val="18"/>
                <w:szCs w:val="18"/>
                <w:lang w:val="en-US" w:eastAsia="zh-CN"/>
              </w:rPr>
              <w:t>一、根据投标人投入本项目的服务方案（格式自拟）进行评审，</w:t>
            </w:r>
            <w:r>
              <w:rPr>
                <w:rFonts w:hint="default" w:ascii="宋体" w:hAnsi="宋体" w:cstheme="minorBidi"/>
                <w:bCs w:val="0"/>
                <w:smallCaps w:val="0"/>
                <w:sz w:val="18"/>
                <w:szCs w:val="18"/>
                <w:lang w:val="en-US" w:eastAsia="zh-CN"/>
              </w:rPr>
              <w:t>由招标人结合自身经营管理及行业特点对投标人服务方案全面性、可操作性及方案执行效率等因素实施横向对比，优秀的，得</w:t>
            </w:r>
            <w:r>
              <w:rPr>
                <w:rFonts w:hint="eastAsia" w:ascii="宋体" w:hAnsi="宋体" w:cstheme="minorBidi"/>
                <w:bCs w:val="0"/>
                <w:smallCaps w:val="0"/>
                <w:sz w:val="18"/>
                <w:szCs w:val="18"/>
                <w:lang w:val="en-US" w:eastAsia="zh-CN"/>
              </w:rPr>
              <w:t>10-15</w:t>
            </w:r>
            <w:r>
              <w:rPr>
                <w:rFonts w:hint="default" w:ascii="宋体" w:hAnsi="宋体" w:cstheme="minorBidi"/>
                <w:bCs w:val="0"/>
                <w:smallCaps w:val="0"/>
                <w:sz w:val="18"/>
                <w:szCs w:val="18"/>
                <w:lang w:val="en-US" w:eastAsia="zh-CN"/>
              </w:rPr>
              <w:t>分，良好的，得</w:t>
            </w:r>
            <w:r>
              <w:rPr>
                <w:rFonts w:hint="eastAsia" w:ascii="宋体" w:hAnsi="宋体" w:cstheme="minorBidi"/>
                <w:bCs w:val="0"/>
                <w:smallCaps w:val="0"/>
                <w:sz w:val="18"/>
                <w:szCs w:val="18"/>
                <w:lang w:val="en-US" w:eastAsia="zh-CN"/>
              </w:rPr>
              <w:t>5-9</w:t>
            </w:r>
            <w:r>
              <w:rPr>
                <w:rFonts w:hint="default" w:ascii="宋体" w:hAnsi="宋体" w:cstheme="minorBidi"/>
                <w:bCs w:val="0"/>
                <w:smallCaps w:val="0"/>
                <w:sz w:val="18"/>
                <w:szCs w:val="18"/>
                <w:lang w:val="en-US" w:eastAsia="zh-CN"/>
              </w:rPr>
              <w:t>分，其余不得分。</w:t>
            </w:r>
          </w:p>
          <w:p w14:paraId="06F3DB3D">
            <w:pPr>
              <w:widowControl/>
              <w:numPr>
                <w:ilvl w:val="0"/>
                <w:numId w:val="0"/>
              </w:numPr>
              <w:autoSpaceDE w:val="0"/>
              <w:autoSpaceDN w:val="0"/>
              <w:adjustRightInd w:val="0"/>
              <w:snapToGrid w:val="0"/>
              <w:spacing w:line="200" w:lineRule="exact"/>
              <w:ind w:firstLine="360" w:firstLineChars="200"/>
              <w:jc w:val="left"/>
              <w:rPr>
                <w:rFonts w:hint="default" w:ascii="宋体" w:hAnsi="宋体" w:cstheme="minorBidi"/>
                <w:bCs w:val="0"/>
                <w:smallCaps w:val="0"/>
                <w:sz w:val="18"/>
                <w:szCs w:val="18"/>
                <w:lang w:val="en-US" w:eastAsia="zh-CN"/>
              </w:rPr>
            </w:pPr>
            <w:r>
              <w:rPr>
                <w:rFonts w:hint="eastAsia" w:ascii="宋体" w:hAnsi="宋体" w:cstheme="minorBidi"/>
                <w:bCs w:val="0"/>
                <w:smallCaps w:val="0"/>
                <w:sz w:val="18"/>
                <w:szCs w:val="18"/>
                <w:lang w:val="en-US" w:eastAsia="zh-CN"/>
              </w:rPr>
              <w:t>二、如投标人具备</w:t>
            </w:r>
            <w:r>
              <w:rPr>
                <w:rFonts w:hint="eastAsia" w:ascii="宋体" w:hAnsi="宋体"/>
                <w:b w:val="0"/>
                <w:bCs w:val="0"/>
                <w:sz w:val="18"/>
                <w:szCs w:val="18"/>
                <w:lang w:val="en-US" w:eastAsia="zh-CN"/>
              </w:rPr>
              <w:t>与高等院校或职业院校建立的、直接对接呼叫中心客服类岗位（包括但不限于客户服务岗、风险审核岗、中后台支持（数据分析）岗、贷后催收岗、外呼岗等近似岗位）的，得5分。提供与院校签订的校企合作协议关键页（含双方盖章、合作内容、有效期）。</w:t>
            </w:r>
          </w:p>
        </w:tc>
        <w:tc>
          <w:tcPr>
            <w:tcW w:w="334" w:type="pct"/>
            <w:tcBorders>
              <w:tl2br w:val="nil"/>
              <w:tr2bl w:val="nil"/>
            </w:tcBorders>
            <w:vAlign w:val="center"/>
          </w:tcPr>
          <w:p w14:paraId="35206E0C">
            <w:pPr>
              <w:widowControl/>
              <w:snapToGrid w:val="0"/>
              <w:spacing w:line="20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20分</w:t>
            </w:r>
          </w:p>
        </w:tc>
      </w:tr>
      <w:tr w14:paraId="7F070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4665" w:type="pct"/>
            <w:gridSpan w:val="3"/>
            <w:tcBorders>
              <w:tl2br w:val="nil"/>
              <w:tr2bl w:val="nil"/>
            </w:tcBorders>
            <w:vAlign w:val="center"/>
          </w:tcPr>
          <w:p w14:paraId="6615185D">
            <w:pPr>
              <w:keepNext w:val="0"/>
              <w:keepLines w:val="0"/>
              <w:pageBreakBefore w:val="0"/>
              <w:widowControl/>
              <w:kinsoku/>
              <w:wordWrap/>
              <w:overflowPunct/>
              <w:topLinePunct w:val="0"/>
              <w:autoSpaceDE/>
              <w:autoSpaceDN/>
              <w:bidi w:val="0"/>
              <w:spacing w:line="220" w:lineRule="exact"/>
              <w:jc w:val="center"/>
              <w:textAlignment w:val="auto"/>
              <w:rPr>
                <w:rFonts w:hint="eastAsia" w:ascii="Times New Roman" w:hAnsi="Times New Roman" w:eastAsia="宋体" w:cstheme="minorEastAsia"/>
                <w:b/>
                <w:bCs w:val="0"/>
                <w:smallCaps w:val="0"/>
                <w:sz w:val="18"/>
                <w:szCs w:val="18"/>
                <w:highlight w:val="none"/>
                <w:lang w:val="en-US" w:eastAsia="zh-CN"/>
              </w:rPr>
            </w:pPr>
            <w:r>
              <w:rPr>
                <w:rFonts w:hint="eastAsia" w:ascii="Times New Roman" w:hAnsi="Times New Roman" w:eastAsia="宋体" w:cstheme="minorEastAsia"/>
                <w:b/>
                <w:bCs w:val="0"/>
                <w:sz w:val="18"/>
                <w:szCs w:val="18"/>
                <w:highlight w:val="none"/>
              </w:rPr>
              <w:t>合计</w:t>
            </w:r>
          </w:p>
        </w:tc>
        <w:tc>
          <w:tcPr>
            <w:tcW w:w="334" w:type="pct"/>
            <w:tcBorders>
              <w:tl2br w:val="nil"/>
              <w:tr2bl w:val="nil"/>
            </w:tcBorders>
            <w:vAlign w:val="center"/>
          </w:tcPr>
          <w:p w14:paraId="44FCFE4F">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rPr>
                <w:rFonts w:hint="eastAsia" w:ascii="Times New Roman" w:hAnsi="Times New Roman" w:eastAsia="宋体" w:cstheme="minorEastAsia"/>
                <w:bCs/>
                <w:smallCaps w:val="0"/>
                <w:sz w:val="18"/>
                <w:szCs w:val="18"/>
                <w:highlight w:val="none"/>
                <w:lang w:val="en-US" w:eastAsia="zh-CN"/>
              </w:rPr>
            </w:pPr>
            <w:r>
              <w:rPr>
                <w:rFonts w:hint="eastAsia" w:ascii="Times New Roman" w:hAnsi="Times New Roman" w:eastAsia="宋体" w:cstheme="minorEastAsia"/>
                <w:b w:val="0"/>
                <w:bCs/>
                <w:sz w:val="18"/>
                <w:szCs w:val="18"/>
                <w:highlight w:val="none"/>
                <w:lang w:val="en-US" w:eastAsia="zh-CN"/>
              </w:rPr>
              <w:t>60</w:t>
            </w:r>
            <w:r>
              <w:rPr>
                <w:rFonts w:hint="eastAsia" w:ascii="Times New Roman" w:hAnsi="Times New Roman" w:eastAsia="宋体" w:cstheme="minorEastAsia"/>
                <w:b w:val="0"/>
                <w:bCs/>
                <w:sz w:val="18"/>
                <w:szCs w:val="18"/>
                <w:highlight w:val="none"/>
              </w:rPr>
              <w:t>分</w:t>
            </w:r>
          </w:p>
        </w:tc>
      </w:tr>
    </w:tbl>
    <w:p w14:paraId="29D98665">
      <w:pPr>
        <w:keepNext w:val="0"/>
        <w:keepLines w:val="0"/>
        <w:pageBreakBefore w:val="0"/>
        <w:widowControl w:val="0"/>
        <w:kinsoku/>
        <w:wordWrap/>
        <w:overflowPunct/>
        <w:topLinePunct w:val="0"/>
        <w:autoSpaceDE/>
        <w:autoSpaceDN/>
        <w:bidi w:val="0"/>
        <w:adjustRightInd w:val="0"/>
        <w:snapToGrid w:val="0"/>
        <w:spacing w:line="240" w:lineRule="exact"/>
        <w:ind w:firstLine="440" w:firstLineChars="200"/>
        <w:textAlignment w:val="auto"/>
        <w:rPr>
          <w:rFonts w:hint="eastAsia" w:ascii="仿宋_GB2312" w:hAnsi="仿宋_GB2312" w:eastAsia="仿宋_GB2312" w:cs="仿宋_GB2312"/>
          <w:b w:val="0"/>
          <w:bCs/>
          <w:sz w:val="22"/>
          <w:szCs w:val="22"/>
          <w:highlight w:val="none"/>
        </w:rPr>
      </w:pPr>
      <w:r>
        <w:rPr>
          <w:rFonts w:hint="eastAsia" w:ascii="仿宋_GB2312" w:hAnsi="仿宋_GB2312" w:eastAsia="仿宋_GB2312" w:cs="仿宋_GB2312"/>
          <w:b w:val="0"/>
          <w:bCs/>
          <w:sz w:val="22"/>
          <w:szCs w:val="22"/>
          <w:highlight w:val="none"/>
        </w:rPr>
        <w:t>说明：</w:t>
      </w:r>
    </w:p>
    <w:p w14:paraId="07D494C9">
      <w:pPr>
        <w:keepNext w:val="0"/>
        <w:keepLines w:val="0"/>
        <w:pageBreakBefore w:val="0"/>
        <w:widowControl w:val="0"/>
        <w:kinsoku/>
        <w:wordWrap/>
        <w:overflowPunct/>
        <w:topLinePunct w:val="0"/>
        <w:autoSpaceDE/>
        <w:autoSpaceDN/>
        <w:bidi w:val="0"/>
        <w:adjustRightInd w:val="0"/>
        <w:snapToGrid w:val="0"/>
        <w:spacing w:line="240" w:lineRule="exact"/>
        <w:ind w:firstLine="440" w:firstLineChars="200"/>
        <w:textAlignment w:val="auto"/>
        <w:rPr>
          <w:rFonts w:hint="eastAsia" w:ascii="仿宋_GB2312" w:hAnsi="仿宋_GB2312" w:eastAsia="仿宋_GB2312" w:cs="仿宋_GB2312"/>
          <w:b w:val="0"/>
          <w:bCs/>
          <w:sz w:val="22"/>
          <w:szCs w:val="22"/>
          <w:highlight w:val="none"/>
        </w:rPr>
      </w:pPr>
      <w:r>
        <w:rPr>
          <w:rFonts w:hint="eastAsia" w:ascii="仿宋_GB2312" w:hAnsi="仿宋_GB2312" w:eastAsia="仿宋_GB2312" w:cs="仿宋_GB2312"/>
          <w:b w:val="0"/>
          <w:bCs/>
          <w:sz w:val="22"/>
          <w:szCs w:val="22"/>
          <w:highlight w:val="none"/>
        </w:rPr>
        <w:t>1.本表评审依据要求的各项证明文件须编入投标文件，复印件加盖投标人公章。</w:t>
      </w:r>
    </w:p>
    <w:p w14:paraId="02A67812">
      <w:pPr>
        <w:keepNext w:val="0"/>
        <w:keepLines w:val="0"/>
        <w:pageBreakBefore w:val="0"/>
        <w:widowControl w:val="0"/>
        <w:kinsoku/>
        <w:wordWrap/>
        <w:overflowPunct/>
        <w:topLinePunct w:val="0"/>
        <w:autoSpaceDE/>
        <w:autoSpaceDN/>
        <w:bidi w:val="0"/>
        <w:adjustRightInd w:val="0"/>
        <w:snapToGrid w:val="0"/>
        <w:spacing w:line="240" w:lineRule="exact"/>
        <w:ind w:firstLine="440" w:firstLineChars="200"/>
        <w:textAlignment w:val="auto"/>
        <w:rPr>
          <w:rFonts w:hint="eastAsia" w:ascii="仿宋_GB2312" w:hAnsi="仿宋_GB2312" w:eastAsia="仿宋_GB2312" w:cs="仿宋_GB2312"/>
          <w:b w:val="0"/>
          <w:bCs/>
          <w:sz w:val="22"/>
          <w:szCs w:val="22"/>
          <w:highlight w:val="none"/>
        </w:rPr>
      </w:pPr>
      <w:r>
        <w:rPr>
          <w:rFonts w:hint="eastAsia" w:ascii="仿宋_GB2312" w:hAnsi="仿宋_GB2312" w:eastAsia="仿宋_GB2312" w:cs="仿宋_GB2312"/>
          <w:b w:val="0"/>
          <w:bCs/>
          <w:sz w:val="22"/>
          <w:szCs w:val="22"/>
          <w:highlight w:val="none"/>
        </w:rPr>
        <w:t>2.表中要求提供相关证明文件的内容，投标文件中须明确加以说明并提供，未按要求提供相关文件或说明不清楚或评标专家组无法凭所提供的材料判断是否得分的情况，一律作不得分处理。</w:t>
      </w:r>
    </w:p>
    <w:p w14:paraId="5DBA76DA">
      <w:pPr>
        <w:keepNext w:val="0"/>
        <w:keepLines w:val="0"/>
        <w:pageBreakBefore w:val="0"/>
        <w:widowControl w:val="0"/>
        <w:kinsoku/>
        <w:wordWrap/>
        <w:overflowPunct/>
        <w:topLinePunct w:val="0"/>
        <w:autoSpaceDE/>
        <w:autoSpaceDN/>
        <w:bidi w:val="0"/>
        <w:adjustRightInd w:val="0"/>
        <w:snapToGrid w:val="0"/>
        <w:spacing w:line="240" w:lineRule="exact"/>
        <w:ind w:firstLine="440" w:firstLineChars="200"/>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2"/>
          <w:szCs w:val="22"/>
          <w:highlight w:val="none"/>
          <w:lang w:val="en-US" w:eastAsia="zh-CN"/>
        </w:rPr>
        <w:t>3.本表要求提交的所有复印件需清晰完整，否则招标人有权视为无效，并根据具体文件性质予以扣减或废标处理。</w:t>
      </w:r>
    </w:p>
    <w:p w14:paraId="133B1E27">
      <w:pPr>
        <w:keepNext/>
        <w:keepLines/>
        <w:pageBreakBefore w:val="0"/>
        <w:widowControl/>
        <w:numPr>
          <w:ilvl w:val="3"/>
          <w:numId w:val="0"/>
        </w:numPr>
        <w:kinsoku/>
        <w:wordWrap/>
        <w:overflowPunct/>
        <w:topLinePunct w:val="0"/>
        <w:autoSpaceDE/>
        <w:autoSpaceDN/>
        <w:bidi w:val="0"/>
        <w:adjustRightInd w:val="0"/>
        <w:snapToGrid w:val="0"/>
        <w:spacing w:line="240" w:lineRule="exact"/>
        <w:ind w:firstLine="640" w:firstLineChars="200"/>
        <w:jc w:val="left"/>
        <w:textAlignment w:val="auto"/>
        <w:outlineLvl w:val="1"/>
        <w:rPr>
          <w:rFonts w:hint="eastAsia" w:ascii="仿宋_GB2312" w:hAnsi="仿宋_GB2312" w:eastAsia="仿宋_GB2312" w:cs="仿宋_GB2312"/>
          <w:b w:val="0"/>
          <w:bCs/>
          <w:sz w:val="24"/>
          <w:szCs w:val="24"/>
          <w:highlight w:val="none"/>
        </w:rPr>
      </w:pPr>
      <w:r>
        <w:rPr>
          <w:rFonts w:hint="eastAsia" w:ascii="仿宋" w:hAnsi="仿宋" w:eastAsia="仿宋" w:cs="仿宋"/>
          <w:b w:val="0"/>
          <w:bCs/>
          <w:sz w:val="32"/>
          <w:szCs w:val="32"/>
          <w:highlight w:val="none"/>
        </w:rPr>
        <w:br w:type="page"/>
      </w:r>
      <w:bookmarkStart w:id="202" w:name="_Toc11907"/>
      <w:bookmarkStart w:id="203" w:name="_Toc32177"/>
      <w:bookmarkStart w:id="204" w:name="_Toc32652"/>
      <w:r>
        <w:rPr>
          <w:rFonts w:hint="eastAsia" w:ascii="仿宋_GB2312" w:hAnsi="仿宋_GB2312" w:eastAsia="仿宋_GB2312" w:cs="仿宋_GB2312"/>
          <w:b w:val="0"/>
          <w:bCs/>
          <w:sz w:val="24"/>
          <w:szCs w:val="24"/>
          <w:highlight w:val="none"/>
        </w:rPr>
        <w:t>附表</w:t>
      </w:r>
      <w:r>
        <w:rPr>
          <w:rFonts w:hint="eastAsia" w:ascii="仿宋_GB2312" w:hAnsi="仿宋_GB2312" w:eastAsia="仿宋_GB2312" w:cs="仿宋_GB2312"/>
          <w:b w:val="0"/>
          <w:bCs/>
          <w:sz w:val="24"/>
          <w:szCs w:val="24"/>
          <w:highlight w:val="none"/>
          <w:lang w:val="en-US" w:eastAsia="zh-CN"/>
        </w:rPr>
        <w:t>2</w:t>
      </w:r>
      <w:r>
        <w:rPr>
          <w:rFonts w:hint="eastAsia" w:ascii="仿宋_GB2312" w:hAnsi="仿宋_GB2312" w:eastAsia="仿宋_GB2312" w:cs="仿宋_GB2312"/>
          <w:b w:val="0"/>
          <w:bCs/>
          <w:sz w:val="24"/>
          <w:szCs w:val="24"/>
          <w:highlight w:val="none"/>
        </w:rPr>
        <w:t xml:space="preserve"> 《价格标评分方法》</w:t>
      </w:r>
      <w:bookmarkEnd w:id="202"/>
      <w:bookmarkEnd w:id="203"/>
      <w:bookmarkEnd w:id="204"/>
    </w:p>
    <w:tbl>
      <w:tblPr>
        <w:tblStyle w:val="17"/>
        <w:tblpPr w:leftFromText="180" w:rightFromText="180" w:vertAnchor="text" w:horzAnchor="page" w:tblpXSpec="center" w:tblpY="1287"/>
        <w:tblOverlap w:val="never"/>
        <w:tblW w:w="51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307"/>
        <w:gridCol w:w="5675"/>
        <w:gridCol w:w="895"/>
        <w:gridCol w:w="764"/>
      </w:tblGrid>
      <w:tr w14:paraId="1458E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82" w:type="pct"/>
            <w:tcBorders>
              <w:tl2br w:val="nil"/>
              <w:tr2bl w:val="nil"/>
            </w:tcBorders>
            <w:vAlign w:val="center"/>
          </w:tcPr>
          <w:p w14:paraId="3B4763CC">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序号</w:t>
            </w:r>
          </w:p>
        </w:tc>
        <w:tc>
          <w:tcPr>
            <w:tcW w:w="698" w:type="pct"/>
            <w:tcBorders>
              <w:tl2br w:val="nil"/>
              <w:tr2bl w:val="nil"/>
            </w:tcBorders>
            <w:vAlign w:val="center"/>
          </w:tcPr>
          <w:p w14:paraId="6D8A4D82">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评分因素</w:t>
            </w:r>
          </w:p>
        </w:tc>
        <w:tc>
          <w:tcPr>
            <w:tcW w:w="3031" w:type="pct"/>
            <w:tcBorders>
              <w:tl2br w:val="nil"/>
              <w:tr2bl w:val="nil"/>
            </w:tcBorders>
            <w:vAlign w:val="center"/>
          </w:tcPr>
          <w:p w14:paraId="360910B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评分</w:t>
            </w:r>
            <w:r>
              <w:rPr>
                <w:rFonts w:hint="eastAsia" w:ascii="Times New Roman" w:hAnsi="Times New Roman" w:eastAsia="仿宋_GB2312" w:cs="宋体"/>
                <w:b/>
                <w:bCs w:val="0"/>
                <w:sz w:val="24"/>
                <w:szCs w:val="24"/>
                <w:highlight w:val="none"/>
                <w:lang w:val="en-US" w:eastAsia="zh-CN"/>
              </w:rPr>
              <w:t>标准</w:t>
            </w:r>
          </w:p>
        </w:tc>
        <w:tc>
          <w:tcPr>
            <w:tcW w:w="478" w:type="pct"/>
            <w:tcBorders>
              <w:tl2br w:val="nil"/>
              <w:tr2bl w:val="nil"/>
            </w:tcBorders>
            <w:vAlign w:val="center"/>
          </w:tcPr>
          <w:p w14:paraId="042EEB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分值</w:t>
            </w:r>
          </w:p>
        </w:tc>
        <w:tc>
          <w:tcPr>
            <w:tcW w:w="408" w:type="pct"/>
            <w:tcBorders>
              <w:tl2br w:val="nil"/>
              <w:tr2bl w:val="nil"/>
            </w:tcBorders>
            <w:vAlign w:val="center"/>
          </w:tcPr>
          <w:p w14:paraId="5A211E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备注</w:t>
            </w:r>
          </w:p>
        </w:tc>
      </w:tr>
      <w:tr w14:paraId="53D99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382" w:type="pct"/>
            <w:tcBorders>
              <w:tl2br w:val="nil"/>
              <w:tr2bl w:val="nil"/>
            </w:tcBorders>
            <w:vAlign w:val="center"/>
          </w:tcPr>
          <w:p w14:paraId="6850801A">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rPr>
              <w:t>1</w:t>
            </w:r>
          </w:p>
        </w:tc>
        <w:tc>
          <w:tcPr>
            <w:tcW w:w="698" w:type="pct"/>
            <w:tcBorders>
              <w:tl2br w:val="nil"/>
              <w:tr2bl w:val="nil"/>
            </w:tcBorders>
            <w:vAlign w:val="center"/>
          </w:tcPr>
          <w:p w14:paraId="6C299200">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rPr>
              <w:t>项目报价</w:t>
            </w:r>
          </w:p>
        </w:tc>
        <w:tc>
          <w:tcPr>
            <w:tcW w:w="3031" w:type="pct"/>
            <w:tcBorders>
              <w:tl2br w:val="nil"/>
              <w:tr2bl w:val="nil"/>
            </w:tcBorders>
            <w:vAlign w:val="center"/>
          </w:tcPr>
          <w:p w14:paraId="76B0AB46">
            <w:pPr>
              <w:autoSpaceDE/>
              <w:autoSpaceDN/>
              <w:adjustRightInd/>
              <w:snapToGrid/>
              <w:spacing w:line="300" w:lineRule="exact"/>
              <w:ind w:firstLine="420" w:firstLineChars="200"/>
              <w:jc w:val="left"/>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本项目采用单价报价并设置最高限价，投标最高限价为2200元/人（含增值税）。投标人报价不得高于此限价，否则投标将被否决。</w:t>
            </w:r>
          </w:p>
          <w:p w14:paraId="4834539F">
            <w:pPr>
              <w:autoSpaceDE/>
              <w:autoSpaceDN/>
              <w:adjustRightInd/>
              <w:snapToGrid/>
              <w:spacing w:line="300" w:lineRule="exact"/>
              <w:ind w:firstLine="420" w:firstLineChars="200"/>
              <w:jc w:val="left"/>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rPr>
              <w:t>在商务技术满足基准要求的前提下</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价格评分按以下规则计算</w:t>
            </w:r>
            <w:r>
              <w:rPr>
                <w:rFonts w:hint="eastAsia" w:ascii="Times New Roman" w:hAnsi="Times New Roman" w:eastAsia="宋体" w:cs="Times New Roman"/>
                <w:sz w:val="21"/>
                <w:szCs w:val="21"/>
                <w:highlight w:val="none"/>
                <w:lang w:eastAsia="zh-CN"/>
              </w:rPr>
              <w:t>：</w:t>
            </w:r>
          </w:p>
          <w:p w14:paraId="61BD53EC">
            <w:pPr>
              <w:keepNext w:val="0"/>
              <w:keepLines w:val="0"/>
              <w:pageBreakBefore w:val="0"/>
              <w:numPr>
                <w:ilvl w:val="-1"/>
                <w:numId w:val="0"/>
              </w:numPr>
              <w:kinsoku/>
              <w:wordWrap/>
              <w:overflowPunct/>
              <w:topLinePunct w:val="0"/>
              <w:autoSpaceDE/>
              <w:autoSpaceDN/>
              <w:bidi w:val="0"/>
              <w:spacing w:line="300" w:lineRule="exact"/>
              <w:ind w:firstLine="420" w:firstLineChars="200"/>
              <w:jc w:val="left"/>
              <w:textAlignment w:val="auto"/>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1.评标专家根据招标人上年度实际第三方交付总人数结合投标人服务报价计算得出总价。</w:t>
            </w:r>
          </w:p>
          <w:p w14:paraId="6D0E4F32">
            <w:pPr>
              <w:keepNext w:val="0"/>
              <w:keepLines w:val="0"/>
              <w:pageBreakBefore w:val="0"/>
              <w:kinsoku/>
              <w:wordWrap/>
              <w:overflowPunct/>
              <w:topLinePunct w:val="0"/>
              <w:autoSpaceDE/>
              <w:autoSpaceDN/>
              <w:bidi w:val="0"/>
              <w:spacing w:line="300" w:lineRule="exact"/>
              <w:ind w:firstLine="420" w:firstLineChars="200"/>
              <w:jc w:val="left"/>
              <w:textAlignment w:val="auto"/>
              <w:rPr>
                <w:rFonts w:hint="default" w:ascii="宋体" w:hAnsi="宋体" w:eastAsia="宋体" w:cs="Times New Roman"/>
                <w:szCs w:val="21"/>
                <w:highlight w:val="none"/>
                <w:lang w:val="en-US" w:eastAsia="zh-CN"/>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总价</w:t>
            </w:r>
            <w:r>
              <w:rPr>
                <w:rFonts w:hint="eastAsia" w:ascii="Times New Roman" w:hAnsi="Times New Roman" w:eastAsia="宋体" w:cs="Times New Roman"/>
                <w:bCs/>
                <w:sz w:val="21"/>
                <w:szCs w:val="21"/>
                <w:highlight w:val="none"/>
              </w:rPr>
              <w:t>最低的投标人得满分，第二名得分</w:t>
            </w:r>
            <w:r>
              <w:rPr>
                <w:rFonts w:hint="eastAsia" w:ascii="Times New Roman" w:hAnsi="Times New Roman" w:eastAsia="宋体" w:cs="Times New Roman"/>
                <w:bCs/>
                <w:sz w:val="21"/>
                <w:szCs w:val="21"/>
                <w:highlight w:val="none"/>
                <w:lang w:val="en-US" w:eastAsia="zh-CN"/>
              </w:rPr>
              <w:t>38</w:t>
            </w:r>
            <w:r>
              <w:rPr>
                <w:rFonts w:hint="eastAsia" w:ascii="Times New Roman" w:hAnsi="Times New Roman" w:eastAsia="宋体" w:cs="Times New Roman"/>
                <w:bCs/>
                <w:sz w:val="21"/>
                <w:szCs w:val="21"/>
                <w:highlight w:val="none"/>
              </w:rPr>
              <w:t>分，第三名得分</w:t>
            </w:r>
            <w:r>
              <w:rPr>
                <w:rFonts w:hint="eastAsia" w:ascii="Times New Roman" w:hAnsi="Times New Roman" w:eastAsia="宋体" w:cs="Times New Roman"/>
                <w:bCs/>
                <w:sz w:val="21"/>
                <w:szCs w:val="21"/>
                <w:highlight w:val="none"/>
                <w:lang w:val="en-US" w:eastAsia="zh-CN"/>
              </w:rPr>
              <w:t>36</w:t>
            </w:r>
            <w:r>
              <w:rPr>
                <w:rFonts w:hint="eastAsia" w:ascii="Times New Roman" w:hAnsi="Times New Roman" w:eastAsia="宋体" w:cs="Times New Roman"/>
                <w:bCs/>
                <w:sz w:val="21"/>
                <w:szCs w:val="21"/>
                <w:highlight w:val="none"/>
              </w:rPr>
              <w:t>分，</w:t>
            </w:r>
            <w:r>
              <w:rPr>
                <w:rFonts w:hint="eastAsia" w:ascii="Times New Roman" w:hAnsi="Times New Roman" w:eastAsia="宋体" w:cs="Times New Roman"/>
                <w:bCs/>
                <w:sz w:val="21"/>
                <w:szCs w:val="21"/>
                <w:highlight w:val="none"/>
                <w:lang w:val="en-US" w:eastAsia="zh-CN"/>
              </w:rPr>
              <w:t>以2分为一个步长，</w:t>
            </w:r>
            <w:r>
              <w:rPr>
                <w:rFonts w:hint="eastAsia" w:ascii="Times New Roman" w:hAnsi="Times New Roman" w:eastAsia="宋体" w:cs="Times New Roman"/>
                <w:bCs/>
                <w:sz w:val="21"/>
                <w:szCs w:val="21"/>
                <w:highlight w:val="none"/>
              </w:rPr>
              <w:t>以此类推</w:t>
            </w:r>
            <w:r>
              <w:rPr>
                <w:rFonts w:hint="eastAsia" w:ascii="Times New Roman" w:hAnsi="Times New Roman" w:eastAsia="宋体" w:cs="Times New Roman"/>
                <w:bCs/>
                <w:sz w:val="21"/>
                <w:szCs w:val="21"/>
                <w:highlight w:val="none"/>
                <w:lang w:eastAsia="zh-CN"/>
              </w:rPr>
              <w:t>；</w:t>
            </w:r>
            <w:r>
              <w:rPr>
                <w:rFonts w:hint="eastAsia" w:ascii="Times New Roman" w:hAnsi="Times New Roman" w:eastAsia="宋体" w:cs="Times New Roman"/>
                <w:bCs/>
                <w:sz w:val="21"/>
                <w:szCs w:val="21"/>
                <w:highlight w:val="none"/>
                <w:lang w:val="en-US" w:eastAsia="zh-CN"/>
              </w:rPr>
              <w:t>总价</w:t>
            </w:r>
            <w:r>
              <w:rPr>
                <w:rFonts w:hint="eastAsia" w:ascii="Times New Roman" w:hAnsi="Times New Roman" w:eastAsia="宋体" w:cs="Times New Roman"/>
                <w:bCs/>
                <w:sz w:val="21"/>
                <w:szCs w:val="21"/>
                <w:highlight w:val="none"/>
                <w:lang w:eastAsia="zh-CN"/>
              </w:rPr>
              <w:t>相等情况下排名可并列，</w:t>
            </w:r>
            <w:r>
              <w:rPr>
                <w:rFonts w:hint="eastAsia" w:ascii="Times New Roman" w:hAnsi="Times New Roman" w:eastAsia="宋体" w:cs="Times New Roman"/>
                <w:bCs/>
                <w:sz w:val="21"/>
                <w:szCs w:val="21"/>
                <w:highlight w:val="none"/>
                <w:lang w:val="en-US" w:eastAsia="zh-CN"/>
              </w:rPr>
              <w:t>并列会占用名次位置，后续名次顺延</w:t>
            </w:r>
            <w:r>
              <w:rPr>
                <w:rFonts w:hint="eastAsia" w:ascii="Times New Roman" w:hAnsi="Times New Roman" w:eastAsia="宋体" w:cs="Times New Roman"/>
                <w:bCs/>
                <w:sz w:val="21"/>
                <w:szCs w:val="21"/>
                <w:highlight w:val="none"/>
              </w:rPr>
              <w:t>。</w:t>
            </w:r>
          </w:p>
        </w:tc>
        <w:tc>
          <w:tcPr>
            <w:tcW w:w="478" w:type="pct"/>
            <w:tcBorders>
              <w:tl2br w:val="nil"/>
              <w:tr2bl w:val="nil"/>
            </w:tcBorders>
            <w:vAlign w:val="center"/>
          </w:tcPr>
          <w:p w14:paraId="639386DC">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lang w:val="en-US" w:eastAsia="zh-CN"/>
              </w:rPr>
              <w:t>40</w:t>
            </w:r>
            <w:r>
              <w:rPr>
                <w:rFonts w:hint="eastAsia" w:ascii="Times New Roman" w:hAnsi="Times New Roman" w:eastAsia="仿宋_GB2312" w:cs="宋体"/>
                <w:b w:val="0"/>
                <w:bCs/>
                <w:sz w:val="24"/>
                <w:szCs w:val="24"/>
                <w:highlight w:val="none"/>
              </w:rPr>
              <w:t>分</w:t>
            </w:r>
          </w:p>
        </w:tc>
        <w:tc>
          <w:tcPr>
            <w:tcW w:w="408" w:type="pct"/>
            <w:tcBorders>
              <w:tl2br w:val="nil"/>
              <w:tr2bl w:val="nil"/>
            </w:tcBorders>
            <w:vAlign w:val="center"/>
          </w:tcPr>
          <w:p w14:paraId="4B5325BD">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p>
        </w:tc>
      </w:tr>
      <w:tr w14:paraId="11856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112" w:type="pct"/>
            <w:gridSpan w:val="3"/>
            <w:tcBorders>
              <w:tl2br w:val="nil"/>
              <w:tr2bl w:val="nil"/>
            </w:tcBorders>
            <w:vAlign w:val="center"/>
          </w:tcPr>
          <w:p w14:paraId="1F9A94ED">
            <w:pPr>
              <w:keepNext w:val="0"/>
              <w:keepLines w:val="0"/>
              <w:pageBreakBefore w:val="0"/>
              <w:widowControl/>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kern w:val="0"/>
                <w:sz w:val="24"/>
                <w:szCs w:val="24"/>
                <w:highlight w:val="none"/>
              </w:rPr>
            </w:pPr>
            <w:r>
              <w:rPr>
                <w:rFonts w:hint="eastAsia" w:ascii="Times New Roman" w:hAnsi="Times New Roman" w:eastAsia="仿宋_GB2312" w:cs="宋体"/>
                <w:b w:val="0"/>
                <w:bCs/>
                <w:kern w:val="0"/>
                <w:sz w:val="24"/>
                <w:szCs w:val="24"/>
                <w:highlight w:val="none"/>
              </w:rPr>
              <w:t>合计</w:t>
            </w:r>
          </w:p>
        </w:tc>
        <w:tc>
          <w:tcPr>
            <w:tcW w:w="478" w:type="pct"/>
            <w:tcBorders>
              <w:tl2br w:val="nil"/>
              <w:tr2bl w:val="nil"/>
            </w:tcBorders>
            <w:vAlign w:val="center"/>
          </w:tcPr>
          <w:p w14:paraId="1B675C20">
            <w:pPr>
              <w:keepNext w:val="0"/>
              <w:keepLines w:val="0"/>
              <w:pageBreakBefore w:val="0"/>
              <w:widowControl/>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kern w:val="0"/>
                <w:sz w:val="24"/>
                <w:szCs w:val="24"/>
                <w:highlight w:val="none"/>
              </w:rPr>
            </w:pPr>
            <w:r>
              <w:rPr>
                <w:rFonts w:hint="eastAsia" w:ascii="Times New Roman" w:hAnsi="Times New Roman" w:eastAsia="仿宋_GB2312" w:cs="宋体"/>
                <w:b w:val="0"/>
                <w:bCs/>
                <w:kern w:val="0"/>
                <w:sz w:val="24"/>
                <w:szCs w:val="24"/>
                <w:highlight w:val="none"/>
                <w:lang w:val="en-US" w:eastAsia="zh-CN"/>
              </w:rPr>
              <w:t>40</w:t>
            </w:r>
            <w:r>
              <w:rPr>
                <w:rFonts w:hint="eastAsia" w:ascii="Times New Roman" w:hAnsi="Times New Roman" w:eastAsia="仿宋_GB2312" w:cs="宋体"/>
                <w:b w:val="0"/>
                <w:bCs/>
                <w:kern w:val="0"/>
                <w:sz w:val="24"/>
                <w:szCs w:val="24"/>
                <w:highlight w:val="none"/>
              </w:rPr>
              <w:t>分</w:t>
            </w:r>
          </w:p>
        </w:tc>
        <w:tc>
          <w:tcPr>
            <w:tcW w:w="408" w:type="pct"/>
            <w:tcBorders>
              <w:tl2br w:val="nil"/>
              <w:tr2bl w:val="nil"/>
            </w:tcBorders>
            <w:vAlign w:val="center"/>
          </w:tcPr>
          <w:p w14:paraId="680023C1">
            <w:pPr>
              <w:keepNext w:val="0"/>
              <w:keepLines w:val="0"/>
              <w:pageBreakBefore w:val="0"/>
              <w:widowControl/>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kern w:val="0"/>
                <w:sz w:val="24"/>
                <w:szCs w:val="24"/>
                <w:highlight w:val="none"/>
              </w:rPr>
            </w:pPr>
          </w:p>
        </w:tc>
      </w:tr>
    </w:tbl>
    <w:p w14:paraId="2136AD7F">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6"/>
          <w:szCs w:val="36"/>
          <w:highlight w:val="none"/>
        </w:rPr>
      </w:pPr>
    </w:p>
    <w:p w14:paraId="65356D4C">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价格标评分方法</w:t>
      </w:r>
    </w:p>
    <w:p w14:paraId="362DB587">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val="0"/>
          <w:bCs/>
          <w:sz w:val="32"/>
          <w:szCs w:val="32"/>
          <w:highlight w:val="none"/>
        </w:rPr>
      </w:pPr>
    </w:p>
    <w:p w14:paraId="3E633674">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说明：</w:t>
      </w:r>
    </w:p>
    <w:p w14:paraId="064E105D">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1.</w:t>
      </w:r>
      <w:r>
        <w:rPr>
          <w:rFonts w:hint="eastAsia" w:ascii="仿宋_GB2312" w:hAnsi="仿宋_GB2312" w:eastAsia="仿宋_GB2312" w:cs="仿宋_GB2312"/>
          <w:b w:val="0"/>
          <w:bCs/>
          <w:sz w:val="24"/>
          <w:szCs w:val="24"/>
          <w:highlight w:val="none"/>
        </w:rPr>
        <w:t>评标价格的计算：</w:t>
      </w:r>
    </w:p>
    <w:p w14:paraId="3ACFB3C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投标文件存在投标报价问题的，进行投标报价的算术修正，投标报价算术修正具体原则为：</w:t>
      </w:r>
    </w:p>
    <w:p w14:paraId="06513CE7">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1）若投标报价一览表中投标</w:t>
      </w:r>
      <w:r>
        <w:rPr>
          <w:rFonts w:hint="eastAsia" w:ascii="仿宋_GB2312" w:hAnsi="仿宋_GB2312" w:eastAsia="仿宋_GB2312" w:cs="仿宋_GB2312"/>
          <w:b w:val="0"/>
          <w:bCs/>
          <w:sz w:val="24"/>
          <w:szCs w:val="24"/>
          <w:highlight w:val="none"/>
          <w:lang w:eastAsia="zh-CN"/>
        </w:rPr>
        <w:t>价格</w:t>
      </w:r>
      <w:r>
        <w:rPr>
          <w:rFonts w:hint="eastAsia" w:ascii="仿宋_GB2312" w:hAnsi="仿宋_GB2312" w:eastAsia="仿宋_GB2312" w:cs="仿宋_GB2312"/>
          <w:b w:val="0"/>
          <w:bCs/>
          <w:sz w:val="24"/>
          <w:szCs w:val="24"/>
          <w:highlight w:val="none"/>
        </w:rPr>
        <w:t>与投标文件中投标价格不一致，以投标报价一览表为准；</w:t>
      </w:r>
    </w:p>
    <w:p w14:paraId="7585EA8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2）当小写金额与大写金额有差异时，以大写金额为准（有明显错误的除外）；</w:t>
      </w:r>
    </w:p>
    <w:p w14:paraId="568C9B86">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3）单价金额小数点有明显错位的，应以总价为准，并修改单价；</w:t>
      </w:r>
    </w:p>
    <w:p w14:paraId="74A2895D">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4）投标报价为各分项报价金额之和，总价金额与依据单价计算出的结果不一致的，以单价合同金额以经修正后的投标报价为准，缺漏项部分由投标人自行承担。</w:t>
      </w:r>
    </w:p>
    <w:p w14:paraId="4A0D06EF">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2.</w:t>
      </w:r>
      <w:r>
        <w:rPr>
          <w:rFonts w:hint="eastAsia" w:ascii="仿宋_GB2312" w:hAnsi="仿宋_GB2312" w:eastAsia="仿宋_GB2312" w:cs="仿宋_GB2312"/>
          <w:b w:val="0"/>
          <w:bCs/>
          <w:sz w:val="24"/>
          <w:szCs w:val="24"/>
          <w:highlight w:val="none"/>
        </w:rPr>
        <w:t>价格标评分的计算：</w:t>
      </w:r>
    </w:p>
    <w:p w14:paraId="2B9AA99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（1）</w:t>
      </w:r>
      <w:r>
        <w:rPr>
          <w:rFonts w:hint="eastAsia" w:ascii="仿宋_GB2312" w:hAnsi="仿宋_GB2312" w:eastAsia="仿宋_GB2312" w:cs="仿宋_GB2312"/>
          <w:b w:val="0"/>
          <w:bCs/>
          <w:sz w:val="24"/>
          <w:szCs w:val="24"/>
          <w:highlight w:val="none"/>
        </w:rPr>
        <w:t>评标专家组按附表</w:t>
      </w:r>
      <w:r>
        <w:rPr>
          <w:rFonts w:hint="default" w:ascii="Times New Roman" w:hAnsi="Times New Roman" w:eastAsia="仿宋_GB2312" w:cs="Times New Roman"/>
          <w:b w:val="0"/>
          <w:bCs/>
          <w:sz w:val="24"/>
          <w:szCs w:val="24"/>
          <w:highlight w:val="none"/>
        </w:rPr>
        <w:t>2《</w:t>
      </w:r>
      <w:r>
        <w:rPr>
          <w:rFonts w:hint="eastAsia" w:ascii="仿宋_GB2312" w:hAnsi="仿宋_GB2312" w:eastAsia="仿宋_GB2312" w:cs="仿宋_GB2312"/>
          <w:b w:val="0"/>
          <w:bCs/>
          <w:sz w:val="24"/>
          <w:szCs w:val="24"/>
          <w:highlight w:val="none"/>
        </w:rPr>
        <w:t>价格标评分方法》进行评分。</w:t>
      </w:r>
    </w:p>
    <w:p w14:paraId="11218134">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（2）</w:t>
      </w:r>
      <w:r>
        <w:rPr>
          <w:rFonts w:hint="eastAsia" w:ascii="仿宋_GB2312" w:hAnsi="仿宋_GB2312" w:eastAsia="仿宋_GB2312" w:cs="仿宋_GB2312"/>
          <w:b w:val="0"/>
          <w:bCs/>
          <w:sz w:val="24"/>
          <w:szCs w:val="24"/>
          <w:highlight w:val="none"/>
        </w:rPr>
        <w:t>经以上算法得出的数值即为投标人的价格得分（计算过程及计算结果四舍五入保留小数点后两位）。</w:t>
      </w:r>
    </w:p>
    <w:p w14:paraId="39E8026C">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shd w:val="clear" w:color="auto" w:fill="FFFF00"/>
        </w:rPr>
      </w:pPr>
      <w:r>
        <w:rPr>
          <w:rFonts w:hint="eastAsia" w:ascii="仿宋_GB2312" w:hAnsi="仿宋_GB2312" w:eastAsia="仿宋_GB2312" w:cs="仿宋_GB2312"/>
          <w:b w:val="0"/>
          <w:bCs/>
          <w:sz w:val="24"/>
          <w:szCs w:val="24"/>
          <w:highlight w:val="none"/>
          <w:lang w:val="en-US" w:eastAsia="zh-CN"/>
        </w:rPr>
        <w:t>（3）</w:t>
      </w:r>
      <w:r>
        <w:rPr>
          <w:rFonts w:hint="eastAsia" w:ascii="仿宋_GB2312" w:hAnsi="仿宋_GB2312" w:eastAsia="仿宋_GB2312" w:cs="仿宋_GB2312"/>
          <w:b w:val="0"/>
          <w:bCs/>
          <w:sz w:val="24"/>
          <w:szCs w:val="24"/>
          <w:highlight w:val="none"/>
        </w:rPr>
        <w:t>价格得分为负数时，</w:t>
      </w:r>
      <w:r>
        <w:rPr>
          <w:rFonts w:hint="default" w:ascii="Times New Roman" w:hAnsi="Times New Roman" w:eastAsia="仿宋_GB2312" w:cs="Times New Roman"/>
          <w:b w:val="0"/>
          <w:bCs/>
          <w:sz w:val="24"/>
          <w:szCs w:val="24"/>
          <w:highlight w:val="none"/>
        </w:rPr>
        <w:t>计为0分。</w:t>
      </w:r>
    </w:p>
    <w:p w14:paraId="24B53DD5">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color w:val="FF0000"/>
          <w:sz w:val="32"/>
          <w:szCs w:val="32"/>
          <w:highlight w:val="none"/>
        </w:rPr>
      </w:pPr>
    </w:p>
    <w:p w14:paraId="0ACF24F4">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3EF40E5D">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050152F3">
      <w:pPr>
        <w:pageBreakBefore w:val="0"/>
        <w:widowControl/>
        <w:kinsoku/>
        <w:overflowPunct/>
        <w:topLinePunct w:val="0"/>
        <w:autoSpaceDE/>
        <w:autoSpaceDN/>
        <w:bidi w:val="0"/>
        <w:adjustRightInd w:val="0"/>
        <w:snapToGrid w:val="0"/>
        <w:spacing w:line="560" w:lineRule="exact"/>
        <w:outlineLvl w:val="1"/>
        <w:rPr>
          <w:rFonts w:hint="eastAsia" w:ascii="仿宋" w:hAnsi="仿宋" w:eastAsia="仿宋" w:cs="仿宋"/>
          <w:b w:val="0"/>
          <w:bCs/>
          <w:sz w:val="24"/>
          <w:szCs w:val="24"/>
          <w:highlight w:val="none"/>
        </w:rPr>
      </w:pPr>
      <w:r>
        <w:rPr>
          <w:rFonts w:hint="eastAsia" w:ascii="仿宋" w:hAnsi="仿宋" w:eastAsia="仿宋" w:cs="仿宋"/>
          <w:b w:val="0"/>
          <w:bCs/>
          <w:sz w:val="32"/>
          <w:szCs w:val="32"/>
          <w:highlight w:val="none"/>
        </w:rPr>
        <w:br w:type="page"/>
      </w:r>
      <w:bookmarkStart w:id="205" w:name="_Toc17325"/>
      <w:bookmarkStart w:id="206" w:name="_Toc10078"/>
      <w:bookmarkStart w:id="207" w:name="_Toc10909"/>
      <w:r>
        <w:rPr>
          <w:rFonts w:hint="eastAsia" w:ascii="仿宋" w:hAnsi="仿宋" w:eastAsia="仿宋" w:cs="仿宋"/>
          <w:b w:val="0"/>
          <w:bCs/>
          <w:sz w:val="24"/>
          <w:szCs w:val="24"/>
          <w:highlight w:val="none"/>
        </w:rPr>
        <w:t>附表</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 xml:space="preserve"> 《商务技术价格标权重表》</w:t>
      </w:r>
      <w:bookmarkEnd w:id="205"/>
      <w:bookmarkEnd w:id="206"/>
      <w:bookmarkEnd w:id="207"/>
    </w:p>
    <w:p w14:paraId="521B076D">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p>
    <w:p w14:paraId="37BA7C3F">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商务技术价格标权重表</w:t>
      </w:r>
    </w:p>
    <w:tbl>
      <w:tblPr>
        <w:tblStyle w:val="17"/>
        <w:tblW w:w="76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120"/>
        <w:gridCol w:w="3130"/>
        <w:gridCol w:w="2386"/>
      </w:tblGrid>
      <w:tr w14:paraId="01B83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7" w:hRule="atLeast"/>
          <w:jc w:val="center"/>
        </w:trPr>
        <w:tc>
          <w:tcPr>
            <w:tcW w:w="2120" w:type="dxa"/>
            <w:tcBorders>
              <w:tl2br w:val="nil"/>
              <w:tr2bl w:val="nil"/>
            </w:tcBorders>
            <w:shd w:val="clear" w:color="auto" w:fill="FFFFFF" w:themeFill="background1"/>
            <w:vAlign w:val="center"/>
          </w:tcPr>
          <w:p w14:paraId="3E3852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bCs w:val="0"/>
                <w:sz w:val="28"/>
                <w:szCs w:val="28"/>
                <w:highlight w:val="none"/>
              </w:rPr>
            </w:pPr>
            <w:r>
              <w:rPr>
                <w:rFonts w:hint="eastAsia" w:ascii="Times New Roman" w:hAnsi="Times New Roman" w:eastAsia="宋体" w:cstheme="minorEastAsia"/>
                <w:b/>
                <w:bCs w:val="0"/>
                <w:sz w:val="28"/>
                <w:szCs w:val="28"/>
                <w:highlight w:val="none"/>
              </w:rPr>
              <w:t>权重名称</w:t>
            </w:r>
          </w:p>
        </w:tc>
        <w:tc>
          <w:tcPr>
            <w:tcW w:w="3130" w:type="dxa"/>
            <w:tcBorders>
              <w:tl2br w:val="nil"/>
              <w:tr2bl w:val="nil"/>
            </w:tcBorders>
            <w:shd w:val="clear" w:color="auto" w:fill="FFFFFF" w:themeFill="background1"/>
            <w:vAlign w:val="center"/>
          </w:tcPr>
          <w:p w14:paraId="34E577C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bCs w:val="0"/>
                <w:sz w:val="28"/>
                <w:szCs w:val="28"/>
                <w:highlight w:val="none"/>
              </w:rPr>
            </w:pPr>
            <w:r>
              <w:rPr>
                <w:rFonts w:hint="eastAsia" w:ascii="Times New Roman" w:hAnsi="Times New Roman" w:eastAsia="宋体" w:cstheme="minorEastAsia"/>
                <w:b/>
                <w:bCs w:val="0"/>
                <w:sz w:val="28"/>
                <w:szCs w:val="28"/>
                <w:highlight w:val="none"/>
              </w:rPr>
              <w:t>商务</w:t>
            </w:r>
            <w:r>
              <w:rPr>
                <w:rFonts w:hint="eastAsia" w:ascii="Times New Roman" w:hAnsi="Times New Roman" w:eastAsia="宋体" w:cstheme="minorEastAsia"/>
                <w:b/>
                <w:bCs w:val="0"/>
                <w:sz w:val="28"/>
                <w:szCs w:val="28"/>
                <w:highlight w:val="none"/>
                <w:lang w:val="en-US" w:eastAsia="zh-CN"/>
              </w:rPr>
              <w:t>技术</w:t>
            </w:r>
            <w:r>
              <w:rPr>
                <w:rFonts w:hint="eastAsia" w:ascii="Times New Roman" w:hAnsi="Times New Roman" w:eastAsia="宋体" w:cstheme="minorEastAsia"/>
                <w:b/>
                <w:bCs w:val="0"/>
                <w:sz w:val="28"/>
                <w:szCs w:val="28"/>
                <w:highlight w:val="none"/>
              </w:rPr>
              <w:t>权重</w:t>
            </w:r>
          </w:p>
        </w:tc>
        <w:tc>
          <w:tcPr>
            <w:tcW w:w="2386" w:type="dxa"/>
            <w:tcBorders>
              <w:tl2br w:val="nil"/>
              <w:tr2bl w:val="nil"/>
            </w:tcBorders>
            <w:shd w:val="clear" w:color="auto" w:fill="FFFFFF" w:themeFill="background1"/>
            <w:vAlign w:val="center"/>
          </w:tcPr>
          <w:p w14:paraId="6E78DC6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bCs w:val="0"/>
                <w:sz w:val="28"/>
                <w:szCs w:val="28"/>
                <w:highlight w:val="none"/>
              </w:rPr>
            </w:pPr>
            <w:r>
              <w:rPr>
                <w:rFonts w:hint="eastAsia" w:ascii="Times New Roman" w:hAnsi="Times New Roman" w:eastAsia="宋体" w:cstheme="minorEastAsia"/>
                <w:b/>
                <w:bCs w:val="0"/>
                <w:sz w:val="28"/>
                <w:szCs w:val="28"/>
                <w:highlight w:val="none"/>
              </w:rPr>
              <w:t>价格权重</w:t>
            </w:r>
          </w:p>
        </w:tc>
      </w:tr>
      <w:tr w14:paraId="75B4A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35" w:hRule="atLeast"/>
          <w:jc w:val="center"/>
        </w:trPr>
        <w:tc>
          <w:tcPr>
            <w:tcW w:w="2120" w:type="dxa"/>
            <w:tcBorders>
              <w:tl2br w:val="nil"/>
              <w:tr2bl w:val="nil"/>
            </w:tcBorders>
            <w:shd w:val="clear" w:color="auto" w:fill="FFFFFF" w:themeFill="background1"/>
            <w:vAlign w:val="center"/>
          </w:tcPr>
          <w:p w14:paraId="062A6B0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val="0"/>
                <w:bCs/>
                <w:sz w:val="28"/>
                <w:szCs w:val="28"/>
                <w:highlight w:val="none"/>
              </w:rPr>
            </w:pPr>
            <w:r>
              <w:rPr>
                <w:rFonts w:hint="eastAsia" w:ascii="Times New Roman" w:hAnsi="Times New Roman" w:eastAsia="宋体" w:cstheme="minorEastAsia"/>
                <w:b w:val="0"/>
                <w:bCs/>
                <w:sz w:val="28"/>
                <w:szCs w:val="28"/>
                <w:highlight w:val="none"/>
              </w:rPr>
              <w:t>权重</w:t>
            </w:r>
          </w:p>
        </w:tc>
        <w:tc>
          <w:tcPr>
            <w:tcW w:w="3130" w:type="dxa"/>
            <w:tcBorders>
              <w:tl2br w:val="nil"/>
              <w:tr2bl w:val="nil"/>
            </w:tcBorders>
            <w:shd w:val="clear" w:color="auto" w:fill="FFFFFF" w:themeFill="background1"/>
            <w:vAlign w:val="center"/>
          </w:tcPr>
          <w:p w14:paraId="7CCCA0C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val="0"/>
                <w:bCs/>
                <w:sz w:val="28"/>
                <w:szCs w:val="28"/>
                <w:highlight w:val="none"/>
              </w:rPr>
            </w:pPr>
            <w:r>
              <w:rPr>
                <w:rFonts w:hint="eastAsia" w:ascii="Times New Roman" w:hAnsi="Times New Roman" w:eastAsia="宋体" w:cstheme="minorEastAsia"/>
                <w:b w:val="0"/>
                <w:bCs/>
                <w:sz w:val="28"/>
                <w:szCs w:val="28"/>
                <w:highlight w:val="none"/>
                <w:lang w:val="en-US" w:eastAsia="zh-CN"/>
              </w:rPr>
              <w:t>60</w:t>
            </w:r>
            <w:r>
              <w:rPr>
                <w:rFonts w:hint="eastAsia" w:ascii="Times New Roman" w:hAnsi="Times New Roman" w:eastAsia="宋体" w:cstheme="minorEastAsia"/>
                <w:b w:val="0"/>
                <w:bCs/>
                <w:sz w:val="28"/>
                <w:szCs w:val="28"/>
                <w:highlight w:val="none"/>
              </w:rPr>
              <w:t>%</w:t>
            </w:r>
          </w:p>
        </w:tc>
        <w:tc>
          <w:tcPr>
            <w:tcW w:w="2386" w:type="dxa"/>
            <w:tcBorders>
              <w:tl2br w:val="nil"/>
              <w:tr2bl w:val="nil"/>
            </w:tcBorders>
            <w:shd w:val="clear" w:color="auto" w:fill="FFFFFF" w:themeFill="background1"/>
            <w:vAlign w:val="center"/>
          </w:tcPr>
          <w:p w14:paraId="0ECDBD0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val="0"/>
                <w:bCs/>
                <w:sz w:val="28"/>
                <w:szCs w:val="28"/>
                <w:highlight w:val="none"/>
                <w:lang w:val="en-US" w:eastAsia="zh-CN"/>
              </w:rPr>
            </w:pPr>
            <w:r>
              <w:rPr>
                <w:rFonts w:hint="eastAsia" w:ascii="Times New Roman" w:hAnsi="Times New Roman" w:eastAsia="宋体" w:cstheme="minorEastAsia"/>
                <w:b w:val="0"/>
                <w:bCs/>
                <w:sz w:val="28"/>
                <w:szCs w:val="28"/>
                <w:highlight w:val="none"/>
                <w:lang w:val="en-US" w:eastAsia="zh-CN"/>
              </w:rPr>
              <w:t>40</w:t>
            </w:r>
            <w:r>
              <w:rPr>
                <w:rFonts w:hint="eastAsia" w:ascii="Times New Roman" w:hAnsi="Times New Roman" w:eastAsia="宋体" w:cstheme="minorEastAsia"/>
                <w:b w:val="0"/>
                <w:bCs/>
                <w:sz w:val="28"/>
                <w:szCs w:val="28"/>
                <w:highlight w:val="none"/>
              </w:rPr>
              <w:t>%</w:t>
            </w:r>
          </w:p>
        </w:tc>
      </w:tr>
    </w:tbl>
    <w:p w14:paraId="65F32F8F">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32314A8B">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6BBA9BEC">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6A573E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BC764C9">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EE06A91">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018FCABB">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0EC0007">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4D65BE91">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5EB513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6B3DFAD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24A0CAF3">
      <w:pPr>
        <w:pStyle w:val="8"/>
        <w:rPr>
          <w:rFonts w:hint="eastAsia" w:ascii="仿宋" w:hAnsi="仿宋" w:eastAsia="仿宋" w:cs="仿宋"/>
          <w:b w:val="0"/>
          <w:bCs/>
          <w:sz w:val="32"/>
          <w:szCs w:val="32"/>
          <w:highlight w:val="none"/>
        </w:rPr>
      </w:pPr>
    </w:p>
    <w:p w14:paraId="668F146D">
      <w:pPr>
        <w:rPr>
          <w:rFonts w:hint="eastAsia" w:ascii="仿宋" w:hAnsi="仿宋" w:eastAsia="仿宋" w:cs="仿宋"/>
          <w:b w:val="0"/>
          <w:bCs/>
          <w:sz w:val="32"/>
          <w:szCs w:val="32"/>
          <w:highlight w:val="none"/>
        </w:rPr>
      </w:pPr>
    </w:p>
    <w:p w14:paraId="6FCDC8B1">
      <w:pPr>
        <w:pStyle w:val="8"/>
        <w:rPr>
          <w:rFonts w:hint="eastAsia"/>
          <w:highlight w:val="none"/>
        </w:rPr>
      </w:pPr>
    </w:p>
    <w:p w14:paraId="55F9C15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4096545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00066C2">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8DB5137">
      <w:pPr>
        <w:pStyle w:val="3"/>
        <w:pageBreakBefore w:val="0"/>
        <w:kinsoku/>
        <w:overflowPunct/>
        <w:topLinePunct w:val="0"/>
        <w:autoSpaceDE/>
        <w:autoSpaceDN/>
        <w:bidi w:val="0"/>
        <w:spacing w:line="560" w:lineRule="exact"/>
        <w:jc w:val="center"/>
        <w:outlineLvl w:val="0"/>
        <w:rPr>
          <w:rFonts w:hint="eastAsia" w:ascii="黑体" w:hAnsi="黑体" w:eastAsia="黑体" w:cs="黑体"/>
          <w:b w:val="0"/>
          <w:bCs/>
          <w:sz w:val="32"/>
          <w:szCs w:val="32"/>
          <w:highlight w:val="none"/>
        </w:rPr>
      </w:pPr>
      <w:bookmarkStart w:id="208" w:name="_Toc22420"/>
      <w:bookmarkStart w:id="209" w:name="_Toc22811"/>
      <w:bookmarkStart w:id="210" w:name="_Toc29976"/>
      <w:bookmarkStart w:id="211" w:name="_Toc9902"/>
      <w:r>
        <w:rPr>
          <w:rFonts w:hint="eastAsia" w:ascii="黑体" w:hAnsi="黑体" w:eastAsia="黑体" w:cs="黑体"/>
          <w:b w:val="0"/>
          <w:bCs/>
          <w:sz w:val="32"/>
          <w:szCs w:val="32"/>
          <w:highlight w:val="none"/>
        </w:rPr>
        <w:t>第三章 合同条款</w:t>
      </w:r>
      <w:bookmarkEnd w:id="208"/>
      <w:bookmarkEnd w:id="209"/>
      <w:bookmarkEnd w:id="210"/>
      <w:bookmarkEnd w:id="211"/>
    </w:p>
    <w:p w14:paraId="3679E860">
      <w:pPr>
        <w:keepNext/>
        <w:spacing w:line="560" w:lineRule="exact"/>
        <w:ind w:firstLine="0" w:firstLineChars="0"/>
        <w:jc w:val="center"/>
        <w:rPr>
          <w:rFonts w:hint="default" w:ascii="Times New Roman" w:hAnsi="Times New Roman" w:eastAsia="方正小标宋简体" w:cs="方正小标宋简体"/>
          <w:b w:val="0"/>
          <w:bCs/>
          <w:sz w:val="40"/>
          <w:szCs w:val="40"/>
          <w:highlight w:val="none"/>
          <w:lang w:val="en-US"/>
        </w:rPr>
      </w:pPr>
      <w:bookmarkStart w:id="212" w:name="_Toc27794"/>
      <w:r>
        <w:rPr>
          <w:rFonts w:hint="eastAsia" w:ascii="Times New Roman" w:hAnsi="Times New Roman" w:eastAsia="方正小标宋简体" w:cs="方正小标宋简体"/>
          <w:b w:val="0"/>
          <w:bCs/>
          <w:sz w:val="40"/>
          <w:szCs w:val="40"/>
          <w:highlight w:val="none"/>
          <w:lang w:val="zh-CN"/>
        </w:rPr>
        <w:t>深圳市鹏劳人力资源管理有限公司</w:t>
      </w:r>
      <w:r>
        <w:rPr>
          <w:rFonts w:hint="eastAsia" w:ascii="Times New Roman" w:hAnsi="Times New Roman" w:eastAsia="方正小标宋简体" w:cs="方正小标宋简体"/>
          <w:b w:val="0"/>
          <w:bCs/>
          <w:sz w:val="40"/>
          <w:szCs w:val="40"/>
          <w:highlight w:val="none"/>
          <w:lang w:eastAsia="zh-CN"/>
        </w:rPr>
        <w:t>202</w:t>
      </w:r>
      <w:r>
        <w:rPr>
          <w:rFonts w:hint="eastAsia" w:ascii="Times New Roman" w:hAnsi="Times New Roman" w:eastAsia="方正小标宋简体" w:cs="方正小标宋简体"/>
          <w:b w:val="0"/>
          <w:bCs/>
          <w:sz w:val="40"/>
          <w:szCs w:val="40"/>
          <w:highlight w:val="none"/>
          <w:lang w:val="en-US" w:eastAsia="zh-CN"/>
        </w:rPr>
        <w:t>6-2027</w:t>
      </w:r>
      <w:r>
        <w:rPr>
          <w:rFonts w:hint="eastAsia" w:ascii="Times New Roman" w:hAnsi="Times New Roman" w:eastAsia="方正小标宋简体" w:cs="方正小标宋简体"/>
          <w:b w:val="0"/>
          <w:bCs/>
          <w:sz w:val="40"/>
          <w:szCs w:val="40"/>
          <w:highlight w:val="none"/>
          <w:lang w:eastAsia="zh-CN"/>
        </w:rPr>
        <w:t>年度某互联网银行外包项目招聘服务项目</w:t>
      </w:r>
      <w:r>
        <w:rPr>
          <w:rFonts w:hint="eastAsia" w:ascii="Times New Roman" w:hAnsi="Times New Roman" w:eastAsia="方正小标宋简体" w:cs="方正小标宋简体"/>
          <w:b w:val="0"/>
          <w:bCs/>
          <w:sz w:val="40"/>
          <w:szCs w:val="40"/>
          <w:highlight w:val="none"/>
          <w:lang w:val="en-US" w:eastAsia="zh-CN"/>
        </w:rPr>
        <w:t>合同</w:t>
      </w:r>
    </w:p>
    <w:p w14:paraId="547BC7B9">
      <w:pPr>
        <w:keepNext/>
        <w:spacing w:line="560" w:lineRule="exact"/>
        <w:ind w:firstLine="480" w:firstLineChars="200"/>
        <w:jc w:val="left"/>
        <w:rPr>
          <w:rFonts w:hint="eastAsia" w:ascii="仿宋_GB2312" w:hAnsi="仿宋_GB2312" w:eastAsia="仿宋_GB2312" w:cs="仿宋_GB2312"/>
          <w:bCs/>
          <w:sz w:val="24"/>
          <w:szCs w:val="24"/>
          <w:highlight w:val="none"/>
        </w:rPr>
      </w:pPr>
    </w:p>
    <w:p w14:paraId="6CBA2D4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甲方： 深圳市鹏劳人力资源管理有限公司</w:t>
      </w:r>
    </w:p>
    <w:p w14:paraId="3D68AA0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地址：深圳市罗湖区笋岗街道田心社区红岭北路2088号招商开元中心A座13层</w:t>
      </w:r>
    </w:p>
    <w:p w14:paraId="734EC9B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 xml:space="preserve">联系人： </w:t>
      </w:r>
    </w:p>
    <w:p w14:paraId="0058C8E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联系方式：</w:t>
      </w:r>
    </w:p>
    <w:p w14:paraId="31075DB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乙方：</w:t>
      </w:r>
    </w:p>
    <w:p w14:paraId="30F317E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地址：</w:t>
      </w:r>
    </w:p>
    <w:p w14:paraId="75C6C09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联系人：</w:t>
      </w:r>
    </w:p>
    <w:p w14:paraId="64D6E4A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联系方式：</w:t>
      </w:r>
    </w:p>
    <w:p w14:paraId="230FA4E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cs="Microsoft JhengHei" w:asciiTheme="minorEastAsia" w:hAnsiTheme="minorEastAsia"/>
          <w:sz w:val="32"/>
          <w:szCs w:val="32"/>
        </w:rPr>
      </w:pPr>
      <w:r>
        <w:rPr>
          <w:rFonts w:hint="eastAsia" w:ascii="Times New Roman" w:hAnsi="Times New Roman" w:eastAsia="仿宋_GB2312" w:cs="仿宋_GB2312"/>
          <w:sz w:val="32"/>
          <w:szCs w:val="32"/>
        </w:rPr>
        <w:t>甲乙双方按照《中华人民共和国民法典》及其他相关法规、政策规定，就甲方委托乙方提供人才</w:t>
      </w:r>
      <w:r>
        <w:rPr>
          <w:rFonts w:hint="eastAsia" w:ascii="Times New Roman" w:hAnsi="Times New Roman" w:eastAsia="仿宋_GB2312" w:cs="仿宋_GB2312"/>
          <w:sz w:val="32"/>
          <w:szCs w:val="32"/>
          <w:lang w:val="en-US" w:eastAsia="zh-CN"/>
        </w:rPr>
        <w:t>招聘</w:t>
      </w:r>
      <w:r>
        <w:rPr>
          <w:rFonts w:hint="eastAsia" w:ascii="Times New Roman" w:hAnsi="Times New Roman" w:eastAsia="仿宋_GB2312" w:cs="仿宋_GB2312"/>
          <w:sz w:val="32"/>
          <w:szCs w:val="32"/>
        </w:rPr>
        <w:t>服务事宜，经双方友好协商达成以下协议，以资信守：</w:t>
      </w:r>
    </w:p>
    <w:p w14:paraId="2A35120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第一条 服务内容</w:t>
      </w:r>
    </w:p>
    <w:p w14:paraId="5101323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甲方因业务发展需要，以甲方成功聘用优秀人才为目的，采购乙方以下</w:t>
      </w:r>
      <w:r>
        <w:rPr>
          <w:rFonts w:hint="eastAsia" w:ascii="Times New Roman" w:hAnsi="Times New Roman" w:eastAsia="仿宋_GB2312" w:cs="仿宋_GB2312"/>
          <w:sz w:val="32"/>
          <w:szCs w:val="32"/>
          <w:lang w:val="en-US" w:eastAsia="zh-CN"/>
        </w:rPr>
        <w:t>人力资源</w:t>
      </w:r>
      <w:r>
        <w:rPr>
          <w:rFonts w:hint="eastAsia" w:ascii="Times New Roman" w:hAnsi="Times New Roman" w:eastAsia="仿宋_GB2312" w:cs="仿宋_GB2312"/>
          <w:sz w:val="32"/>
          <w:szCs w:val="32"/>
        </w:rPr>
        <w:t>服务：</w:t>
      </w:r>
    </w:p>
    <w:p w14:paraId="35EF5C9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一、人才供求信息的收集、整理、储存、发布和咨询服务；</w:t>
      </w:r>
    </w:p>
    <w:p w14:paraId="3AC0D29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二、人才</w:t>
      </w:r>
      <w:r>
        <w:rPr>
          <w:rFonts w:hint="eastAsia" w:ascii="Times New Roman" w:hAnsi="Times New Roman" w:eastAsia="仿宋_GB2312" w:cs="仿宋_GB2312"/>
          <w:sz w:val="32"/>
          <w:szCs w:val="32"/>
          <w:lang w:val="en-US" w:eastAsia="zh-CN"/>
        </w:rPr>
        <w:t>招聘等；</w:t>
      </w:r>
    </w:p>
    <w:p w14:paraId="125AF53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三、协助甲方与乙方推荐候选人完成聘用合同或劳动合同签订；</w:t>
      </w:r>
    </w:p>
    <w:p w14:paraId="467E387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四、其他双方约定有关业务。</w:t>
      </w:r>
    </w:p>
    <w:p w14:paraId="76E9FD5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条 服务方式</w:t>
      </w:r>
    </w:p>
    <w:p w14:paraId="09A8F5B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一、甲方同意积极配合提供下列信息给乙方，协助乙方正确有效完成服务事项：</w:t>
      </w:r>
    </w:p>
    <w:p w14:paraId="31E7DBF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企业文化、经营理念与工作环境；</w:t>
      </w:r>
    </w:p>
    <w:p w14:paraId="26EEE5E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招聘岗位职务名称、职位职责及享有的福利待遇（包括基本工资、奖金和津贴）；</w:t>
      </w:r>
    </w:p>
    <w:p w14:paraId="35F5BD5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需求人才</w:t>
      </w:r>
      <w:r>
        <w:rPr>
          <w:rFonts w:hint="eastAsia" w:ascii="Times New Roman" w:hAnsi="Times New Roman" w:eastAsia="仿宋_GB2312" w:cs="仿宋_GB2312"/>
          <w:sz w:val="32"/>
          <w:szCs w:val="32"/>
          <w:lang w:eastAsia="zh-CN"/>
        </w:rPr>
        <w:t>所需具备</w:t>
      </w:r>
      <w:r>
        <w:rPr>
          <w:rFonts w:hint="eastAsia" w:ascii="Times New Roman" w:hAnsi="Times New Roman" w:eastAsia="仿宋_GB2312" w:cs="仿宋_GB2312"/>
          <w:sz w:val="32"/>
          <w:szCs w:val="32"/>
        </w:rPr>
        <w:t>的条件（包括年龄、性别、教育程度、英文程度、专业经验以及个人品性）。</w:t>
      </w:r>
    </w:p>
    <w:p w14:paraId="0D9CA2B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二、乙方应于收到甲方提供信息与需求后五个工作日内搜索符合甲方需求标准的候选人</w:t>
      </w:r>
      <w:r>
        <w:rPr>
          <w:rFonts w:hint="eastAsia" w:ascii="Times New Roman" w:hAnsi="Times New Roman" w:eastAsia="仿宋_GB2312" w:cs="仿宋_GB2312"/>
          <w:sz w:val="32"/>
          <w:szCs w:val="32"/>
          <w:lang w:val="en-US" w:eastAsia="zh-CN"/>
        </w:rPr>
        <w:t>并对</w:t>
      </w:r>
      <w:r>
        <w:rPr>
          <w:rFonts w:hint="eastAsia" w:ascii="Times New Roman" w:hAnsi="Times New Roman" w:eastAsia="仿宋_GB2312" w:cs="仿宋_GB2312"/>
          <w:sz w:val="32"/>
          <w:szCs w:val="32"/>
        </w:rPr>
        <w:t>候选人</w:t>
      </w:r>
      <w:r>
        <w:rPr>
          <w:rFonts w:hint="eastAsia" w:ascii="Times New Roman" w:hAnsi="Times New Roman" w:eastAsia="仿宋_GB2312" w:cs="仿宋_GB2312"/>
          <w:sz w:val="32"/>
          <w:szCs w:val="32"/>
          <w:lang w:val="en-US" w:eastAsia="zh-CN"/>
        </w:rPr>
        <w:t>完成</w:t>
      </w:r>
      <w:r>
        <w:rPr>
          <w:rFonts w:hint="eastAsia" w:ascii="Times New Roman" w:hAnsi="Times New Roman" w:eastAsia="仿宋_GB2312" w:cs="仿宋_GB2312"/>
          <w:sz w:val="32"/>
          <w:szCs w:val="32"/>
        </w:rPr>
        <w:t>初次筛选，确证其资料符合岗位要求</w:t>
      </w:r>
      <w:r>
        <w:rPr>
          <w:rFonts w:hint="eastAsia" w:ascii="Times New Roman" w:hAnsi="Times New Roman" w:eastAsia="仿宋_GB2312" w:cs="仿宋_GB2312"/>
          <w:sz w:val="32"/>
          <w:szCs w:val="32"/>
          <w:lang w:eastAsia="zh-CN"/>
        </w:rPr>
        <w:t>。</w:t>
      </w:r>
    </w:p>
    <w:p w14:paraId="4D1BBA4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三、乙方可按照甲方要求通知安排面试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或向甲方提供所推荐的候选人的联系方式和其</w:t>
      </w:r>
      <w:r>
        <w:rPr>
          <w:rFonts w:hint="eastAsia" w:ascii="Times New Roman" w:hAnsi="Times New Roman" w:eastAsia="仿宋_GB2312" w:cs="仿宋_GB2312"/>
          <w:sz w:val="32"/>
          <w:szCs w:val="32"/>
          <w:lang w:val="en-US" w:eastAsia="zh-CN"/>
        </w:rPr>
        <w:t>他</w:t>
      </w:r>
      <w:r>
        <w:rPr>
          <w:rFonts w:hint="eastAsia" w:ascii="Times New Roman" w:hAnsi="Times New Roman" w:eastAsia="仿宋_GB2312" w:cs="仿宋_GB2312"/>
          <w:sz w:val="32"/>
          <w:szCs w:val="32"/>
        </w:rPr>
        <w:t>相关信息以便甲方进一步安排面试。如出现和甲方或甲方选用的其他渠道人员的重复推荐，以</w:t>
      </w:r>
      <w:r>
        <w:rPr>
          <w:rFonts w:hint="eastAsia" w:ascii="Times New Roman" w:hAnsi="Times New Roman" w:eastAsia="仿宋_GB2312" w:cs="仿宋_GB2312"/>
          <w:sz w:val="32"/>
          <w:szCs w:val="32"/>
          <w:lang w:val="en-US" w:eastAsia="zh-CN"/>
        </w:rPr>
        <w:t>甲方系统记录或双方书面确认的首次推荐时间为准。</w:t>
      </w:r>
    </w:p>
    <w:p w14:paraId="3BC6D1B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四、甲方应当在确定录用乙方推荐的候选人后，将准备录用人选的录用通知单或确认录用的</w:t>
      </w:r>
      <w:r>
        <w:rPr>
          <w:rFonts w:hint="eastAsia" w:ascii="Times New Roman" w:hAnsi="Times New Roman" w:eastAsia="仿宋_GB2312" w:cs="仿宋_GB2312"/>
          <w:sz w:val="32"/>
          <w:szCs w:val="32"/>
          <w:lang w:eastAsia="zh-CN"/>
        </w:rPr>
        <w:t>其他</w:t>
      </w:r>
      <w:r>
        <w:rPr>
          <w:rFonts w:hint="eastAsia" w:ascii="Times New Roman" w:hAnsi="Times New Roman" w:eastAsia="仿宋_GB2312" w:cs="仿宋_GB2312"/>
          <w:sz w:val="32"/>
          <w:szCs w:val="32"/>
        </w:rPr>
        <w:t>书面文件提供给乙方。乙方应协助甲方督促被录用候选人与原工作单位按正常的程序办好离职手续。</w:t>
      </w:r>
    </w:p>
    <w:p w14:paraId="55677C9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rPr>
        <w:t>五、经甲方录用的候选人，依约定时间至甲方指定地点报到并</w:t>
      </w:r>
      <w:r>
        <w:rPr>
          <w:rFonts w:hint="eastAsia" w:ascii="Times New Roman" w:hAnsi="Times New Roman" w:eastAsia="仿宋_GB2312" w:cs="仿宋_GB2312"/>
          <w:sz w:val="32"/>
          <w:szCs w:val="32"/>
          <w:highlight w:val="none"/>
        </w:rPr>
        <w:t>正式</w:t>
      </w:r>
      <w:r>
        <w:rPr>
          <w:rFonts w:hint="eastAsia" w:ascii="Times New Roman" w:hAnsi="Times New Roman" w:eastAsia="仿宋_GB2312" w:cs="仿宋_GB2312"/>
          <w:sz w:val="32"/>
          <w:szCs w:val="32"/>
          <w:highlight w:val="none"/>
          <w:lang w:val="en-US" w:eastAsia="zh-CN"/>
        </w:rPr>
        <w:t>入职当天起</w:t>
      </w:r>
      <w:r>
        <w:rPr>
          <w:rFonts w:hint="eastAsia" w:ascii="Times New Roman" w:hAnsi="Times New Roman" w:eastAsia="仿宋_GB2312" w:cs="仿宋_GB2312"/>
          <w:sz w:val="32"/>
          <w:szCs w:val="32"/>
          <w:highlight w:val="none"/>
        </w:rPr>
        <w:t>3个工作日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每个工作日实际到岗必须超过半天）</w:t>
      </w:r>
      <w:r>
        <w:rPr>
          <w:rFonts w:hint="eastAsia" w:ascii="Times New Roman" w:hAnsi="Times New Roman" w:eastAsia="仿宋_GB2312" w:cs="仿宋_GB2312"/>
          <w:sz w:val="32"/>
          <w:szCs w:val="32"/>
          <w:highlight w:val="none"/>
        </w:rPr>
        <w:t>后仍在职，视为乙方服务成功，甲方应依本合同约定支付服务费用。</w:t>
      </w:r>
    </w:p>
    <w:p w14:paraId="4856FF2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六、乙方应指定具备招聘项目管理经验的专职对接人，负责本合同项下全部沟通、协调与执行工作</w:t>
      </w:r>
      <w:r>
        <w:rPr>
          <w:rFonts w:hint="eastAsia" w:ascii="Times New Roman" w:hAnsi="Times New Roman" w:eastAsia="仿宋_GB2312" w:cs="仿宋_GB2312"/>
          <w:b w:val="0"/>
          <w:bCs w:val="0"/>
          <w:sz w:val="32"/>
          <w:szCs w:val="32"/>
          <w:highlight w:val="none"/>
          <w:lang w:val="en-US" w:eastAsia="zh-CN"/>
        </w:rPr>
        <w:t>。</w:t>
      </w:r>
    </w:p>
    <w:p w14:paraId="7E22BDE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条 收费标准与付款方式</w:t>
      </w:r>
    </w:p>
    <w:p w14:paraId="15DB86E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一、服务</w:t>
      </w:r>
      <w:r>
        <w:rPr>
          <w:rFonts w:hint="eastAsia" w:ascii="仿宋_GB2312" w:hAnsi="仿宋_GB2312" w:eastAsia="仿宋_GB2312" w:cs="仿宋_GB2312"/>
          <w:b w:val="0"/>
          <w:bCs w:val="0"/>
          <w:sz w:val="32"/>
          <w:szCs w:val="32"/>
          <w:highlight w:val="none"/>
        </w:rPr>
        <w:t>费用</w:t>
      </w:r>
    </w:p>
    <w:p w14:paraId="21D42D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本合同结算币种为人民币，每候选人服务费含增值税价格按</w:t>
      </w:r>
      <w:r>
        <w:rPr>
          <w:rFonts w:hint="eastAsia" w:ascii="仿宋_GB2312" w:hAnsi="仿宋_GB2312" w:eastAsia="仿宋_GB2312" w:cs="仿宋_GB2312"/>
          <w:sz w:val="32"/>
          <w:szCs w:val="32"/>
          <w:highlight w:val="none"/>
          <w:u w:val="single"/>
          <w:lang w:val="en-US" w:eastAsia="zh-CN"/>
        </w:rPr>
        <w:t>（待中标后确认）元</w:t>
      </w:r>
      <w:r>
        <w:rPr>
          <w:rFonts w:hint="eastAsia" w:ascii="仿宋_GB2312" w:hAnsi="仿宋_GB2312" w:eastAsia="仿宋_GB2312" w:cs="仿宋_GB2312"/>
          <w:sz w:val="32"/>
          <w:szCs w:val="32"/>
          <w:highlight w:val="none"/>
          <w:lang w:val="en-US" w:eastAsia="zh-CN"/>
        </w:rPr>
        <w:t>计算</w:t>
      </w:r>
      <w:r>
        <w:rPr>
          <w:rFonts w:hint="eastAsia" w:ascii="仿宋_GB2312" w:hAnsi="仿宋_GB2312" w:eastAsia="仿宋_GB2312" w:cs="仿宋_GB2312"/>
          <w:sz w:val="32"/>
          <w:szCs w:val="32"/>
          <w:highlight w:val="none"/>
        </w:rPr>
        <w:t>。</w:t>
      </w:r>
    </w:p>
    <w:p w14:paraId="63EE0D6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二、付款方式</w:t>
      </w:r>
    </w:p>
    <w:p w14:paraId="3E8512E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highlight w:val="none"/>
          <w:lang w:eastAsia="zh-CN"/>
        </w:rPr>
      </w:pPr>
      <w:r>
        <w:rPr>
          <w:rFonts w:hint="eastAsia" w:ascii="Times New Roman" w:hAnsi="Times New Roman" w:eastAsia="仿宋_GB2312" w:cs="Microsoft JhengHei"/>
          <w:sz w:val="32"/>
          <w:szCs w:val="32"/>
          <w:highlight w:val="none"/>
          <w:lang w:eastAsia="zh-CN"/>
        </w:rPr>
        <w:t>（</w:t>
      </w:r>
      <w:r>
        <w:rPr>
          <w:rFonts w:hint="eastAsia" w:ascii="Times New Roman" w:hAnsi="Times New Roman" w:eastAsia="仿宋_GB2312" w:cs="Microsoft JhengHei"/>
          <w:sz w:val="32"/>
          <w:szCs w:val="32"/>
          <w:highlight w:val="none"/>
          <w:lang w:val="en-US" w:eastAsia="zh-CN"/>
        </w:rPr>
        <w:t>一）</w:t>
      </w:r>
      <w:r>
        <w:rPr>
          <w:rFonts w:hint="eastAsia" w:ascii="Times New Roman" w:hAnsi="Times New Roman" w:eastAsia="仿宋_GB2312" w:cs="Microsoft JhengHei"/>
          <w:sz w:val="32"/>
          <w:szCs w:val="32"/>
          <w:highlight w:val="none"/>
        </w:rPr>
        <w:t>招聘岗位结算：候选人面试通过正式</w:t>
      </w:r>
      <w:r>
        <w:rPr>
          <w:rFonts w:hint="eastAsia" w:ascii="Times New Roman" w:hAnsi="Times New Roman" w:eastAsia="仿宋_GB2312" w:cs="Microsoft JhengHei"/>
          <w:sz w:val="32"/>
          <w:szCs w:val="32"/>
          <w:highlight w:val="none"/>
          <w:lang w:val="en-US" w:eastAsia="zh-CN"/>
        </w:rPr>
        <w:t>入职当天起</w:t>
      </w:r>
      <w:r>
        <w:rPr>
          <w:rFonts w:hint="eastAsia" w:ascii="Times New Roman" w:hAnsi="Times New Roman" w:eastAsia="仿宋_GB2312" w:cs="Microsoft JhengHei"/>
          <w:sz w:val="32"/>
          <w:szCs w:val="32"/>
          <w:highlight w:val="none"/>
        </w:rPr>
        <w:t>3个工作日</w:t>
      </w:r>
      <w:r>
        <w:rPr>
          <w:rFonts w:hint="eastAsia" w:ascii="Times New Roman" w:hAnsi="Times New Roman" w:eastAsia="仿宋_GB2312" w:cs="Microsoft JhengHei"/>
          <w:sz w:val="32"/>
          <w:szCs w:val="32"/>
          <w:highlight w:val="none"/>
          <w:lang w:eastAsia="zh-CN"/>
        </w:rPr>
        <w:t>（</w:t>
      </w:r>
      <w:r>
        <w:rPr>
          <w:rFonts w:hint="eastAsia" w:ascii="Times New Roman" w:hAnsi="Times New Roman" w:eastAsia="仿宋_GB2312" w:cs="仿宋_GB2312"/>
          <w:sz w:val="32"/>
          <w:szCs w:val="32"/>
          <w:highlight w:val="none"/>
          <w:lang w:val="en-US" w:eastAsia="zh-CN"/>
        </w:rPr>
        <w:t>每个工作日实际到岗必须超过半天</w:t>
      </w:r>
      <w:r>
        <w:rPr>
          <w:rFonts w:hint="eastAsia" w:ascii="Times New Roman" w:hAnsi="Times New Roman" w:eastAsia="仿宋_GB2312" w:cs="Microsoft JhengHei"/>
          <w:sz w:val="32"/>
          <w:szCs w:val="32"/>
          <w:highlight w:val="none"/>
          <w:lang w:val="en-US" w:eastAsia="zh-CN"/>
        </w:rPr>
        <w:t>）</w:t>
      </w:r>
      <w:r>
        <w:rPr>
          <w:rFonts w:hint="eastAsia" w:ascii="Times New Roman" w:hAnsi="Times New Roman" w:eastAsia="仿宋_GB2312" w:cs="Microsoft JhengHei"/>
          <w:sz w:val="32"/>
          <w:szCs w:val="32"/>
          <w:highlight w:val="none"/>
        </w:rPr>
        <w:t>后仍在职</w:t>
      </w:r>
      <w:r>
        <w:rPr>
          <w:rFonts w:hint="eastAsia" w:ascii="Times New Roman" w:hAnsi="Times New Roman" w:eastAsia="仿宋_GB2312" w:cs="Microsoft JhengHei"/>
          <w:sz w:val="32"/>
          <w:szCs w:val="32"/>
          <w:highlight w:val="none"/>
          <w:lang w:eastAsia="zh-CN"/>
        </w:rPr>
        <w:t>，</w:t>
      </w:r>
      <w:r>
        <w:rPr>
          <w:rFonts w:hint="eastAsia" w:ascii="Times New Roman" w:hAnsi="Times New Roman" w:eastAsia="仿宋_GB2312" w:cs="Microsoft JhengHei"/>
          <w:sz w:val="32"/>
          <w:szCs w:val="32"/>
          <w:highlight w:val="none"/>
        </w:rPr>
        <w:t>甲方需就该候选人向乙方支付服务费</w:t>
      </w:r>
      <w:r>
        <w:rPr>
          <w:rFonts w:hint="eastAsia" w:ascii="Times New Roman" w:hAnsi="Times New Roman" w:eastAsia="仿宋_GB2312" w:cs="Microsoft JhengHei"/>
          <w:sz w:val="32"/>
          <w:szCs w:val="32"/>
          <w:highlight w:val="none"/>
          <w:lang w:eastAsia="zh-CN"/>
        </w:rPr>
        <w:t>。</w:t>
      </w:r>
    </w:p>
    <w:p w14:paraId="44E163A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Microsoft JhengHei"/>
          <w:sz w:val="32"/>
          <w:szCs w:val="32"/>
          <w:highlight w:val="none"/>
          <w:lang w:val="en-US" w:eastAsia="zh-CN"/>
        </w:rPr>
      </w:pPr>
      <w:r>
        <w:rPr>
          <w:rFonts w:hint="eastAsia" w:ascii="Times New Roman" w:hAnsi="Times New Roman" w:eastAsia="仿宋_GB2312" w:cs="Microsoft JhengHei"/>
          <w:sz w:val="32"/>
          <w:szCs w:val="32"/>
          <w:highlight w:val="none"/>
          <w:lang w:val="en-US" w:eastAsia="zh-CN"/>
        </w:rPr>
        <w:t>如乙方对所推荐候选人到岗或在职时间有异议的，以甲方考勤系统记录为准。</w:t>
      </w:r>
    </w:p>
    <w:p w14:paraId="123292F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highlight w:val="none"/>
          <w:lang w:eastAsia="zh-CN"/>
        </w:rPr>
        <w:t>（</w:t>
      </w:r>
      <w:r>
        <w:rPr>
          <w:rFonts w:hint="eastAsia" w:ascii="Times New Roman" w:hAnsi="Times New Roman" w:eastAsia="仿宋_GB2312" w:cs="Microsoft JhengHei"/>
          <w:sz w:val="32"/>
          <w:szCs w:val="32"/>
          <w:highlight w:val="none"/>
          <w:lang w:val="en-US" w:eastAsia="zh-CN"/>
        </w:rPr>
        <w:t>二）</w:t>
      </w:r>
      <w:r>
        <w:rPr>
          <w:rFonts w:hint="eastAsia" w:ascii="Times New Roman" w:hAnsi="Times New Roman" w:eastAsia="仿宋_GB2312" w:cs="Microsoft JhengHei"/>
          <w:sz w:val="32"/>
          <w:szCs w:val="32"/>
          <w:highlight w:val="none"/>
        </w:rPr>
        <w:t>甲乙双方按自然月对上述服务费进行结算。乙方需在每</w:t>
      </w:r>
      <w:r>
        <w:rPr>
          <w:rFonts w:hint="eastAsia" w:ascii="Times New Roman" w:hAnsi="Times New Roman" w:eastAsia="仿宋_GB2312" w:cs="Microsoft JhengHei"/>
          <w:sz w:val="32"/>
          <w:szCs w:val="32"/>
          <w:highlight w:val="none"/>
          <w:lang w:val="en-US" w:eastAsia="zh-CN"/>
        </w:rPr>
        <w:t>月的第一周内</w:t>
      </w:r>
      <w:r>
        <w:rPr>
          <w:rFonts w:hint="eastAsia" w:ascii="Times New Roman" w:hAnsi="Times New Roman" w:eastAsia="仿宋_GB2312" w:cs="Microsoft JhengHei"/>
          <w:sz w:val="32"/>
          <w:szCs w:val="32"/>
          <w:highlight w:val="none"/>
        </w:rPr>
        <w:t>将上月产</w:t>
      </w:r>
      <w:r>
        <w:rPr>
          <w:rFonts w:hint="eastAsia" w:ascii="Times New Roman" w:hAnsi="Times New Roman" w:eastAsia="仿宋_GB2312" w:cs="Microsoft JhengHei"/>
          <w:sz w:val="32"/>
          <w:szCs w:val="32"/>
        </w:rPr>
        <w:t>生的服务费明细提供至甲方，经甲方确认无误后，乙方向甲方开具符合国家</w:t>
      </w:r>
      <w:r>
        <w:rPr>
          <w:rFonts w:hint="eastAsia" w:ascii="Times New Roman" w:hAnsi="Times New Roman" w:eastAsia="仿宋_GB2312" w:cs="Microsoft JhengHei"/>
          <w:sz w:val="32"/>
          <w:szCs w:val="32"/>
          <w:lang w:val="en-US" w:eastAsia="zh-CN"/>
        </w:rPr>
        <w:t>现行</w:t>
      </w:r>
      <w:r>
        <w:rPr>
          <w:rFonts w:hint="eastAsia" w:ascii="Times New Roman" w:hAnsi="Times New Roman" w:eastAsia="仿宋_GB2312" w:cs="Microsoft JhengHei"/>
          <w:sz w:val="32"/>
          <w:szCs w:val="32"/>
        </w:rPr>
        <w:t>法律法规要求的增值税专用发票</w:t>
      </w:r>
      <w:r>
        <w:rPr>
          <w:rFonts w:hint="eastAsia" w:ascii="Times New Roman" w:hAnsi="Times New Roman" w:eastAsia="仿宋_GB2312" w:cs="Microsoft JhengHei"/>
          <w:sz w:val="32"/>
          <w:szCs w:val="32"/>
          <w:lang w:eastAsia="zh-CN"/>
        </w:rPr>
        <w:t>，</w:t>
      </w:r>
      <w:r>
        <w:rPr>
          <w:rFonts w:hint="eastAsia" w:ascii="Times New Roman" w:hAnsi="Times New Roman" w:eastAsia="仿宋_GB2312" w:cs="Microsoft JhengHei"/>
          <w:sz w:val="32"/>
          <w:szCs w:val="32"/>
        </w:rPr>
        <w:t>甲方于收到发票后</w:t>
      </w:r>
      <w:r>
        <w:rPr>
          <w:rFonts w:hint="eastAsia" w:ascii="Times New Roman" w:hAnsi="Times New Roman" w:eastAsia="仿宋_GB2312" w:cs="Microsoft JhengHei"/>
          <w:sz w:val="32"/>
          <w:szCs w:val="32"/>
          <w:lang w:val="en-US" w:eastAsia="zh-CN"/>
        </w:rPr>
        <w:t>10</w:t>
      </w:r>
      <w:r>
        <w:rPr>
          <w:rFonts w:hint="eastAsia" w:ascii="Times New Roman" w:hAnsi="Times New Roman" w:eastAsia="仿宋_GB2312" w:cs="Microsoft JhengHei"/>
          <w:sz w:val="32"/>
          <w:szCs w:val="32"/>
        </w:rPr>
        <w:t>个工作日内一次性付清该笔费用</w:t>
      </w:r>
      <w:r>
        <w:rPr>
          <w:rFonts w:hint="eastAsia" w:ascii="Times New Roman" w:hAnsi="Times New Roman" w:eastAsia="仿宋_GB2312" w:cs="Microsoft JhengHei"/>
          <w:sz w:val="32"/>
          <w:szCs w:val="32"/>
          <w:lang w:eastAsia="zh-CN"/>
        </w:rPr>
        <w:t>，</w:t>
      </w:r>
    </w:p>
    <w:p w14:paraId="393BE06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lang w:eastAsia="zh-CN"/>
        </w:rPr>
        <w:t>（</w:t>
      </w:r>
      <w:r>
        <w:rPr>
          <w:rFonts w:hint="eastAsia" w:ascii="Times New Roman" w:hAnsi="Times New Roman" w:eastAsia="仿宋_GB2312" w:cs="Microsoft JhengHei"/>
          <w:sz w:val="32"/>
          <w:szCs w:val="32"/>
          <w:lang w:val="en-US" w:eastAsia="zh-CN"/>
        </w:rPr>
        <w:t>三）</w:t>
      </w:r>
      <w:r>
        <w:rPr>
          <w:rFonts w:hint="eastAsia" w:ascii="Times New Roman" w:hAnsi="Times New Roman" w:eastAsia="仿宋_GB2312" w:cs="Microsoft JhengHei"/>
          <w:sz w:val="32"/>
          <w:szCs w:val="32"/>
        </w:rPr>
        <w:t>乙方指定汇款账户如下：</w:t>
      </w:r>
    </w:p>
    <w:p w14:paraId="0F465A0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Times New Roman" w:hAnsi="Times New Roman" w:eastAsia="仿宋_GB2312" w:cs="Microsoft JhengHei"/>
          <w:sz w:val="32"/>
          <w:szCs w:val="32"/>
        </w:rPr>
      </w:pPr>
      <w:r>
        <w:rPr>
          <w:rFonts w:hint="eastAsia" w:ascii="Times New Roman" w:hAnsi="Times New Roman" w:eastAsia="仿宋_GB2312" w:cs="Microsoft JhengHei"/>
          <w:sz w:val="32"/>
          <w:szCs w:val="32"/>
        </w:rPr>
        <w:t>开户名：</w:t>
      </w:r>
      <w:r>
        <w:rPr>
          <w:rFonts w:ascii="Times New Roman" w:hAnsi="Times New Roman" w:eastAsia="仿宋_GB2312" w:cs="Microsoft JhengHei"/>
          <w:sz w:val="32"/>
          <w:szCs w:val="32"/>
        </w:rPr>
        <w:t xml:space="preserve"> </w:t>
      </w:r>
    </w:p>
    <w:p w14:paraId="078E788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rPr>
        <w:t>开户行：</w:t>
      </w:r>
    </w:p>
    <w:p w14:paraId="7FB1895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cs="Microsoft JhengHei"/>
          <w:sz w:val="32"/>
          <w:szCs w:val="32"/>
        </w:rPr>
        <w:t>账  号：</w:t>
      </w:r>
    </w:p>
    <w:p w14:paraId="58EE82F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rPr>
        <w:t>（四</w:t>
      </w:r>
      <w:r>
        <w:rPr>
          <w:rFonts w:ascii="Times New Roman" w:hAnsi="Times New Roman" w:eastAsia="仿宋_GB2312" w:cs="Microsoft JhengHei"/>
          <w:sz w:val="32"/>
          <w:szCs w:val="32"/>
        </w:rPr>
        <w:t>）</w:t>
      </w:r>
      <w:r>
        <w:rPr>
          <w:rFonts w:hint="eastAsia" w:ascii="Times New Roman" w:hAnsi="Times New Roman" w:eastAsia="仿宋_GB2312" w:cs="Microsoft JhengHei"/>
          <w:sz w:val="32"/>
          <w:szCs w:val="32"/>
        </w:rPr>
        <w:t>甲方发票内容：增值税专用发票</w:t>
      </w:r>
    </w:p>
    <w:p w14:paraId="5123AFD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rPr>
        <w:t>开户名：</w:t>
      </w:r>
    </w:p>
    <w:p w14:paraId="611D06E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rPr>
        <w:t>开户行：</w:t>
      </w:r>
    </w:p>
    <w:p w14:paraId="319F5A5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rPr>
        <w:t>税  号：</w:t>
      </w:r>
    </w:p>
    <w:p w14:paraId="49595D7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sz w:val="32"/>
          <w:szCs w:val="32"/>
        </w:rPr>
        <w:t>账 </w:t>
      </w:r>
      <w:r>
        <w:rPr>
          <w:rFonts w:hint="eastAsia" w:ascii="Times New Roman" w:hAnsi="Times New Roman" w:eastAsia="仿宋_GB2312" w:cs="Microsoft JhengHei"/>
          <w:sz w:val="32"/>
          <w:szCs w:val="32"/>
          <w:lang w:val="en-US" w:eastAsia="zh-CN"/>
        </w:rPr>
        <w:t xml:space="preserve"> </w:t>
      </w:r>
      <w:r>
        <w:rPr>
          <w:rFonts w:hint="eastAsia" w:ascii="Times New Roman" w:hAnsi="Times New Roman" w:eastAsia="仿宋_GB2312" w:cs="Microsoft JhengHei"/>
          <w:sz w:val="32"/>
          <w:szCs w:val="32"/>
        </w:rPr>
        <w:t>号：</w:t>
      </w:r>
    </w:p>
    <w:p w14:paraId="0463C8B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firstLine="0" w:firstLineChars="0"/>
        <w:textAlignment w:val="auto"/>
        <w:rPr>
          <w:rFonts w:hint="eastAsia" w:ascii="Times New Roman" w:hAnsi="Times New Roman" w:eastAsia="仿宋_GB2312" w:cs="Microsoft JhengHei"/>
          <w:sz w:val="32"/>
          <w:szCs w:val="32"/>
        </w:rPr>
      </w:pPr>
      <w:r>
        <w:rPr>
          <w:rFonts w:hint="eastAsia" w:ascii="Times New Roman" w:hAnsi="Times New Roman" w:eastAsia="仿宋_GB2312" w:cs="Microsoft JhengHei"/>
          <w:kern w:val="2"/>
          <w:sz w:val="32"/>
          <w:szCs w:val="32"/>
          <w:lang w:val="en-US" w:eastAsia="zh-CN" w:bidi="ar-SA"/>
        </w:rPr>
        <w:t>三、</w:t>
      </w:r>
      <w:r>
        <w:rPr>
          <w:rFonts w:hint="eastAsia" w:ascii="Times New Roman" w:hAnsi="Times New Roman" w:eastAsia="仿宋_GB2312" w:cs="Microsoft JhengHei"/>
          <w:sz w:val="32"/>
          <w:szCs w:val="32"/>
        </w:rPr>
        <w:t>甲方</w:t>
      </w:r>
      <w:r>
        <w:rPr>
          <w:rFonts w:hint="eastAsia" w:ascii="Times New Roman" w:hAnsi="Times New Roman" w:eastAsia="仿宋_GB2312" w:cs="Microsoft JhengHei"/>
          <w:sz w:val="32"/>
          <w:szCs w:val="32"/>
          <w:lang w:val="en-US" w:eastAsia="zh-CN"/>
        </w:rPr>
        <w:t>在指定岗位对乙方提出人才招聘需求并</w:t>
      </w:r>
      <w:r>
        <w:rPr>
          <w:rFonts w:hint="eastAsia" w:ascii="Times New Roman" w:hAnsi="Times New Roman" w:eastAsia="仿宋_GB2312" w:cs="Microsoft JhengHei"/>
          <w:sz w:val="32"/>
          <w:szCs w:val="32"/>
        </w:rPr>
        <w:t>于乙方提供</w:t>
      </w:r>
      <w:r>
        <w:rPr>
          <w:rFonts w:hint="eastAsia" w:ascii="Times New Roman" w:hAnsi="Times New Roman" w:eastAsia="仿宋_GB2312" w:cs="Microsoft JhengHei"/>
          <w:sz w:val="32"/>
          <w:szCs w:val="32"/>
          <w:lang w:val="en-US" w:eastAsia="zh-CN"/>
        </w:rPr>
        <w:t>相应</w:t>
      </w:r>
      <w:r>
        <w:rPr>
          <w:rFonts w:hint="eastAsia" w:ascii="Times New Roman" w:hAnsi="Times New Roman" w:eastAsia="仿宋_GB2312" w:cs="Microsoft JhengHei"/>
          <w:sz w:val="32"/>
          <w:szCs w:val="32"/>
        </w:rPr>
        <w:t>候选人简历之日起1个月内录用该候选人于</w:t>
      </w:r>
      <w:r>
        <w:rPr>
          <w:rFonts w:hint="eastAsia" w:ascii="Times New Roman" w:hAnsi="Times New Roman" w:eastAsia="仿宋_GB2312" w:cs="Microsoft JhengHei"/>
          <w:sz w:val="32"/>
          <w:szCs w:val="32"/>
          <w:lang w:val="en-US" w:eastAsia="zh-CN"/>
        </w:rPr>
        <w:t>同一指定</w:t>
      </w:r>
      <w:r>
        <w:rPr>
          <w:rFonts w:hint="eastAsia" w:ascii="Times New Roman" w:hAnsi="Times New Roman" w:eastAsia="仿宋_GB2312" w:cs="Microsoft JhengHei"/>
          <w:sz w:val="32"/>
          <w:szCs w:val="32"/>
        </w:rPr>
        <w:t>岗位的，甲方均应按本合同规定的服务费用支付给乙方，否则，乙方有权追究甲方的法律责任。</w:t>
      </w:r>
    </w:p>
    <w:p w14:paraId="0317110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rPr>
        <w:t>条 陈述和保证</w:t>
      </w:r>
    </w:p>
    <w:p w14:paraId="26F62F5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一、乙方保证具有</w:t>
      </w:r>
      <w:r>
        <w:rPr>
          <w:rFonts w:hint="eastAsia" w:ascii="仿宋_GB2312" w:hAnsi="仿宋_GB2312" w:eastAsia="仿宋_GB2312" w:cs="仿宋_GB2312"/>
          <w:sz w:val="32"/>
          <w:szCs w:val="32"/>
          <w:highlight w:val="none"/>
          <w:lang w:val="en-US" w:eastAsia="zh-CN"/>
        </w:rPr>
        <w:t>人力资源</w:t>
      </w:r>
      <w:r>
        <w:rPr>
          <w:rFonts w:hint="eastAsia" w:ascii="仿宋_GB2312" w:hAnsi="仿宋_GB2312" w:eastAsia="仿宋_GB2312" w:cs="仿宋_GB2312"/>
          <w:sz w:val="32"/>
          <w:szCs w:val="32"/>
          <w:highlight w:val="none"/>
        </w:rPr>
        <w:t>服务资质，并</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合法正当方式执行本合同事项，保证不得有提供虚假信息或作虚假承诺的情况。</w:t>
      </w:r>
    </w:p>
    <w:p w14:paraId="4D83BE2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二、当甲方未按照本协议第</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条规定按时支付乙方每阶段的服务费时，乙方有权暂停或终止提供服务。</w:t>
      </w:r>
    </w:p>
    <w:p w14:paraId="5221E36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三、除非甲方已明确拒绝乙方推荐的候选人员，否则乙方不得再将此人推荐给其他公司。</w:t>
      </w:r>
    </w:p>
    <w:p w14:paraId="791F054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四、乙方保证将甲方提供的聘用要求、工作实情、福利津贴等，如实转告给应聘者，保证应聘者了解自己的工作环境和地点，不得存在捏造或夸大，若应聘者</w:t>
      </w:r>
      <w:r>
        <w:rPr>
          <w:rFonts w:hint="eastAsia" w:ascii="仿宋_GB2312" w:hAnsi="仿宋_GB2312" w:eastAsia="仿宋_GB2312" w:cs="仿宋_GB2312"/>
          <w:sz w:val="32"/>
          <w:szCs w:val="32"/>
          <w:highlight w:val="none"/>
          <w:lang w:val="en-US" w:eastAsia="zh-CN"/>
        </w:rPr>
        <w:t>在正</w:t>
      </w:r>
      <w:r>
        <w:rPr>
          <w:rFonts w:hint="eastAsia" w:ascii="Times New Roman" w:hAnsi="Times New Roman" w:eastAsia="仿宋_GB2312" w:cs="Microsoft JhengHei"/>
          <w:sz w:val="32"/>
          <w:szCs w:val="32"/>
          <w:highlight w:val="none"/>
        </w:rPr>
        <w:t>式</w:t>
      </w:r>
      <w:r>
        <w:rPr>
          <w:rFonts w:hint="eastAsia" w:ascii="Times New Roman" w:hAnsi="Times New Roman" w:eastAsia="仿宋_GB2312" w:cs="Microsoft JhengHei"/>
          <w:sz w:val="32"/>
          <w:szCs w:val="32"/>
          <w:highlight w:val="none"/>
          <w:lang w:val="en-US" w:eastAsia="zh-CN"/>
        </w:rPr>
        <w:t>入职当天起</w:t>
      </w:r>
      <w:r>
        <w:rPr>
          <w:rFonts w:hint="eastAsia" w:ascii="Times New Roman" w:hAnsi="Times New Roman" w:eastAsia="仿宋_GB2312" w:cs="Microsoft JhengHei"/>
          <w:sz w:val="32"/>
          <w:szCs w:val="32"/>
          <w:highlight w:val="none"/>
        </w:rPr>
        <w:t>3个工作日</w:t>
      </w:r>
      <w:r>
        <w:rPr>
          <w:rFonts w:hint="eastAsia" w:ascii="Times New Roman" w:hAnsi="Times New Roman" w:eastAsia="仿宋_GB2312" w:cs="Microsoft JhengHei"/>
          <w:sz w:val="32"/>
          <w:szCs w:val="32"/>
          <w:highlight w:val="none"/>
          <w:lang w:eastAsia="zh-CN"/>
        </w:rPr>
        <w:t>（</w:t>
      </w:r>
      <w:r>
        <w:rPr>
          <w:rFonts w:hint="eastAsia" w:ascii="Times New Roman" w:hAnsi="Times New Roman" w:eastAsia="仿宋_GB2312" w:cs="仿宋_GB2312"/>
          <w:sz w:val="32"/>
          <w:szCs w:val="32"/>
          <w:highlight w:val="none"/>
          <w:lang w:val="en-US" w:eastAsia="zh-CN"/>
        </w:rPr>
        <w:t>每个工作日实际到岗必须超过半天</w:t>
      </w:r>
      <w:r>
        <w:rPr>
          <w:rFonts w:hint="eastAsia" w:ascii="Times New Roman" w:hAnsi="Times New Roman" w:eastAsia="仿宋_GB2312" w:cs="Microsoft JhengHei"/>
          <w:sz w:val="32"/>
          <w:szCs w:val="32"/>
          <w:highlight w:val="none"/>
          <w:lang w:val="en-US" w:eastAsia="zh-CN"/>
        </w:rPr>
        <w:t>）后</w:t>
      </w:r>
      <w:r>
        <w:rPr>
          <w:rFonts w:hint="eastAsia" w:ascii="仿宋_GB2312" w:hAnsi="仿宋_GB2312" w:eastAsia="仿宋_GB2312" w:cs="仿宋_GB2312"/>
          <w:sz w:val="32"/>
          <w:szCs w:val="32"/>
          <w:highlight w:val="none"/>
        </w:rPr>
        <w:t>因乙方捏造或夸大</w:t>
      </w:r>
      <w:r>
        <w:rPr>
          <w:rFonts w:hint="eastAsia" w:ascii="仿宋_GB2312" w:hAnsi="仿宋_GB2312" w:eastAsia="仿宋_GB2312" w:cs="仿宋_GB2312"/>
          <w:sz w:val="32"/>
          <w:szCs w:val="32"/>
          <w:highlight w:val="none"/>
          <w:lang w:val="en-US" w:eastAsia="zh-CN"/>
        </w:rPr>
        <w:t>岗位</w:t>
      </w:r>
      <w:r>
        <w:rPr>
          <w:rFonts w:hint="eastAsia" w:ascii="仿宋_GB2312" w:hAnsi="仿宋_GB2312" w:eastAsia="仿宋_GB2312" w:cs="仿宋_GB2312"/>
          <w:sz w:val="32"/>
          <w:szCs w:val="32"/>
          <w:highlight w:val="none"/>
        </w:rPr>
        <w:t>福利津贴</w:t>
      </w:r>
      <w:r>
        <w:rPr>
          <w:rFonts w:hint="eastAsia" w:ascii="仿宋_GB2312" w:hAnsi="仿宋_GB2312" w:eastAsia="仿宋_GB2312" w:cs="仿宋_GB2312"/>
          <w:sz w:val="32"/>
          <w:szCs w:val="32"/>
          <w:highlight w:val="none"/>
          <w:lang w:val="en-US" w:eastAsia="zh-CN"/>
        </w:rPr>
        <w:t>或劳务待遇离职</w:t>
      </w:r>
      <w:r>
        <w:rPr>
          <w:rFonts w:hint="eastAsia" w:ascii="仿宋_GB2312" w:hAnsi="仿宋_GB2312" w:eastAsia="仿宋_GB2312" w:cs="仿宋_GB2312"/>
          <w:sz w:val="32"/>
          <w:szCs w:val="32"/>
          <w:highlight w:val="none"/>
        </w:rPr>
        <w:t>的，乙方应免费为甲方补充</w:t>
      </w:r>
      <w:r>
        <w:rPr>
          <w:rFonts w:hint="eastAsia" w:ascii="仿宋_GB2312" w:hAnsi="仿宋_GB2312" w:eastAsia="仿宋_GB2312" w:cs="仿宋_GB2312"/>
          <w:sz w:val="32"/>
          <w:szCs w:val="32"/>
          <w:highlight w:val="none"/>
          <w:lang w:val="en-US" w:eastAsia="zh-CN"/>
        </w:rPr>
        <w:t>同等数量的合格</w:t>
      </w:r>
      <w:r>
        <w:rPr>
          <w:rFonts w:hint="eastAsia" w:ascii="仿宋_GB2312" w:hAnsi="仿宋_GB2312" w:eastAsia="仿宋_GB2312" w:cs="仿宋_GB2312"/>
          <w:color w:val="000000" w:themeColor="text1"/>
          <w:sz w:val="32"/>
          <w:szCs w:val="32"/>
          <w:highlight w:val="none"/>
          <w14:textFill>
            <w14:solidFill>
              <w14:schemeClr w14:val="tx1"/>
            </w14:solidFill>
          </w14:textFill>
        </w:rPr>
        <w:t>候选人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5A32D8D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五、为支持本项目</w:t>
      </w:r>
      <w:r>
        <w:rPr>
          <w:rFonts w:hint="default" w:ascii="仿宋_GB2312" w:hAnsi="仿宋_GB2312" w:eastAsia="仿宋_GB2312" w:cs="仿宋_GB2312"/>
          <w:sz w:val="32"/>
          <w:szCs w:val="32"/>
          <w:highlight w:val="none"/>
          <w:lang w:val="en-US" w:eastAsia="zh-CN"/>
        </w:rPr>
        <w:t>招聘</w:t>
      </w:r>
      <w:r>
        <w:rPr>
          <w:rFonts w:hint="eastAsia" w:ascii="仿宋_GB2312" w:hAnsi="仿宋_GB2312" w:eastAsia="仿宋_GB2312" w:cs="仿宋_GB2312"/>
          <w:sz w:val="32"/>
          <w:szCs w:val="32"/>
          <w:highlight w:val="none"/>
          <w:lang w:val="en-US" w:eastAsia="zh-CN"/>
        </w:rPr>
        <w:t>工作并协助提升甲方雇主品牌形象，乙方可</w:t>
      </w:r>
      <w:r>
        <w:rPr>
          <w:rFonts w:hint="eastAsia" w:ascii="仿宋_GB2312" w:hAnsi="仿宋_GB2312" w:eastAsia="仿宋_GB2312" w:cs="仿宋_GB2312"/>
          <w:strike w:val="0"/>
          <w:sz w:val="32"/>
          <w:szCs w:val="32"/>
          <w:highlight w:val="none"/>
          <w:lang w:val="en-US" w:eastAsia="zh-CN"/>
        </w:rPr>
        <w:t>在本合同有效期内取得甲方书面同意的情况下，免费在第三方平台发布经甲方确认的岗位招聘信息。未经甲方明确授权，乙方不得擅自使用甲方</w:t>
      </w:r>
      <w:r>
        <w:rPr>
          <w:rFonts w:hint="eastAsia" w:ascii="仿宋_GB2312" w:hAnsi="仿宋_GB2312" w:eastAsia="仿宋_GB2312" w:cs="仿宋_GB2312"/>
          <w:strike w:val="0"/>
          <w:sz w:val="32"/>
          <w:szCs w:val="32"/>
          <w:highlight w:val="none"/>
        </w:rPr>
        <w:t>商号、司标、旗标及甲方拥有的商标、著作权等知识产权</w:t>
      </w:r>
      <w:r>
        <w:rPr>
          <w:rFonts w:hint="eastAsia" w:ascii="仿宋_GB2312" w:hAnsi="仿宋_GB2312" w:eastAsia="仿宋_GB2312" w:cs="仿宋_GB2312"/>
          <w:strike w:val="0"/>
          <w:sz w:val="32"/>
          <w:szCs w:val="32"/>
          <w:highlight w:val="none"/>
          <w:lang w:val="en-US" w:eastAsia="zh-CN"/>
        </w:rPr>
        <w:t>进行宣传、推广或展示活动。本合</w:t>
      </w:r>
      <w:r>
        <w:rPr>
          <w:rFonts w:hint="eastAsia" w:ascii="仿宋_GB2312" w:hAnsi="仿宋_GB2312" w:eastAsia="仿宋_GB2312" w:cs="仿宋_GB2312"/>
          <w:sz w:val="32"/>
          <w:szCs w:val="32"/>
          <w:highlight w:val="none"/>
          <w:lang w:val="en-US" w:eastAsia="zh-CN"/>
        </w:rPr>
        <w:t>同有效期届满后，乙方应立即停止使用甲方任何标识及相关知识产权。如因乙方超越授权范围使用甲方知识产权的，甲方有权要求乙方承担违约及损害赔偿责任。</w:t>
      </w:r>
    </w:p>
    <w:p w14:paraId="552D00C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六、根据甲方需要，甲方有权随时查阅乙方</w:t>
      </w:r>
      <w:r>
        <w:rPr>
          <w:rFonts w:hint="default"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lang w:val="en-US" w:eastAsia="zh-CN"/>
        </w:rPr>
        <w:t>过程记录或在甲方接受政府主管部门、上级单位、审计或内外部专项检查等工作期间，乙方需积极配合甲方提供相关资料。</w:t>
      </w:r>
    </w:p>
    <w:p w14:paraId="458D946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 保密责任</w:t>
      </w:r>
    </w:p>
    <w:p w14:paraId="63829C7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eastAsia="仿宋_GB2312" w:cs="Microsoft JhengHei" w:asciiTheme="minorEastAsia" w:hAnsiTheme="minorEastAsia"/>
          <w:sz w:val="32"/>
          <w:szCs w:val="32"/>
        </w:rPr>
      </w:pPr>
      <w:r>
        <w:rPr>
          <w:rFonts w:hint="eastAsia" w:eastAsia="仿宋_GB2312" w:cs="Microsoft JhengHei" w:asciiTheme="minorEastAsia" w:hAnsiTheme="minorEastAsia"/>
          <w:sz w:val="32"/>
          <w:szCs w:val="32"/>
        </w:rPr>
        <w:t>一、乙方提供的候选人简历，甲方需妥善保管；并以遵守法律法规规定的方式使用候选人简历资料，因不当利用候选人简历资料给乙方</w:t>
      </w:r>
      <w:r>
        <w:rPr>
          <w:rFonts w:hint="eastAsia" w:eastAsia="仿宋_GB2312" w:cs="Microsoft JhengHei" w:asciiTheme="minorEastAsia" w:hAnsiTheme="minorEastAsia"/>
          <w:sz w:val="32"/>
          <w:szCs w:val="32"/>
          <w:lang w:eastAsia="zh-CN"/>
        </w:rPr>
        <w:t>造成</w:t>
      </w:r>
      <w:r>
        <w:rPr>
          <w:rFonts w:hint="eastAsia" w:eastAsia="仿宋_GB2312" w:cs="Microsoft JhengHei" w:asciiTheme="minorEastAsia" w:hAnsiTheme="minorEastAsia"/>
          <w:sz w:val="32"/>
          <w:szCs w:val="32"/>
        </w:rPr>
        <w:t>实际经济损失的，甲方应负赔偿责任。</w:t>
      </w:r>
    </w:p>
    <w:p w14:paraId="24BA514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eastAsia="仿宋_GB2312" w:cs="Microsoft JhengHei" w:asciiTheme="minorEastAsia" w:hAnsiTheme="minorEastAsia"/>
          <w:sz w:val="32"/>
          <w:szCs w:val="32"/>
        </w:rPr>
      </w:pPr>
      <w:r>
        <w:rPr>
          <w:rFonts w:hint="eastAsia" w:eastAsia="仿宋_GB2312" w:cs="Microsoft JhengHei" w:asciiTheme="minorEastAsia" w:hAnsiTheme="minorEastAsia"/>
          <w:sz w:val="32"/>
          <w:szCs w:val="32"/>
        </w:rPr>
        <w:t>二、甲方应对乙方提供的人员资料保密，不得将乙方提供的人员资料用于</w:t>
      </w:r>
      <w:r>
        <w:rPr>
          <w:rFonts w:hint="eastAsia" w:eastAsia="仿宋_GB2312" w:cs="Microsoft JhengHei" w:asciiTheme="minorEastAsia" w:hAnsiTheme="minorEastAsia"/>
          <w:sz w:val="32"/>
          <w:szCs w:val="32"/>
          <w:lang w:val="en-US" w:eastAsia="zh-CN"/>
        </w:rPr>
        <w:t>甲方正当经营管理无关的用途</w:t>
      </w:r>
      <w:r>
        <w:rPr>
          <w:rFonts w:hint="eastAsia" w:eastAsia="仿宋_GB2312" w:cs="Microsoft JhengHei" w:asciiTheme="minorEastAsia" w:hAnsiTheme="minorEastAsia"/>
          <w:sz w:val="32"/>
          <w:szCs w:val="32"/>
        </w:rPr>
        <w:t>，不得将乙方提供的人员资料提供给甲方之外的任何第三方</w:t>
      </w:r>
      <w:r>
        <w:rPr>
          <w:rFonts w:hint="eastAsia" w:eastAsia="仿宋_GB2312" w:cs="Microsoft JhengHei" w:asciiTheme="minorEastAsia" w:hAnsiTheme="minorEastAsia"/>
          <w:sz w:val="32"/>
          <w:szCs w:val="32"/>
          <w:lang w:eastAsia="zh-CN"/>
        </w:rPr>
        <w:t>（</w:t>
      </w:r>
      <w:r>
        <w:rPr>
          <w:rFonts w:hint="eastAsia" w:eastAsia="仿宋_GB2312" w:cs="Microsoft JhengHei" w:asciiTheme="minorEastAsia" w:hAnsiTheme="minorEastAsia"/>
          <w:sz w:val="32"/>
          <w:szCs w:val="32"/>
        </w:rPr>
        <w:t>包括个人和法人</w:t>
      </w:r>
      <w:r>
        <w:rPr>
          <w:rFonts w:hint="eastAsia" w:eastAsia="仿宋_GB2312" w:cs="Microsoft JhengHei" w:asciiTheme="minorEastAsia" w:hAnsiTheme="minorEastAsia"/>
          <w:sz w:val="32"/>
          <w:szCs w:val="32"/>
          <w:lang w:eastAsia="zh-CN"/>
        </w:rPr>
        <w:t>）</w:t>
      </w:r>
      <w:r>
        <w:rPr>
          <w:rFonts w:hint="eastAsia" w:eastAsia="仿宋_GB2312" w:cs="Microsoft JhengHei" w:asciiTheme="minorEastAsia" w:hAnsiTheme="minorEastAsia"/>
          <w:sz w:val="32"/>
          <w:szCs w:val="32"/>
        </w:rPr>
        <w:t>。</w:t>
      </w:r>
    </w:p>
    <w:p w14:paraId="1ACD2A4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eastAsia="仿宋_GB2312" w:cs="Microsoft JhengHei" w:asciiTheme="minorEastAsia" w:hAnsiTheme="minorEastAsia"/>
          <w:sz w:val="32"/>
          <w:szCs w:val="32"/>
        </w:rPr>
      </w:pPr>
      <w:r>
        <w:rPr>
          <w:rFonts w:hint="eastAsia" w:eastAsia="仿宋_GB2312" w:cs="Microsoft JhengHei" w:asciiTheme="minorEastAsia" w:hAnsiTheme="minorEastAsia"/>
          <w:sz w:val="32"/>
          <w:szCs w:val="32"/>
        </w:rPr>
        <w:t>三、乙方应对本合同条款以及在履行本合同过程中知悉或接收到的甲方非公开信息进行严格保密。</w:t>
      </w:r>
    </w:p>
    <w:p w14:paraId="4BDA8CB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条 违约责任</w:t>
      </w:r>
    </w:p>
    <w:p w14:paraId="6C88B9F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投标及履约材料</w:t>
      </w:r>
    </w:p>
    <w:p w14:paraId="6EB03EB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乙方应确保其在投标、成交、立约履约任一阶段中向甲方提交的任一材料（包括但不限于投标文件、本合同、合同谈判阶段乙方做出的附加承诺或其他形式提出的资料材料等）均真实、准确、有效。</w:t>
      </w:r>
    </w:p>
    <w:p w14:paraId="6D9D308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甲方有权在项目成交未签约及本合同签订后随时对上述任一材料的真实性、有效性进行复核。如发现任何虚假、误导性陈述、与投标承诺不相符的或不符合甲方招标文件要求的，均视为乙方严重违约。</w:t>
      </w:r>
    </w:p>
    <w:p w14:paraId="3D50D52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信息保密</w:t>
      </w:r>
    </w:p>
    <w:p w14:paraId="7FC04FA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乙方承诺并保证其有义务不得向任何第三方透露甲方保密信息，该保密信息指合同履行过程中知悉或所获得的与甲方有关的任何口头、书面或其他形式的不公开信息，包括但不限于甲方经营生产状况、客户名单、员工信息、业务流程、体系文件、财务数据、商业计划、商品构思、开发计划和其他递交时约定为保密信息的资料。甲方书面请求或准予披露的情形除外。如乙方泄密的，均视为乙方严重违约</w:t>
      </w:r>
      <w:r>
        <w:rPr>
          <w:rFonts w:hint="eastAsia" w:ascii="仿宋_GB2312" w:hAnsi="仿宋_GB2312" w:eastAsia="仿宋_GB2312" w:cs="仿宋_GB2312"/>
          <w:sz w:val="32"/>
          <w:szCs w:val="32"/>
          <w:lang w:eastAsia="zh-CN"/>
        </w:rPr>
        <w:t>。</w:t>
      </w:r>
    </w:p>
    <w:p w14:paraId="51C748D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乙方在处理候选人个人信息时，应遵守《中华人民共和国个人信息保护法》等相关法律法规，采取技术和管理措施保障信息安全。如因乙方违规处理个人信息导致甲方被监管处罚、诉讼或声誉受损，视乙方严重违约，同时需承担全部法律责任及赔偿责任。</w:t>
      </w:r>
    </w:p>
    <w:p w14:paraId="1DA1921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（三）其他违约情形</w:t>
      </w:r>
    </w:p>
    <w:p w14:paraId="1A558D3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在本合同有效期限内及本合同解除、终止或有效期限届满后一年内，乙方不得劝诱或推荐甲方或甲方关联企业员工至其他公司、企业或团体任职，如有违反，</w:t>
      </w:r>
      <w:r>
        <w:rPr>
          <w:rFonts w:hint="eastAsia" w:ascii="仿宋_GB2312" w:hAnsi="仿宋_GB2312" w:eastAsia="仿宋_GB2312" w:cs="仿宋_GB2312"/>
          <w:sz w:val="32"/>
          <w:szCs w:val="32"/>
          <w:lang w:val="en-US" w:eastAsia="zh-CN"/>
        </w:rPr>
        <w:t>均视为乙方严重违约，同时</w:t>
      </w:r>
      <w:r>
        <w:rPr>
          <w:rFonts w:hint="eastAsia" w:ascii="仿宋_GB2312" w:hAnsi="仿宋_GB2312" w:eastAsia="仿宋_GB2312" w:cs="仿宋_GB2312"/>
          <w:sz w:val="32"/>
          <w:szCs w:val="32"/>
        </w:rPr>
        <w:t>乙方应</w:t>
      </w:r>
      <w:r>
        <w:rPr>
          <w:rFonts w:hint="eastAsia" w:ascii="仿宋_GB2312" w:hAnsi="仿宋_GB2312" w:eastAsia="仿宋_GB2312" w:cs="仿宋_GB2312"/>
          <w:sz w:val="32"/>
          <w:szCs w:val="32"/>
          <w:lang w:val="en-US" w:eastAsia="zh-CN"/>
        </w:rPr>
        <w:t>赔偿</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因此</w:t>
      </w:r>
      <w:r>
        <w:rPr>
          <w:rFonts w:hint="eastAsia" w:ascii="仿宋_GB2312" w:hAnsi="仿宋_GB2312" w:eastAsia="仿宋_GB2312" w:cs="仿宋_GB2312"/>
          <w:sz w:val="32"/>
          <w:szCs w:val="32"/>
        </w:rPr>
        <w:t>造成的所有经济损失，包括</w:t>
      </w:r>
      <w:r>
        <w:rPr>
          <w:rFonts w:hint="eastAsia" w:ascii="仿宋_GB2312" w:hAnsi="仿宋_GB2312" w:eastAsia="仿宋_GB2312" w:cs="仿宋_GB2312"/>
          <w:sz w:val="32"/>
          <w:szCs w:val="32"/>
          <w:highlight w:val="none"/>
        </w:rPr>
        <w:t>但不限于甲方为填补岗位空缺所发生的合理人力成本</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rPr>
        <w:t>。</w:t>
      </w:r>
    </w:p>
    <w:p w14:paraId="5F185CE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乙方保证其提供给甲方的服务内容不存在任何违</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违规或侵害第三</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合法权益的情形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若乙方出现以上情形的，视为严重违约，同时需承担全部法律责任。</w:t>
      </w:r>
    </w:p>
    <w:p w14:paraId="109F740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乙方不得以甲方、某互联网银行名义或利用本项目合作关系等任何形式，向候选人（含应聘者、入职员工）收取任何费用，包括但不限于中介费、推荐费、培训费、服装费、押金等。若乙方发生上述行为，视为严重违约，同时需承担全部法律责任。</w:t>
      </w:r>
    </w:p>
    <w:p w14:paraId="443321C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违约责任承担</w:t>
      </w:r>
    </w:p>
    <w:p w14:paraId="2E359F6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如乙方发生</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任一违约行为，甲方有权采取以下部分或全部措施而不承担任何不利后果：</w:t>
      </w:r>
    </w:p>
    <w:p w14:paraId="2B9056D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（1）即时解除本合同。</w:t>
      </w:r>
    </w:p>
    <w:p w14:paraId="3E8BA9A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（2）三年内不得参与甲方同类项目招标采购。</w:t>
      </w:r>
    </w:p>
    <w:p w14:paraId="136389E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（3）要求乙方支付合同总价款10%的违约金。</w:t>
      </w:r>
    </w:p>
    <w:p w14:paraId="0F1D170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（4）给甲方或甲方客户、甲方员工因此造成损失的，乙方应另行承担全部赔偿责任。</w:t>
      </w:r>
    </w:p>
    <w:p w14:paraId="44B14B3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除本协议另有约定外，如任何一方违反本</w:t>
      </w:r>
      <w:r>
        <w:rPr>
          <w:rFonts w:hint="eastAsia" w:ascii="仿宋_GB2312" w:hAnsi="仿宋_GB2312" w:eastAsia="仿宋_GB2312" w:cs="仿宋_GB2312"/>
          <w:sz w:val="32"/>
          <w:szCs w:val="32"/>
          <w:lang w:val="en-US" w:eastAsia="zh-CN"/>
        </w:rPr>
        <w:t>合同其他</w:t>
      </w:r>
      <w:r>
        <w:rPr>
          <w:rFonts w:hint="eastAsia" w:ascii="仿宋_GB2312" w:hAnsi="仿宋_GB2312" w:eastAsia="仿宋_GB2312" w:cs="仿宋_GB2312"/>
          <w:sz w:val="32"/>
          <w:szCs w:val="32"/>
        </w:rPr>
        <w:t>义务，违约方在收到守约方书面通知之日起十日内改正</w:t>
      </w:r>
      <w:r>
        <w:rPr>
          <w:rFonts w:hint="eastAsia" w:ascii="仿宋_GB2312" w:hAnsi="仿宋_GB2312" w:eastAsia="仿宋_GB2312" w:cs="仿宋_GB2312"/>
          <w:sz w:val="32"/>
          <w:szCs w:val="32"/>
          <w:lang w:val="en-US" w:eastAsia="zh-CN"/>
        </w:rPr>
        <w:t>违约</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eastAsia="zh-CN"/>
        </w:rPr>
        <w:t>。</w:t>
      </w:r>
    </w:p>
    <w:p w14:paraId="60A0088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 不可抗力</w:t>
      </w:r>
    </w:p>
    <w:p w14:paraId="7674D53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由于不可抗力事件影响本合同履行时，双方均可按照不可抗力影响部分或全部免责。但遭遇不可抗力的一方应将事故情况及时通知对方，以减轻可能给对方造成的损失，并应在合理期限内提供相关证明给对方。</w:t>
      </w:r>
    </w:p>
    <w:p w14:paraId="7B23E66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二、不可抗力事件是指当事人不能预见、不能避免并不能克服的客观情况，包括地震、洪水、火灾等自然灾害和战争、罢工、骚乱等社会原因，特别是政府行为，政府政策、法律和行政措施的变化。</w:t>
      </w:r>
    </w:p>
    <w:p w14:paraId="2B4B1EB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cs="Microsoft JhengHei" w:asciiTheme="minorEastAsia" w:hAnsiTheme="minorEastAsia"/>
          <w:sz w:val="32"/>
          <w:szCs w:val="32"/>
        </w:rPr>
      </w:pPr>
      <w:r>
        <w:rPr>
          <w:rFonts w:hint="eastAsia" w:ascii="仿宋_GB2312" w:hAnsi="仿宋_GB2312" w:eastAsia="仿宋_GB2312" w:cs="仿宋_GB2312"/>
          <w:sz w:val="32"/>
          <w:szCs w:val="32"/>
        </w:rPr>
        <w:t>三、不可抗力事件超过三十日的，双方均得解除本合同。</w:t>
      </w:r>
    </w:p>
    <w:p w14:paraId="7BE7155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 准据法与争议解决</w:t>
      </w:r>
    </w:p>
    <w:p w14:paraId="6B2AC54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一、本合同的解释适用中华人民共和国相关法律。</w:t>
      </w:r>
    </w:p>
    <w:p w14:paraId="62DE4B3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任何起因于本合同与本合同有关或与本合同的解释、违约、终止或效力有关的争议或权利要求，都应由双方通过友好协商解决。如果双方在协商开始后三十天内通过协商不能解决争议，任何一方可将争议提交至甲方所在地人民法院诉讼解决。</w:t>
      </w:r>
    </w:p>
    <w:p w14:paraId="04F87FE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default" w:ascii="黑体" w:hAnsi="黑体" w:eastAsia="黑体" w:cs="黑体"/>
          <w:b w:val="0"/>
          <w:bCs w:val="0"/>
          <w:sz w:val="32"/>
          <w:szCs w:val="32"/>
        </w:rPr>
        <w:t>条 合同效力</w:t>
      </w:r>
      <w:r>
        <w:rPr>
          <w:rFonts w:hint="eastAsia" w:ascii="黑体" w:hAnsi="黑体" w:eastAsia="黑体" w:cs="黑体"/>
          <w:b w:val="0"/>
          <w:bCs w:val="0"/>
          <w:sz w:val="32"/>
          <w:szCs w:val="32"/>
          <w:lang w:val="en-US" w:eastAsia="zh-CN"/>
        </w:rPr>
        <w:t>及其他</w:t>
      </w:r>
    </w:p>
    <w:p w14:paraId="6E917BB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trike w:val="0"/>
          <w:sz w:val="32"/>
          <w:szCs w:val="32"/>
          <w:lang w:eastAsia="zh-CN"/>
        </w:rPr>
      </w:pPr>
      <w:r>
        <w:rPr>
          <w:rFonts w:hint="eastAsia" w:ascii="仿宋_GB2312" w:hAnsi="仿宋_GB2312" w:eastAsia="仿宋_GB2312" w:cs="仿宋_GB2312"/>
          <w:sz w:val="32"/>
          <w:szCs w:val="32"/>
        </w:rPr>
        <w:t>一、</w:t>
      </w:r>
      <w:r>
        <w:rPr>
          <w:rFonts w:hint="eastAsia" w:ascii="Times New Roman" w:hAnsi="Times New Roman" w:eastAsia="仿宋_GB2312" w:cs="仿宋_GB2312"/>
          <w:sz w:val="32"/>
          <w:szCs w:val="32"/>
        </w:rPr>
        <w:t>本合同自双方授权代表签字并加盖公章后生效，本合同有效期为</w:t>
      </w:r>
      <w:r>
        <w:rPr>
          <w:rFonts w:hint="eastAsia" w:ascii="Times New Roman" w:hAnsi="Times New Roman" w:eastAsia="仿宋_GB2312" w:cs="仿宋_GB2312"/>
          <w:sz w:val="32"/>
          <w:szCs w:val="32"/>
          <w:u w:val="single"/>
          <w:lang w:val="en-US" w:eastAsia="zh-CN"/>
        </w:rPr>
        <w:t>2026年  月  日至2028年  月  日</w:t>
      </w:r>
      <w:r>
        <w:rPr>
          <w:rFonts w:hint="eastAsia" w:ascii="Times New Roman" w:hAnsi="Times New Roman" w:eastAsia="仿宋_GB2312" w:cs="仿宋_GB2312"/>
          <w:sz w:val="32"/>
          <w:szCs w:val="32"/>
          <w:highlight w:val="none"/>
        </w:rPr>
        <w:t>。</w:t>
      </w:r>
    </w:p>
    <w:p w14:paraId="200B041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trike w:val="0"/>
          <w:sz w:val="32"/>
          <w:szCs w:val="32"/>
        </w:rPr>
      </w:pPr>
      <w:r>
        <w:rPr>
          <w:rFonts w:hint="eastAsia" w:ascii="仿宋_GB2312" w:hAnsi="仿宋_GB2312" w:eastAsia="仿宋_GB2312" w:cs="仿宋_GB2312"/>
          <w:strike w:val="0"/>
          <w:sz w:val="32"/>
          <w:szCs w:val="32"/>
        </w:rPr>
        <w:t>为确保本项目顺利运行，保障甲方客户、甲方员工的合法权益，为甲方项目提供配套服务支持，乙方同意当本项目合同到期时，如出现因项目招标导致本合同所述服务产生必要顺延，服务期限自动顺延至新中标单位正式承接本项目之日止。乙方应予以全力配合，在合同顺延期内维持服务的标准不低于本合同期内承诺的标准，顺延期间的服务费用按本合同单价及实际发生量据实结算。同时，乙方承诺，如发生本项目合同到期重新招标而乙方未能继续中标的情形，乙方按照甲方要求执行及时、充分、必要的工作交接，绝不损害甲方及甲方客户、员工及其他任意善意第三方的合法权益。</w:t>
      </w:r>
    </w:p>
    <w:p w14:paraId="4B95370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二、本合同期满后，双方未了债权债务不受合同期满的影响，债务人应对债权人继续完成未了债务。</w:t>
      </w:r>
    </w:p>
    <w:p w14:paraId="542C617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三、合同正本一式肆份，双方各执贰份，均</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同等法律效力，经双方授权代表签字并加盖企业公章后生效。</w:t>
      </w:r>
    </w:p>
    <w:p w14:paraId="2AC2EB3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四、除非本合同另有规定或双方同意，否则本合同规定的一切通知、文件资料均应采用书面形式，送交对方的主要营业地址或双方为此而指定的其他地址。</w:t>
      </w:r>
    </w:p>
    <w:p w14:paraId="1BF02DE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五、以下文件均为本合同的有效组成部分，与合同正文具有同等法律效力。若合同附件与合同正文存在冲突的，双方均同意按照有利于甲方的条款执行。</w:t>
      </w:r>
    </w:p>
    <w:p w14:paraId="37B33D1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（一）甲方作为项目采购人发布的编号为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的招标文件。</w:t>
      </w:r>
    </w:p>
    <w:p w14:paraId="22D8D79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（二）乙方作为项目投标人对本项目招标做出实质响应的投标文件及其随附材料。</w:t>
      </w:r>
    </w:p>
    <w:p w14:paraId="581E4BB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（三）投标人在投标或标后合同谈判现场做出的由乙方投标代表实施的述标内容、述标文件及经乙方谈判代表签字确认的谈判记录。</w:t>
      </w:r>
    </w:p>
    <w:p w14:paraId="58CA867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（四）本合同附件（《供需双方廉洁互保协议》《深圳市鹏劳人力资源管理有限公司供应商环境及职业健康安全体系符合性承诺书》）</w:t>
      </w:r>
    </w:p>
    <w:p w14:paraId="26A9C62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六、本合同未尽事宜，由双方协商解决，形成书面补充协议，双方签字盖章后生效。</w:t>
      </w:r>
    </w:p>
    <w:p w14:paraId="5A23776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1DA8447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cs="Microsoft JhengHei" w:asciiTheme="minorEastAsia" w:hAnsiTheme="minorEastAsia"/>
          <w:sz w:val="32"/>
          <w:szCs w:val="32"/>
        </w:rPr>
      </w:pPr>
    </w:p>
    <w:p w14:paraId="74B2E7A3">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甲 方：</w:t>
      </w:r>
      <w:r>
        <w:rPr>
          <w:rFonts w:hint="eastAsia" w:ascii="仿宋_GB2312" w:hAnsi="仿宋_GB2312" w:eastAsia="仿宋_GB2312" w:cs="仿宋_GB2312"/>
          <w:smallCaps w:val="0"/>
          <w:sz w:val="24"/>
          <w:highlight w:val="none"/>
          <w:lang w:val="en-US" w:eastAsia="zh-CN"/>
        </w:rPr>
        <w:t xml:space="preserve">                           </w:t>
      </w:r>
      <w:r>
        <w:rPr>
          <w:rFonts w:hint="eastAsia" w:ascii="仿宋_GB2312" w:hAnsi="仿宋_GB2312" w:eastAsia="仿宋_GB2312" w:cs="仿宋_GB2312"/>
          <w:smallCaps w:val="0"/>
          <w:sz w:val="24"/>
          <w:highlight w:val="none"/>
        </w:rPr>
        <w:t xml:space="preserve">     乙  方：</w:t>
      </w:r>
    </w:p>
    <w:p w14:paraId="7D484C80">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法定代表人或授权代表：（签字）         法定代表人或授权代表：（签字）</w:t>
      </w:r>
    </w:p>
    <w:p w14:paraId="13533924">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日  期：</w:t>
      </w:r>
      <w:r>
        <w:rPr>
          <w:rFonts w:hint="eastAsia" w:ascii="仿宋_GB2312" w:hAnsi="仿宋_GB2312" w:eastAsia="仿宋_GB2312" w:cs="仿宋_GB2312"/>
          <w:smallCaps w:val="0"/>
          <w:sz w:val="24"/>
          <w:highlight w:val="none"/>
          <w:lang w:val="en-US" w:eastAsia="zh-CN"/>
        </w:rPr>
        <w:t xml:space="preserve">                </w:t>
      </w:r>
      <w:r>
        <w:rPr>
          <w:rFonts w:hint="eastAsia" w:ascii="仿宋_GB2312" w:hAnsi="仿宋_GB2312" w:eastAsia="仿宋_GB2312" w:cs="仿宋_GB2312"/>
          <w:smallCaps w:val="0"/>
          <w:sz w:val="24"/>
          <w:highlight w:val="none"/>
        </w:rPr>
        <w:t xml:space="preserve">               日  期：</w:t>
      </w:r>
    </w:p>
    <w:p w14:paraId="0A4F4AE8">
      <w:pPr>
        <w:widowControl/>
        <w:spacing w:line="240" w:lineRule="exact"/>
        <w:ind w:firstLine="420" w:firstLineChars="200"/>
        <w:rPr>
          <w:rFonts w:hint="eastAsia" w:ascii="仿宋" w:hAnsi="仿宋" w:eastAsia="仿宋" w:cs="仿宋"/>
          <w:szCs w:val="21"/>
          <w:highlight w:val="none"/>
        </w:rPr>
      </w:pPr>
    </w:p>
    <w:p w14:paraId="21E022EB">
      <w:pPr>
        <w:widowControl w:val="0"/>
        <w:spacing w:line="560" w:lineRule="exact"/>
        <w:ind w:firstLine="0" w:firstLineChars="0"/>
        <w:outlineLvl w:val="9"/>
        <w:rPr>
          <w:rFonts w:hint="eastAsia" w:cs="Microsoft JhengHei" w:asciiTheme="minorEastAsia" w:hAnsiTheme="minorEastAsia" w:eastAsiaTheme="minorEastAsia"/>
          <w:sz w:val="20"/>
          <w:szCs w:val="20"/>
        </w:rPr>
      </w:pPr>
      <w:bookmarkStart w:id="213" w:name="_Toc14272"/>
    </w:p>
    <w:p w14:paraId="0D31C24E">
      <w:pPr>
        <w:widowControl w:val="0"/>
        <w:spacing w:line="560" w:lineRule="exact"/>
        <w:ind w:firstLine="0" w:firstLineChars="0"/>
        <w:outlineLvl w:val="9"/>
        <w:rPr>
          <w:rFonts w:hint="eastAsia" w:cs="Microsoft JhengHei" w:asciiTheme="minorEastAsia" w:hAnsiTheme="minorEastAsia" w:eastAsiaTheme="minorEastAsia"/>
          <w:sz w:val="20"/>
          <w:szCs w:val="20"/>
        </w:rPr>
      </w:pPr>
      <w:r>
        <w:rPr>
          <w:rFonts w:hint="eastAsia" w:cs="Microsoft JhengHei" w:asciiTheme="minorEastAsia" w:hAnsiTheme="minorEastAsia" w:eastAsiaTheme="minorEastAsia"/>
          <w:sz w:val="20"/>
          <w:szCs w:val="20"/>
        </w:rPr>
        <w:br w:type="page"/>
      </w:r>
    </w:p>
    <w:p w14:paraId="2FBC836B">
      <w:pPr>
        <w:widowControl/>
        <w:spacing w:line="240" w:lineRule="exact"/>
        <w:ind w:firstLine="420" w:firstLineChars="200"/>
        <w:outlineLvl w:val="0"/>
        <w:rPr>
          <w:rFonts w:hint="eastAsia" w:ascii="仿宋_GB2312" w:hAnsi="仿宋_GB2312" w:eastAsia="仿宋_GB2312" w:cs="仿宋_GB2312"/>
          <w:szCs w:val="21"/>
          <w:highlight w:val="none"/>
        </w:rPr>
      </w:pPr>
      <w:bookmarkStart w:id="214" w:name="_Toc25552"/>
      <w:r>
        <w:rPr>
          <w:rFonts w:hint="eastAsia" w:ascii="仿宋_GB2312" w:hAnsi="仿宋_GB2312" w:eastAsia="仿宋_GB2312" w:cs="仿宋_GB2312"/>
          <w:szCs w:val="21"/>
          <w:highlight w:val="none"/>
        </w:rPr>
        <w:t>采购合同附件1：供需双方廉洁互保协议</w:t>
      </w:r>
      <w:bookmarkEnd w:id="213"/>
      <w:bookmarkEnd w:id="214"/>
    </w:p>
    <w:p w14:paraId="79CD512D">
      <w:pPr>
        <w:spacing w:line="400" w:lineRule="exact"/>
        <w:ind w:right="-512" w:rightChars="-244"/>
        <w:jc w:val="center"/>
        <w:rPr>
          <w:rFonts w:hint="eastAsia" w:ascii="方正小标宋简体" w:hAnsi="方正小标宋简体" w:eastAsia="方正小标宋简体" w:cs="方正小标宋简体"/>
          <w:sz w:val="36"/>
          <w:szCs w:val="36"/>
          <w:highlight w:val="none"/>
        </w:rPr>
      </w:pPr>
    </w:p>
    <w:p w14:paraId="6D170E96">
      <w:pPr>
        <w:spacing w:line="400" w:lineRule="exact"/>
        <w:ind w:right="-512" w:rightChars="-244"/>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供需双方廉洁互保协议</w:t>
      </w:r>
    </w:p>
    <w:p w14:paraId="2897846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u w:val="thick"/>
        </w:rPr>
      </w:pPr>
      <w:r>
        <w:rPr>
          <w:rFonts w:hint="eastAsia" w:ascii="仿宋_GB2312" w:hAnsi="仿宋_GB2312" w:eastAsia="仿宋_GB2312" w:cs="仿宋_GB2312"/>
          <w:sz w:val="24"/>
          <w:szCs w:val="24"/>
          <w:highlight w:val="none"/>
        </w:rPr>
        <w:t>甲方：</w:t>
      </w:r>
      <w:r>
        <w:rPr>
          <w:rFonts w:hint="eastAsia" w:ascii="仿宋_GB2312" w:hAnsi="仿宋_GB2312" w:eastAsia="仿宋_GB2312" w:cs="仿宋_GB2312"/>
          <w:sz w:val="24"/>
          <w:szCs w:val="24"/>
          <w:highlight w:val="none"/>
          <w:u w:val="single"/>
        </w:rPr>
        <w:t>深圳市鹏劳人力资源管理有限公司</w:t>
      </w:r>
    </w:p>
    <w:p w14:paraId="57BF639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u w:val="thick"/>
        </w:rPr>
      </w:pPr>
      <w:r>
        <w:rPr>
          <w:rFonts w:hint="eastAsia" w:ascii="仿宋_GB2312" w:hAnsi="仿宋_GB2312" w:eastAsia="仿宋_GB2312" w:cs="仿宋_GB2312"/>
          <w:sz w:val="24"/>
          <w:szCs w:val="24"/>
          <w:highlight w:val="none"/>
        </w:rPr>
        <w:t>乙方：</w:t>
      </w:r>
      <w:r>
        <w:rPr>
          <w:rFonts w:hint="eastAsia" w:ascii="仿宋_GB2312" w:hAnsi="仿宋_GB2312" w:eastAsia="仿宋_GB2312" w:cs="仿宋_GB2312"/>
          <w:sz w:val="24"/>
          <w:szCs w:val="24"/>
          <w:highlight w:val="none"/>
          <w:u w:val="single"/>
        </w:rPr>
        <w:t xml:space="preserve">                             </w:t>
      </w:r>
    </w:p>
    <w:p w14:paraId="645D9C6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为规范双方业务往来活动，建立诚实守信的商务合作关系，共同维护双方合法权益，防止违规违纪行为发生，经友好协商，双方就业务往来中的廉洁事宜达成此互保协议。</w:t>
      </w:r>
    </w:p>
    <w:p w14:paraId="764727B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第一条  甲乙双方共同的权利和义务：</w:t>
      </w:r>
    </w:p>
    <w:p w14:paraId="22CB65B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1.严格遵守国家有关法律法规，坚持诚实守信原则，恪守商业道德，规范商务人员廉洁从业行为；</w:t>
      </w:r>
    </w:p>
    <w:p w14:paraId="70099C8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2.双方业务活动坚持公开、公正、诚信、透明的原则（商业秘密和合同文件另有规定的除外），不得损害国家和对方利益；</w:t>
      </w:r>
    </w:p>
    <w:p w14:paraId="3BC5F33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3.发现对方工作人员在业务活动中有违反廉洁规定的行为，有及时要求对方纠正并向对方举报的权利和义务；涉嫌违法的，可以依法向有关部门举报；</w:t>
      </w:r>
    </w:p>
    <w:p w14:paraId="340FF2E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4.对涉嫌不廉洁的商业行为进行调查时，双方有相互配合、提供证据、</w:t>
      </w:r>
      <w:r>
        <w:rPr>
          <w:rFonts w:hint="eastAsia" w:ascii="仿宋_GB2312" w:hAnsi="仿宋_GB2312" w:eastAsia="仿宋_GB2312" w:cs="仿宋_GB2312"/>
          <w:sz w:val="24"/>
          <w:szCs w:val="24"/>
          <w:highlight w:val="none"/>
          <w:lang w:eastAsia="zh-CN"/>
        </w:rPr>
        <w:t>做证</w:t>
      </w:r>
      <w:r>
        <w:rPr>
          <w:rFonts w:hint="eastAsia" w:ascii="仿宋_GB2312" w:hAnsi="仿宋_GB2312" w:eastAsia="仿宋_GB2312" w:cs="仿宋_GB2312"/>
          <w:sz w:val="24"/>
          <w:szCs w:val="24"/>
          <w:highlight w:val="none"/>
        </w:rPr>
        <w:t>的义务；</w:t>
      </w:r>
    </w:p>
    <w:p w14:paraId="62E72A3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5.双方应依法保护举报人员，不得以任何方式对举报人员进行打击报复。 </w:t>
      </w:r>
    </w:p>
    <w:p w14:paraId="594A673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第二条  甲方的廉洁责任：</w:t>
      </w:r>
    </w:p>
    <w:p w14:paraId="166601B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1.甲方工作人员不得以任何形式索要或接受乙方的礼金、礼品和有价证券，不得在乙方报销任何应由个人支付的各种费用；</w:t>
      </w:r>
    </w:p>
    <w:p w14:paraId="625CC2C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2.甲方工作人员不得私自参加乙方安排的宴请，不得私自接受乙方提供的通讯、交通工具和办公用品，不得向乙方泄露谈判中的商业秘密；</w:t>
      </w:r>
    </w:p>
    <w:p w14:paraId="1BA99C2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3.甲方工作人员不得要求或者接受乙方以住房装修、婚丧嫁娶、家属及其他亲属的工作安排、出国出境、旅游等为理由所提供的方便；</w:t>
      </w:r>
    </w:p>
    <w:p w14:paraId="54D80C5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4.甲方工作人员不得以任何理由向乙方推荐物资供应单位、工程承包或劳务分包单位，合同另有约定的除外；</w:t>
      </w:r>
    </w:p>
    <w:p w14:paraId="7F5E115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eastAsia="zh-CN"/>
        </w:rPr>
        <w:t>其他</w:t>
      </w:r>
      <w:r>
        <w:rPr>
          <w:rFonts w:hint="eastAsia" w:ascii="仿宋_GB2312" w:hAnsi="仿宋_GB2312" w:eastAsia="仿宋_GB2312" w:cs="仿宋_GB2312"/>
          <w:sz w:val="24"/>
          <w:szCs w:val="24"/>
          <w:highlight w:val="none"/>
        </w:rPr>
        <w:t>违反廉洁规定的行为。</w:t>
      </w:r>
    </w:p>
    <w:p w14:paraId="56CCF99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第三条  乙方的廉洁责任：</w:t>
      </w:r>
    </w:p>
    <w:p w14:paraId="109124B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1.乙方及其工作人员不得为甲方工作人员提供回扣、礼金、有价证券、贵重物品和报销个人费用；</w:t>
      </w:r>
    </w:p>
    <w:p w14:paraId="2B39BBF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2.乙方及其工作人员不得为甲方工作人员安排有可能影响公平、公正交易的宴请、健身、娱乐等活动；</w:t>
      </w:r>
    </w:p>
    <w:p w14:paraId="60EDFEB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3.乙方及其工作人员不得为甲方工作人员投资入股、个人借款或买卖股票、债券、购买或装修住房、婚丧嫁娶、配偶子女上学或工作安排以及出国出境、旅游</w:t>
      </w:r>
      <w:r>
        <w:rPr>
          <w:rFonts w:hint="eastAsia" w:ascii="仿宋_GB2312" w:hAnsi="仿宋_GB2312" w:eastAsia="仿宋_GB2312" w:cs="仿宋_GB2312"/>
          <w:sz w:val="24"/>
          <w:szCs w:val="24"/>
          <w:highlight w:val="none"/>
          <w:lang w:eastAsia="zh-CN"/>
        </w:rPr>
        <w:t>等</w:t>
      </w:r>
      <w:r>
        <w:rPr>
          <w:rFonts w:hint="eastAsia" w:ascii="仿宋_GB2312" w:hAnsi="仿宋_GB2312" w:eastAsia="仿宋_GB2312" w:cs="仿宋_GB2312"/>
          <w:sz w:val="24"/>
          <w:szCs w:val="24"/>
          <w:highlight w:val="none"/>
        </w:rPr>
        <w:t>提供方便；</w:t>
      </w:r>
    </w:p>
    <w:p w14:paraId="2551FE4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4.乙方及其工作人员不得为甲方工作人员在其相关企业挂名兼职、合伙经营、介绍承揽业务等提供方便；</w:t>
      </w:r>
    </w:p>
    <w:p w14:paraId="559512C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eastAsia="zh-CN"/>
        </w:rPr>
        <w:t>其他</w:t>
      </w:r>
      <w:r>
        <w:rPr>
          <w:rFonts w:hint="eastAsia" w:ascii="仿宋_GB2312" w:hAnsi="仿宋_GB2312" w:eastAsia="仿宋_GB2312" w:cs="仿宋_GB2312"/>
          <w:sz w:val="24"/>
          <w:szCs w:val="24"/>
          <w:highlight w:val="none"/>
        </w:rPr>
        <w:t>违反廉洁规定的行为。</w:t>
      </w:r>
    </w:p>
    <w:p w14:paraId="52FD66F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sz w:val="24"/>
          <w:szCs w:val="24"/>
          <w:highlight w:val="none"/>
        </w:rPr>
      </w:pPr>
      <w:r>
        <w:rPr>
          <w:rFonts w:hint="eastAsia" w:ascii="黑体" w:hAnsi="黑体" w:eastAsia="黑体" w:cs="黑体"/>
          <w:sz w:val="24"/>
          <w:szCs w:val="24"/>
          <w:highlight w:val="none"/>
        </w:rPr>
        <w:t>第四条</w:t>
      </w:r>
      <w:r>
        <w:rPr>
          <w:rFonts w:hint="eastAsia" w:ascii="仿宋" w:hAnsi="仿宋" w:eastAsia="仿宋" w:cs="仿宋"/>
          <w:sz w:val="24"/>
          <w:szCs w:val="24"/>
          <w:highlight w:val="none"/>
        </w:rPr>
        <w:t xml:space="preserve">  </w:t>
      </w:r>
      <w:r>
        <w:rPr>
          <w:rFonts w:hint="eastAsia" w:ascii="仿宋_GB2312" w:hAnsi="仿宋_GB2312" w:eastAsia="仿宋_GB2312" w:cs="仿宋_GB2312"/>
          <w:sz w:val="24"/>
          <w:szCs w:val="24"/>
          <w:highlight w:val="none"/>
        </w:rPr>
        <w:t>甲方工作人员有违反本协议行为的，甲方应按照干部管理权限，依据有关规定给予相应党政纪处分、组织处理或经济处罚；涉嫌犯罪的，移交司法机关追究法律责任。</w:t>
      </w:r>
    </w:p>
    <w:p w14:paraId="5E638D9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黑体" w:hAnsi="黑体" w:eastAsia="黑体" w:cs="黑体"/>
          <w:sz w:val="24"/>
          <w:szCs w:val="24"/>
          <w:highlight w:val="none"/>
        </w:rPr>
        <w:t xml:space="preserve">第五条 </w:t>
      </w:r>
      <w:r>
        <w:rPr>
          <w:rFonts w:hint="eastAsia" w:ascii="仿宋_GB2312" w:hAnsi="仿宋_GB2312" w:eastAsia="仿宋_GB2312" w:cs="仿宋_GB2312"/>
          <w:sz w:val="24"/>
          <w:szCs w:val="24"/>
          <w:highlight w:val="none"/>
        </w:rPr>
        <w:t xml:space="preserve"> 乙方及其工作人员有违反本协议行为的，甲方有权根据情节和所造成的影响采取以下相应措施：</w:t>
      </w:r>
    </w:p>
    <w:p w14:paraId="2C3C73E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情节轻微的，要求乙方对相关工作人员进行处分处理，并限期整改；</w:t>
      </w:r>
    </w:p>
    <w:p w14:paraId="2636999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14:paraId="17B0072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 w:hAnsi="仿宋" w:eastAsia="仿宋" w:cs="仿宋"/>
          <w:sz w:val="24"/>
          <w:szCs w:val="24"/>
          <w:highlight w:val="none"/>
        </w:rPr>
      </w:pPr>
      <w:r>
        <w:rPr>
          <w:rFonts w:hint="eastAsia" w:ascii="黑体" w:hAnsi="黑体" w:eastAsia="黑体" w:cs="黑体"/>
          <w:sz w:val="24"/>
          <w:szCs w:val="24"/>
          <w:highlight w:val="none"/>
        </w:rPr>
        <w:t xml:space="preserve">第六条  </w:t>
      </w:r>
      <w:r>
        <w:rPr>
          <w:rFonts w:hint="eastAsia" w:ascii="仿宋_GB2312" w:hAnsi="仿宋_GB2312" w:eastAsia="仿宋_GB2312" w:cs="仿宋_GB2312"/>
          <w:sz w:val="24"/>
          <w:szCs w:val="24"/>
          <w:highlight w:val="none"/>
        </w:rPr>
        <w:t>本协议作为双方签订《深圳市鹏劳人力资源管理有限公司</w:t>
      </w:r>
      <w:r>
        <w:rPr>
          <w:rFonts w:hint="eastAsia" w:ascii="仿宋_GB2312" w:hAnsi="仿宋_GB2312" w:eastAsia="仿宋_GB2312" w:cs="仿宋_GB2312"/>
          <w:sz w:val="24"/>
          <w:szCs w:val="24"/>
          <w:highlight w:val="none"/>
          <w:lang w:val="en-US" w:eastAsia="zh-CN"/>
        </w:rPr>
        <w:t>2026-2028年度某互联网银行外包项目招聘服务</w:t>
      </w:r>
      <w:r>
        <w:rPr>
          <w:rFonts w:hint="eastAsia" w:ascii="仿宋_GB2312" w:hAnsi="仿宋_GB2312" w:eastAsia="仿宋_GB2312" w:cs="仿宋_GB2312"/>
          <w:sz w:val="24"/>
          <w:szCs w:val="24"/>
          <w:highlight w:val="none"/>
        </w:rPr>
        <w:t>项目</w:t>
      </w:r>
      <w:r>
        <w:rPr>
          <w:rFonts w:hint="eastAsia" w:ascii="仿宋_GB2312" w:hAnsi="仿宋_GB2312" w:eastAsia="仿宋_GB2312" w:cs="仿宋_GB2312"/>
          <w:sz w:val="24"/>
          <w:szCs w:val="24"/>
          <w:highlight w:val="none"/>
          <w:lang w:val="en-US" w:eastAsia="zh-CN"/>
        </w:rPr>
        <w:t>合同</w:t>
      </w:r>
      <w:r>
        <w:rPr>
          <w:rFonts w:hint="eastAsia" w:ascii="仿宋_GB2312" w:hAnsi="仿宋_GB2312" w:eastAsia="仿宋_GB2312" w:cs="仿宋_GB2312"/>
          <w:sz w:val="24"/>
          <w:szCs w:val="24"/>
          <w:highlight w:val="none"/>
        </w:rPr>
        <w:t>》的组成部分，与《深圳市鹏劳人力资源管理有限公司</w:t>
      </w:r>
      <w:r>
        <w:rPr>
          <w:rFonts w:hint="eastAsia" w:ascii="仿宋_GB2312" w:hAnsi="仿宋_GB2312" w:eastAsia="仿宋_GB2312" w:cs="仿宋_GB2312"/>
          <w:sz w:val="24"/>
          <w:szCs w:val="24"/>
          <w:highlight w:val="none"/>
          <w:lang w:val="en-US" w:eastAsia="zh-CN"/>
        </w:rPr>
        <w:t>2026-2028年度某互联网银行外包项目招聘服务项目合同</w:t>
      </w:r>
      <w:r>
        <w:rPr>
          <w:rFonts w:hint="eastAsia" w:ascii="仿宋_GB2312" w:hAnsi="仿宋_GB2312" w:eastAsia="仿宋_GB2312" w:cs="仿宋_GB2312"/>
          <w:sz w:val="24"/>
          <w:szCs w:val="24"/>
          <w:highlight w:val="none"/>
        </w:rPr>
        <w:t>》具有同等法律效力。</w:t>
      </w:r>
    </w:p>
    <w:p w14:paraId="5710662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黑体" w:hAnsi="黑体" w:eastAsia="黑体" w:cs="黑体"/>
          <w:sz w:val="24"/>
          <w:szCs w:val="24"/>
          <w:highlight w:val="none"/>
        </w:rPr>
        <w:t xml:space="preserve">第七条  </w:t>
      </w:r>
      <w:r>
        <w:rPr>
          <w:rFonts w:hint="eastAsia" w:ascii="仿宋_GB2312" w:hAnsi="仿宋_GB2312" w:eastAsia="仿宋_GB2312" w:cs="仿宋_GB2312"/>
          <w:sz w:val="24"/>
          <w:szCs w:val="24"/>
          <w:highlight w:val="none"/>
        </w:rPr>
        <w:t>本协议一式</w:t>
      </w:r>
      <w:r>
        <w:rPr>
          <w:rFonts w:hint="eastAsia" w:ascii="仿宋_GB2312" w:hAnsi="仿宋_GB2312" w:eastAsia="仿宋_GB2312" w:cs="仿宋_GB2312"/>
          <w:sz w:val="24"/>
          <w:szCs w:val="24"/>
          <w:highlight w:val="none"/>
          <w:lang w:val="en-US" w:eastAsia="zh-CN"/>
        </w:rPr>
        <w:t>肆</w:t>
      </w:r>
      <w:r>
        <w:rPr>
          <w:rFonts w:hint="eastAsia" w:ascii="仿宋_GB2312" w:hAnsi="仿宋_GB2312" w:eastAsia="仿宋_GB2312" w:cs="仿宋_GB2312"/>
          <w:sz w:val="24"/>
          <w:szCs w:val="24"/>
          <w:highlight w:val="none"/>
        </w:rPr>
        <w:t>份，甲乙双方各执</w:t>
      </w:r>
      <w:r>
        <w:rPr>
          <w:rFonts w:hint="eastAsia" w:ascii="仿宋_GB2312" w:hAnsi="仿宋_GB2312" w:eastAsia="仿宋_GB2312" w:cs="仿宋_GB2312"/>
          <w:sz w:val="24"/>
          <w:szCs w:val="24"/>
          <w:highlight w:val="none"/>
          <w:lang w:val="en-US" w:eastAsia="zh-CN"/>
        </w:rPr>
        <w:t>两</w:t>
      </w:r>
      <w:r>
        <w:rPr>
          <w:rFonts w:hint="eastAsia" w:ascii="仿宋_GB2312" w:hAnsi="仿宋_GB2312" w:eastAsia="仿宋_GB2312" w:cs="仿宋_GB2312"/>
          <w:sz w:val="24"/>
          <w:szCs w:val="24"/>
          <w:highlight w:val="none"/>
        </w:rPr>
        <w:t>份，自双方签字盖章之日起生效，有效期与合同履约期一致。</w:t>
      </w:r>
    </w:p>
    <w:p w14:paraId="2B2C867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p>
    <w:p w14:paraId="663067D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甲方：（盖章）                           乙方：（盖章）</w:t>
      </w:r>
    </w:p>
    <w:p w14:paraId="63E5BF0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法定代表人或授权代表：（签字）           法定代表人或授权代表：（签字）      </w:t>
      </w:r>
    </w:p>
    <w:p w14:paraId="6A0B80C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日期：                                   日期：</w:t>
      </w:r>
    </w:p>
    <w:p w14:paraId="336DFE3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4AA4F83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3D73878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194BCA8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78C4F5C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7576235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21490E2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3D90506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61971BC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042FF389">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3566AE17">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59C59CF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7DADCF8F">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57DE314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116BCB0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1D3CC28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0DD4233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486CC018">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686F46F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13A9B73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38E5BF9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489D638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420" w:firstLineChars="200"/>
        <w:textAlignment w:val="auto"/>
        <w:rPr>
          <w:rFonts w:hint="eastAsia" w:ascii="仿宋" w:hAnsi="仿宋" w:eastAsia="仿宋" w:cs="仿宋"/>
          <w:szCs w:val="21"/>
          <w:highlight w:val="none"/>
        </w:rPr>
      </w:pPr>
    </w:p>
    <w:p w14:paraId="565974C4">
      <w:pPr>
        <w:widowControl/>
        <w:spacing w:line="400" w:lineRule="exact"/>
        <w:ind w:left="0" w:leftChars="0" w:firstLine="0" w:firstLineChars="0"/>
        <w:outlineLvl w:val="0"/>
        <w:rPr>
          <w:rFonts w:hint="eastAsia" w:ascii="仿宋" w:hAnsi="仿宋" w:eastAsia="仿宋" w:cs="仿宋"/>
          <w:szCs w:val="21"/>
          <w:highlight w:val="none"/>
        </w:rPr>
      </w:pPr>
      <w:bookmarkStart w:id="215" w:name="_Toc15716"/>
      <w:bookmarkStart w:id="216" w:name="_Toc20760"/>
      <w:r>
        <w:rPr>
          <w:rFonts w:hint="eastAsia" w:ascii="仿宋" w:hAnsi="仿宋" w:eastAsia="仿宋" w:cs="仿宋"/>
          <w:szCs w:val="21"/>
          <w:highlight w:val="none"/>
        </w:rPr>
        <w:t>采购合同附件2：供应商环境及职业健康安全体系符合性承诺书</w:t>
      </w:r>
      <w:bookmarkEnd w:id="215"/>
      <w:bookmarkEnd w:id="216"/>
    </w:p>
    <w:p w14:paraId="40E16ECD">
      <w:pPr>
        <w:widowControl/>
        <w:spacing w:line="400" w:lineRule="exact"/>
        <w:ind w:firstLine="720" w:firstLineChars="200"/>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深圳市鹏劳人力资源管理有限公司供应商环境及职业健康安全体系符合性承诺书</w:t>
      </w:r>
    </w:p>
    <w:p w14:paraId="4700C0FB">
      <w:pPr>
        <w:keepNext w:val="0"/>
        <w:keepLines w:val="0"/>
        <w:pageBreakBefore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Times New Roman"/>
          <w:sz w:val="24"/>
          <w:szCs w:val="24"/>
          <w:highlight w:val="none"/>
        </w:rPr>
      </w:pPr>
    </w:p>
    <w:p w14:paraId="23648205">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甲方：深圳市鹏劳人力资源管理有限公司</w:t>
      </w:r>
    </w:p>
    <w:p w14:paraId="61DCC199">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w:t>
      </w:r>
    </w:p>
    <w:p w14:paraId="6CFBE4DE">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作为甲方本项目供应商，乙方就环境及职业健康安全体系符合性相关事宜作出以下承诺，并在合作过程中严格遵守：</w:t>
      </w:r>
    </w:p>
    <w:p w14:paraId="16881422">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7D791D03">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2A5AF2EE">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7E264B3B">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乙方因违反ISO14001、45001体系标准，导致重大负面舆情或主管部门检查严重违规等事项，甲方有权即时解除或终止双方合作且</w:t>
      </w:r>
      <w:r>
        <w:rPr>
          <w:rFonts w:hint="eastAsia" w:ascii="仿宋" w:hAnsi="仿宋" w:eastAsia="仿宋" w:cs="Times New Roman"/>
          <w:sz w:val="24"/>
          <w:szCs w:val="24"/>
          <w:highlight w:val="none"/>
          <w:lang w:eastAsia="zh-CN"/>
        </w:rPr>
        <w:t>不负</w:t>
      </w:r>
      <w:r>
        <w:rPr>
          <w:rFonts w:hint="eastAsia" w:ascii="仿宋" w:hAnsi="仿宋" w:eastAsia="仿宋" w:cs="Times New Roman"/>
          <w:sz w:val="24"/>
          <w:szCs w:val="24"/>
          <w:highlight w:val="none"/>
        </w:rPr>
        <w:t>任何法律和经济责任。如乙方违反体系标准的事项发生在为甲方提供服务或产品的过程中，给甲方造成经济或商誉损失的，乙方承诺赔偿。</w:t>
      </w:r>
    </w:p>
    <w:p w14:paraId="1E210E2C">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乙方在为甲方提供服务、产品的过程中，应主动、持续改善相关因素，以提升乙方环境安全及职业健康安全管理水平。</w:t>
      </w:r>
    </w:p>
    <w:p w14:paraId="75296BA6">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在服务或产品提供过程中，乙方应自觉遵守道路交通规则、有关法律法规，以确保安全、对环境无害、最大程度合理利用和节约的方式妥善处理甲方委托事项或为甲方提供相关产品。</w:t>
      </w:r>
    </w:p>
    <w:p w14:paraId="5113ABF3">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7AB871CD">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10F2AE3A">
      <w:pPr>
        <w:keepNext w:val="0"/>
        <w:keepLines w:val="0"/>
        <w:pageBreakBefore w:val="0"/>
        <w:widowControl/>
        <w:numPr>
          <w:ilvl w:val="0"/>
          <w:numId w:val="5"/>
        </w:numPr>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本承诺书作为乙方作为甲方供应商库入库的必要文件，自乙方（承诺方）盖章签字后生效，原件一式两份。如主合同约定与本协议冲突的，以本协议内容为准。</w:t>
      </w:r>
    </w:p>
    <w:p w14:paraId="49129826">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p>
    <w:p w14:paraId="6963C2AB">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乙方（承诺方）：_______________________________</w:t>
      </w:r>
    </w:p>
    <w:p w14:paraId="3330044C">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有权签字人：</w:t>
      </w:r>
    </w:p>
    <w:p w14:paraId="542199D8">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日期：</w:t>
      </w:r>
    </w:p>
    <w:p w14:paraId="241043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6A2E022A">
      <w:pPr>
        <w:keepNext w:val="0"/>
        <w:keepLines w:val="0"/>
        <w:pageBreakBefore w:val="0"/>
        <w:widowControl/>
        <w:kinsoku/>
        <w:wordWrap/>
        <w:overflowPunct/>
        <w:topLinePunct w:val="0"/>
        <w:autoSpaceDE/>
        <w:autoSpaceDN/>
        <w:bidi w:val="0"/>
        <w:adjustRightInd/>
        <w:snapToGrid/>
        <w:spacing w:line="400" w:lineRule="exact"/>
        <w:textAlignment w:val="auto"/>
        <w:outlineLvl w:val="0"/>
        <w:rPr>
          <w:rFonts w:hint="eastAsia" w:ascii="仿宋" w:hAnsi="仿宋" w:eastAsia="仿宋" w:cs="仿宋"/>
          <w:smallCaps w:val="0"/>
          <w:sz w:val="21"/>
          <w:szCs w:val="21"/>
          <w:highlight w:val="none"/>
        </w:rPr>
      </w:pPr>
      <w:bookmarkStart w:id="217" w:name="_Toc12585"/>
      <w:r>
        <w:rPr>
          <w:rFonts w:hint="eastAsia" w:ascii="仿宋" w:hAnsi="仿宋" w:eastAsia="仿宋" w:cs="仿宋"/>
          <w:smallCaps w:val="0"/>
          <w:sz w:val="21"/>
          <w:szCs w:val="21"/>
          <w:highlight w:val="none"/>
          <w:lang w:val="en-US" w:eastAsia="zh-CN"/>
        </w:rPr>
        <w:t>采购</w:t>
      </w:r>
      <w:r>
        <w:rPr>
          <w:rFonts w:hint="eastAsia" w:ascii="仿宋" w:hAnsi="仿宋" w:eastAsia="仿宋" w:cs="仿宋"/>
          <w:smallCaps w:val="0"/>
          <w:sz w:val="21"/>
          <w:szCs w:val="21"/>
          <w:highlight w:val="none"/>
        </w:rPr>
        <w:t>合同附件</w:t>
      </w:r>
      <w:r>
        <w:rPr>
          <w:rFonts w:hint="eastAsia" w:ascii="仿宋" w:hAnsi="仿宋" w:eastAsia="仿宋" w:cs="仿宋"/>
          <w:smallCaps w:val="0"/>
          <w:sz w:val="21"/>
          <w:szCs w:val="21"/>
          <w:highlight w:val="none"/>
          <w:lang w:val="en-US" w:eastAsia="zh-CN"/>
        </w:rPr>
        <w:t>3</w:t>
      </w:r>
      <w:r>
        <w:rPr>
          <w:rFonts w:hint="eastAsia" w:ascii="仿宋" w:hAnsi="仿宋" w:eastAsia="仿宋" w:cs="仿宋"/>
          <w:smallCaps w:val="0"/>
          <w:sz w:val="21"/>
          <w:szCs w:val="21"/>
          <w:highlight w:val="none"/>
        </w:rPr>
        <w:t>：合规承诺书</w:t>
      </w:r>
      <w:bookmarkEnd w:id="217"/>
    </w:p>
    <w:p w14:paraId="07A92A38">
      <w:pPr>
        <w:widowControl w:val="0"/>
        <w:spacing w:line="400" w:lineRule="exact"/>
        <w:ind w:right="-512" w:rightChars="-244"/>
        <w:jc w:val="center"/>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合规承诺书</w:t>
      </w:r>
    </w:p>
    <w:p w14:paraId="0BF100F7">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rPr>
      </w:pPr>
    </w:p>
    <w:p w14:paraId="7DCDE207">
      <w:pPr>
        <w:keepNext w:val="0"/>
        <w:keepLines w:val="0"/>
        <w:pageBreakBefore w:val="0"/>
        <w:widowControl w:val="0"/>
        <w:kinsoku/>
        <w:wordWrap w:val="0"/>
        <w:overflowPunct/>
        <w:topLinePunct w:val="0"/>
        <w:autoSpaceDE/>
        <w:autoSpaceDN/>
        <w:bidi w:val="0"/>
        <w:adjustRightInd/>
        <w:snapToGrid/>
        <w:spacing w:line="320" w:lineRule="exact"/>
        <w:ind w:right="0" w:rightChars="0"/>
        <w:textAlignment w:val="auto"/>
        <w:rPr>
          <w:rFonts w:hint="eastAsia" w:ascii="仿宋_GB2312" w:hAnsi="仿宋_GB2312" w:eastAsia="仿宋_GB2312" w:cs="仿宋_GB2312"/>
          <w:smallCaps w:val="0"/>
          <w:sz w:val="24"/>
          <w:highlight w:val="none"/>
          <w:lang w:val="en-US" w:eastAsia="zh-CN"/>
        </w:rPr>
      </w:pPr>
      <w:r>
        <w:rPr>
          <w:rFonts w:hint="eastAsia" w:ascii="仿宋_GB2312" w:hAnsi="仿宋_GB2312" w:eastAsia="仿宋_GB2312" w:cs="仿宋_GB2312"/>
          <w:smallCaps w:val="0"/>
          <w:sz w:val="24"/>
          <w:highlight w:val="none"/>
          <w:lang w:val="en-US" w:eastAsia="zh-CN"/>
        </w:rPr>
        <w:t>致</w:t>
      </w:r>
      <w:r>
        <w:rPr>
          <w:rFonts w:hint="eastAsia" w:ascii="仿宋_GB2312" w:hAnsi="仿宋_GB2312" w:eastAsia="仿宋_GB2312" w:cs="仿宋_GB2312"/>
          <w:smallCaps w:val="0"/>
          <w:sz w:val="24"/>
          <w:highlight w:val="none"/>
          <w:u w:val="single"/>
          <w:lang w:val="en-US" w:eastAsia="zh-CN"/>
        </w:rPr>
        <w:t>深圳市鹏劳人力资源管理有限公司</w:t>
      </w:r>
      <w:r>
        <w:rPr>
          <w:rFonts w:hint="eastAsia" w:ascii="仿宋_GB2312" w:hAnsi="仿宋_GB2312" w:eastAsia="仿宋_GB2312" w:cs="仿宋_GB2312"/>
          <w:smallCaps w:val="0"/>
          <w:sz w:val="24"/>
          <w:highlight w:val="none"/>
          <w:lang w:val="en-US" w:eastAsia="zh-CN"/>
        </w:rPr>
        <w:t>：</w:t>
      </w:r>
    </w:p>
    <w:p w14:paraId="078050D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w:t>
      </w:r>
      <w:r>
        <w:rPr>
          <w:rFonts w:hint="eastAsia" w:ascii="仿宋_GB2312" w:hAnsi="仿宋_GB2312" w:eastAsia="仿宋_GB2312" w:cs="仿宋_GB2312"/>
          <w:sz w:val="24"/>
          <w:szCs w:val="24"/>
        </w:rPr>
        <w:t>司</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就参与</w:t>
      </w:r>
      <w:r>
        <w:rPr>
          <w:rFonts w:hint="eastAsia" w:ascii="仿宋_GB2312" w:hAnsi="仿宋_GB2312" w:eastAsia="仿宋_GB2312" w:cs="仿宋_GB2312"/>
          <w:sz w:val="24"/>
          <w:szCs w:val="24"/>
          <w:lang w:val="en-US" w:eastAsia="zh-CN"/>
        </w:rPr>
        <w:t>贵司</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项目招标采购并签订履行相关合同事宜，郑重作出如下合规承诺，本承诺书作为双方合同附件，与合同具有同等法律效力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具体承诺如下</w:t>
      </w:r>
      <w:r>
        <w:rPr>
          <w:rFonts w:hint="eastAsia" w:ascii="仿宋_GB2312" w:hAnsi="仿宋_GB2312" w:eastAsia="仿宋_GB2312" w:cs="仿宋_GB2312"/>
          <w:sz w:val="24"/>
          <w:szCs w:val="24"/>
        </w:rPr>
        <w:t>：</w:t>
      </w:r>
    </w:p>
    <w:p w14:paraId="24536F03">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我司具备完全民事行为能力和合法有效的经营资质，有权参与本项目投标及履行合同义务。</w:t>
      </w:r>
    </w:p>
    <w:p w14:paraId="3B88932F">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保证在投标及合同履行过程中提交的所有文件、资料（包括但不限于投标文件、资质证明、技术方案、产品/服务说明、财务报表、人员信息等）均真实、准确、完整，不存在任何虚假记载、误导性陈述或重大遗漏。</w:t>
      </w:r>
    </w:p>
    <w:p w14:paraId="4B8A35BD">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严格遵守《中华人民共和国招标投标法》《中华人民共和国民法典》等国家及地方相关法律法规、行业监管规定和贵司招标采购管理制度，未实施且不实施串通投标、围标串标、以他人名义投标、提供虚假材料等任何违规违法行为，不排挤其他投标方的公平竞争。</w:t>
      </w:r>
    </w:p>
    <w:p w14:paraId="4F003F68">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我司严格履行与贵司签署的《供需双方廉洁互保协议》，不以任何形式（包括但不限于行贿、提供回扣、赠送礼品礼金、安排宴请、旅游、娱乐活动或其他不正当利益）影响贵司采购决策、评标结果或工作人员。</w:t>
      </w:r>
    </w:p>
    <w:p w14:paraId="262468AE">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严格按照招标文件要求、投标承诺</w:t>
      </w:r>
      <w:r>
        <w:rPr>
          <w:rFonts w:hint="eastAsia" w:ascii="仿宋_GB2312" w:hAnsi="仿宋_GB2312" w:eastAsia="仿宋_GB2312" w:cs="仿宋_GB2312"/>
          <w:sz w:val="24"/>
          <w:szCs w:val="24"/>
          <w:lang w:val="en-US" w:eastAsia="zh-CN"/>
        </w:rPr>
        <w:t>及</w:t>
      </w:r>
      <w:r>
        <w:rPr>
          <w:rFonts w:hint="eastAsia" w:ascii="仿宋_GB2312" w:hAnsi="仿宋_GB2312" w:eastAsia="仿宋_GB2312" w:cs="仿宋_GB2312"/>
          <w:sz w:val="24"/>
          <w:szCs w:val="24"/>
          <w:lang w:eastAsia="zh-CN"/>
        </w:rPr>
        <w:t>主合同</w:t>
      </w:r>
      <w:r>
        <w:rPr>
          <w:rFonts w:hint="eastAsia" w:ascii="仿宋_GB2312" w:hAnsi="仿宋_GB2312" w:eastAsia="仿宋_GB2312" w:cs="仿宋_GB2312"/>
          <w:sz w:val="24"/>
          <w:szCs w:val="24"/>
          <w:lang w:val="en-US" w:eastAsia="zh-CN"/>
        </w:rPr>
        <w:t>约定履行</w:t>
      </w:r>
      <w:r>
        <w:rPr>
          <w:rFonts w:hint="eastAsia" w:ascii="仿宋_GB2312" w:hAnsi="仿宋_GB2312" w:eastAsia="仿宋_GB2312" w:cs="仿宋_GB2312"/>
          <w:sz w:val="24"/>
          <w:szCs w:val="24"/>
          <w:lang w:eastAsia="zh-CN"/>
        </w:rPr>
        <w:t>义务，所提供的产品/服务应符合国家质量标准、行业标准及招标文件约定的技术参数和质量要求，</w:t>
      </w:r>
      <w:r>
        <w:rPr>
          <w:rFonts w:hint="eastAsia" w:ascii="仿宋_GB2312" w:hAnsi="仿宋_GB2312" w:eastAsia="仿宋_GB2312" w:cs="仿宋_GB2312"/>
          <w:sz w:val="24"/>
          <w:szCs w:val="24"/>
          <w:lang w:val="en-US" w:eastAsia="zh-CN"/>
        </w:rPr>
        <w:t>未经贵司书面同意，</w:t>
      </w:r>
      <w:r>
        <w:rPr>
          <w:rFonts w:hint="eastAsia" w:ascii="仿宋_GB2312" w:hAnsi="仿宋_GB2312" w:eastAsia="仿宋_GB2312" w:cs="仿宋_GB2312"/>
          <w:sz w:val="24"/>
          <w:szCs w:val="24"/>
          <w:lang w:eastAsia="zh-CN"/>
        </w:rPr>
        <w:t>不得擅自变更产品/服务的规格、质量、价格、</w:t>
      </w:r>
      <w:r>
        <w:rPr>
          <w:rFonts w:hint="eastAsia" w:ascii="仿宋_GB2312" w:hAnsi="仿宋_GB2312" w:eastAsia="仿宋_GB2312" w:cs="仿宋_GB2312"/>
          <w:sz w:val="24"/>
          <w:szCs w:val="24"/>
          <w:lang w:val="en-US" w:eastAsia="zh-CN"/>
        </w:rPr>
        <w:t>交付方式</w:t>
      </w:r>
      <w:r>
        <w:rPr>
          <w:rFonts w:hint="eastAsia" w:ascii="仿宋_GB2312" w:hAnsi="仿宋_GB2312" w:eastAsia="仿宋_GB2312" w:cs="仿宋_GB2312"/>
          <w:sz w:val="24"/>
          <w:szCs w:val="24"/>
          <w:lang w:eastAsia="zh-CN"/>
        </w:rPr>
        <w:t>等核心条款。</w:t>
      </w:r>
    </w:p>
    <w:p w14:paraId="545AA6C5">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保证提供的产品/服务及相关技术</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lang w:eastAsia="zh-CN"/>
        </w:rPr>
        <w:t>不侵犯任何第三方的专利权、商标权、著作权、</w:t>
      </w:r>
      <w:r>
        <w:rPr>
          <w:rFonts w:hint="eastAsia" w:ascii="仿宋_GB2312" w:hAnsi="仿宋_GB2312" w:eastAsia="仿宋_GB2312" w:cs="仿宋_GB2312"/>
          <w:sz w:val="24"/>
          <w:szCs w:val="24"/>
          <w:lang w:val="en-US" w:eastAsia="zh-CN"/>
        </w:rPr>
        <w:t>商业秘密</w:t>
      </w:r>
      <w:r>
        <w:rPr>
          <w:rFonts w:hint="eastAsia" w:ascii="仿宋_GB2312" w:hAnsi="仿宋_GB2312" w:eastAsia="仿宋_GB2312" w:cs="仿宋_GB2312"/>
          <w:sz w:val="24"/>
          <w:szCs w:val="24"/>
          <w:lang w:eastAsia="zh-CN"/>
        </w:rPr>
        <w:t>等知识产权；若涉及第三方知识产权，</w:t>
      </w:r>
      <w:r>
        <w:rPr>
          <w:rFonts w:hint="eastAsia" w:ascii="仿宋_GB2312" w:hAnsi="仿宋_GB2312" w:eastAsia="仿宋_GB2312" w:cs="仿宋_GB2312"/>
          <w:sz w:val="24"/>
          <w:szCs w:val="24"/>
          <w:lang w:val="en-US" w:eastAsia="zh-CN"/>
        </w:rPr>
        <w:t>我司已取得合法有效的授权，并在贵司需要时</w:t>
      </w:r>
      <w:r>
        <w:rPr>
          <w:rFonts w:hint="eastAsia" w:ascii="仿宋_GB2312" w:hAnsi="仿宋_GB2312" w:eastAsia="仿宋_GB2312" w:cs="仿宋_GB2312"/>
          <w:sz w:val="24"/>
          <w:szCs w:val="24"/>
          <w:lang w:eastAsia="zh-CN"/>
        </w:rPr>
        <w:t>提供相关证明文件。</w:t>
      </w:r>
    </w:p>
    <w:p w14:paraId="3982D58B">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依法</w:t>
      </w:r>
      <w:r>
        <w:rPr>
          <w:rFonts w:hint="eastAsia" w:ascii="仿宋_GB2312" w:hAnsi="仿宋_GB2312" w:eastAsia="仿宋_GB2312" w:cs="仿宋_GB2312"/>
          <w:sz w:val="24"/>
          <w:szCs w:val="24"/>
          <w:lang w:val="en-US" w:eastAsia="zh-CN"/>
        </w:rPr>
        <w:t>履行</w:t>
      </w:r>
      <w:r>
        <w:rPr>
          <w:rFonts w:hint="eastAsia" w:ascii="仿宋_GB2312" w:hAnsi="仿宋_GB2312" w:eastAsia="仿宋_GB2312" w:cs="仿宋_GB2312"/>
          <w:sz w:val="24"/>
          <w:szCs w:val="24"/>
          <w:lang w:eastAsia="zh-CN"/>
        </w:rPr>
        <w:t>纳税</w:t>
      </w:r>
      <w:r>
        <w:rPr>
          <w:rFonts w:hint="eastAsia" w:ascii="仿宋_GB2312" w:hAnsi="仿宋_GB2312" w:eastAsia="仿宋_GB2312" w:cs="仿宋_GB2312"/>
          <w:sz w:val="24"/>
          <w:szCs w:val="24"/>
          <w:lang w:val="en-US" w:eastAsia="zh-CN"/>
        </w:rPr>
        <w:t>义务</w:t>
      </w:r>
      <w:r>
        <w:rPr>
          <w:rFonts w:hint="eastAsia" w:ascii="仿宋_GB2312" w:hAnsi="仿宋_GB2312" w:eastAsia="仿宋_GB2312" w:cs="仿宋_GB2312"/>
          <w:sz w:val="24"/>
          <w:szCs w:val="24"/>
          <w:lang w:eastAsia="zh-CN"/>
        </w:rPr>
        <w:t>，向贵司</w:t>
      </w:r>
      <w:r>
        <w:rPr>
          <w:rFonts w:hint="eastAsia" w:ascii="仿宋_GB2312" w:hAnsi="仿宋_GB2312" w:eastAsia="仿宋_GB2312" w:cs="仿宋_GB2312"/>
          <w:sz w:val="24"/>
          <w:szCs w:val="24"/>
          <w:lang w:val="en-US" w:eastAsia="zh-CN"/>
        </w:rPr>
        <w:t>开具</w:t>
      </w:r>
      <w:r>
        <w:rPr>
          <w:rFonts w:hint="eastAsia" w:ascii="仿宋_GB2312" w:hAnsi="仿宋_GB2312" w:eastAsia="仿宋_GB2312" w:cs="仿宋_GB2312"/>
          <w:sz w:val="24"/>
          <w:szCs w:val="24"/>
          <w:lang w:eastAsia="zh-CN"/>
        </w:rPr>
        <w:t>合法、</w:t>
      </w:r>
      <w:r>
        <w:rPr>
          <w:rFonts w:hint="eastAsia" w:ascii="仿宋_GB2312" w:hAnsi="仿宋_GB2312" w:eastAsia="仿宋_GB2312" w:cs="仿宋_GB2312"/>
          <w:sz w:val="24"/>
          <w:szCs w:val="24"/>
          <w:lang w:val="en-US" w:eastAsia="zh-CN"/>
        </w:rPr>
        <w:t>真实、</w:t>
      </w:r>
      <w:r>
        <w:rPr>
          <w:rFonts w:hint="eastAsia" w:ascii="仿宋_GB2312" w:hAnsi="仿宋_GB2312" w:eastAsia="仿宋_GB2312" w:cs="仿宋_GB2312"/>
          <w:sz w:val="24"/>
          <w:szCs w:val="24"/>
          <w:lang w:eastAsia="zh-CN"/>
        </w:rPr>
        <w:t>有效的</w:t>
      </w:r>
      <w:r>
        <w:rPr>
          <w:rFonts w:hint="eastAsia" w:ascii="仿宋_GB2312" w:hAnsi="仿宋_GB2312" w:eastAsia="仿宋_GB2312" w:cs="仿宋_GB2312"/>
          <w:sz w:val="24"/>
          <w:szCs w:val="24"/>
          <w:lang w:val="en-US" w:eastAsia="zh-CN"/>
        </w:rPr>
        <w:t>增值税专用</w:t>
      </w:r>
      <w:r>
        <w:rPr>
          <w:rFonts w:hint="eastAsia" w:ascii="仿宋_GB2312" w:hAnsi="仿宋_GB2312" w:eastAsia="仿宋_GB2312" w:cs="仿宋_GB2312"/>
          <w:sz w:val="24"/>
          <w:szCs w:val="24"/>
          <w:lang w:eastAsia="zh-CN"/>
        </w:rPr>
        <w:t>发票（</w:t>
      </w:r>
      <w:r>
        <w:rPr>
          <w:rFonts w:hint="eastAsia" w:ascii="仿宋_GB2312" w:hAnsi="仿宋_GB2312" w:eastAsia="仿宋_GB2312" w:cs="仿宋_GB2312"/>
          <w:sz w:val="24"/>
          <w:szCs w:val="24"/>
          <w:lang w:val="en-US" w:eastAsia="zh-CN"/>
        </w:rPr>
        <w:t>或符合规定的其他发票）</w:t>
      </w:r>
      <w:r>
        <w:rPr>
          <w:rFonts w:hint="eastAsia" w:ascii="仿宋_GB2312" w:hAnsi="仿宋_GB2312" w:eastAsia="仿宋_GB2312" w:cs="仿宋_GB2312"/>
          <w:sz w:val="24"/>
          <w:szCs w:val="24"/>
          <w:lang w:eastAsia="zh-CN"/>
        </w:rPr>
        <w:t>及相关凭证，</w:t>
      </w:r>
      <w:r>
        <w:rPr>
          <w:rFonts w:hint="eastAsia" w:ascii="仿宋_GB2312" w:hAnsi="仿宋_GB2312" w:eastAsia="仿宋_GB2312" w:cs="仿宋_GB2312"/>
          <w:sz w:val="24"/>
          <w:szCs w:val="24"/>
          <w:lang w:val="en-US" w:eastAsia="zh-CN"/>
        </w:rPr>
        <w:t>杜绝</w:t>
      </w:r>
      <w:r>
        <w:rPr>
          <w:rFonts w:hint="eastAsia" w:ascii="仿宋_GB2312" w:hAnsi="仿宋_GB2312" w:eastAsia="仿宋_GB2312" w:cs="仿宋_GB2312"/>
          <w:sz w:val="24"/>
          <w:szCs w:val="24"/>
          <w:lang w:eastAsia="zh-CN"/>
        </w:rPr>
        <w:t>虚开、</w:t>
      </w:r>
      <w:r>
        <w:rPr>
          <w:rFonts w:hint="eastAsia" w:ascii="仿宋_GB2312" w:hAnsi="仿宋_GB2312" w:eastAsia="仿宋_GB2312" w:cs="仿宋_GB2312"/>
          <w:sz w:val="24"/>
          <w:szCs w:val="24"/>
          <w:lang w:val="en-US" w:eastAsia="zh-CN"/>
        </w:rPr>
        <w:t>代开、伪造</w:t>
      </w:r>
      <w:r>
        <w:rPr>
          <w:rFonts w:hint="eastAsia" w:ascii="仿宋_GB2312" w:hAnsi="仿宋_GB2312" w:eastAsia="仿宋_GB2312" w:cs="仿宋_GB2312"/>
          <w:sz w:val="24"/>
          <w:szCs w:val="24"/>
          <w:lang w:eastAsia="zh-CN"/>
        </w:rPr>
        <w:t>等违法</w:t>
      </w:r>
      <w:r>
        <w:rPr>
          <w:rFonts w:hint="eastAsia" w:ascii="仿宋_GB2312" w:hAnsi="仿宋_GB2312" w:eastAsia="仿宋_GB2312" w:cs="仿宋_GB2312"/>
          <w:sz w:val="24"/>
          <w:szCs w:val="24"/>
          <w:lang w:val="en-US" w:eastAsia="zh-CN"/>
        </w:rPr>
        <w:t>违规</w:t>
      </w:r>
      <w:r>
        <w:rPr>
          <w:rFonts w:hint="eastAsia" w:ascii="仿宋_GB2312" w:hAnsi="仿宋_GB2312" w:eastAsia="仿宋_GB2312" w:cs="仿宋_GB2312"/>
          <w:sz w:val="24"/>
          <w:szCs w:val="24"/>
          <w:lang w:eastAsia="zh-CN"/>
        </w:rPr>
        <w:t>行为。</w:t>
      </w:r>
    </w:p>
    <w:p w14:paraId="235666A0">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严格遵守《中华人民共和国数据安全法》和《中华人民共和国个人信息保护法》，在接触贵司、贵司客户、贵司员工的数据时，采取必要技术和管理措施保障数据安全，未经贵司许可，不得收集、存储、使用、传输或泄露数据。</w:t>
      </w:r>
    </w:p>
    <w:p w14:paraId="67682A5E">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如</w:t>
      </w:r>
      <w:r>
        <w:rPr>
          <w:rFonts w:hint="eastAsia" w:ascii="仿宋_GB2312" w:hAnsi="仿宋_GB2312" w:eastAsia="仿宋_GB2312" w:cs="仿宋_GB2312"/>
          <w:sz w:val="24"/>
          <w:szCs w:val="24"/>
          <w:lang w:eastAsia="zh-CN"/>
        </w:rPr>
        <w:t>可能</w:t>
      </w:r>
      <w:r>
        <w:rPr>
          <w:rFonts w:hint="eastAsia" w:ascii="仿宋_GB2312" w:hAnsi="仿宋_GB2312" w:eastAsia="仿宋_GB2312" w:cs="仿宋_GB2312"/>
          <w:sz w:val="24"/>
          <w:szCs w:val="24"/>
          <w:lang w:val="en-US" w:eastAsia="zh-CN"/>
        </w:rPr>
        <w:t>发生</w:t>
      </w:r>
      <w:r>
        <w:rPr>
          <w:rFonts w:hint="eastAsia" w:ascii="仿宋_GB2312" w:hAnsi="仿宋_GB2312" w:eastAsia="仿宋_GB2312" w:cs="仿宋_GB2312"/>
          <w:sz w:val="24"/>
          <w:szCs w:val="24"/>
          <w:lang w:eastAsia="zh-CN"/>
        </w:rPr>
        <w:t>影响合同合规履行的重大事项（</w:t>
      </w:r>
      <w:r>
        <w:rPr>
          <w:rFonts w:hint="eastAsia" w:ascii="仿宋_GB2312" w:hAnsi="仿宋_GB2312" w:eastAsia="仿宋_GB2312" w:cs="仿宋_GB2312"/>
          <w:sz w:val="24"/>
          <w:szCs w:val="24"/>
          <w:lang w:val="en-US" w:eastAsia="zh-CN"/>
        </w:rPr>
        <w:t>包括但不限于</w:t>
      </w:r>
      <w:r>
        <w:rPr>
          <w:rFonts w:hint="eastAsia" w:ascii="仿宋_GB2312" w:hAnsi="仿宋_GB2312" w:eastAsia="仿宋_GB2312" w:cs="仿宋_GB2312"/>
          <w:sz w:val="24"/>
          <w:szCs w:val="24"/>
          <w:lang w:eastAsia="zh-CN"/>
        </w:rPr>
        <w:t>资质</w:t>
      </w:r>
      <w:r>
        <w:rPr>
          <w:rFonts w:hint="eastAsia" w:ascii="仿宋_GB2312" w:hAnsi="仿宋_GB2312" w:eastAsia="仿宋_GB2312" w:cs="仿宋_GB2312"/>
          <w:sz w:val="24"/>
          <w:szCs w:val="24"/>
          <w:lang w:val="en-US" w:eastAsia="zh-CN"/>
        </w:rPr>
        <w:t>吊销或失效</w:t>
      </w:r>
      <w:r>
        <w:rPr>
          <w:rFonts w:hint="eastAsia" w:ascii="仿宋_GB2312" w:hAnsi="仿宋_GB2312" w:eastAsia="仿宋_GB2312" w:cs="仿宋_GB2312"/>
          <w:sz w:val="24"/>
          <w:szCs w:val="24"/>
          <w:lang w:eastAsia="zh-CN"/>
        </w:rPr>
        <w:t>、重大诉讼、安全事故、数据泄露、核心人员变动等），</w:t>
      </w:r>
      <w:r>
        <w:rPr>
          <w:rFonts w:hint="eastAsia" w:ascii="仿宋_GB2312" w:hAnsi="仿宋_GB2312" w:eastAsia="仿宋_GB2312" w:cs="仿宋_GB2312"/>
          <w:sz w:val="24"/>
          <w:szCs w:val="24"/>
          <w:lang w:val="en-US" w:eastAsia="zh-CN"/>
        </w:rPr>
        <w:t>我司将在知悉后3个工作日内</w:t>
      </w:r>
      <w:r>
        <w:rPr>
          <w:rFonts w:hint="eastAsia" w:ascii="仿宋_GB2312" w:hAnsi="仿宋_GB2312" w:eastAsia="仿宋_GB2312" w:cs="仿宋_GB2312"/>
          <w:sz w:val="24"/>
          <w:szCs w:val="24"/>
          <w:lang w:eastAsia="zh-CN"/>
        </w:rPr>
        <w:t>书面通知</w:t>
      </w:r>
      <w:r>
        <w:rPr>
          <w:rFonts w:hint="eastAsia" w:ascii="仿宋_GB2312" w:hAnsi="仿宋_GB2312" w:eastAsia="仿宋_GB2312" w:cs="仿宋_GB2312"/>
          <w:sz w:val="24"/>
          <w:szCs w:val="24"/>
          <w:lang w:val="en-US" w:eastAsia="zh-CN"/>
        </w:rPr>
        <w:t>贵司</w:t>
      </w:r>
      <w:r>
        <w:rPr>
          <w:rFonts w:hint="eastAsia" w:ascii="仿宋_GB2312" w:hAnsi="仿宋_GB2312" w:eastAsia="仿宋_GB2312" w:cs="仿宋_GB2312"/>
          <w:sz w:val="24"/>
          <w:szCs w:val="24"/>
          <w:lang w:eastAsia="zh-CN"/>
        </w:rPr>
        <w:t>，并</w:t>
      </w:r>
      <w:r>
        <w:rPr>
          <w:rFonts w:hint="eastAsia" w:ascii="仿宋_GB2312" w:hAnsi="仿宋_GB2312" w:eastAsia="仿宋_GB2312" w:cs="仿宋_GB2312"/>
          <w:sz w:val="24"/>
          <w:szCs w:val="24"/>
          <w:lang w:val="en-US" w:eastAsia="zh-CN"/>
        </w:rPr>
        <w:t>立即采取有效</w:t>
      </w:r>
      <w:r>
        <w:rPr>
          <w:rFonts w:hint="eastAsia" w:ascii="仿宋_GB2312" w:hAnsi="仿宋_GB2312" w:eastAsia="仿宋_GB2312" w:cs="仿宋_GB2312"/>
          <w:sz w:val="24"/>
          <w:szCs w:val="24"/>
          <w:lang w:eastAsia="zh-CN"/>
        </w:rPr>
        <w:t>措施控制风险。</w:t>
      </w:r>
    </w:p>
    <w:p w14:paraId="42BA480A">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依法配合</w:t>
      </w:r>
      <w:r>
        <w:rPr>
          <w:rFonts w:hint="eastAsia" w:ascii="仿宋_GB2312" w:hAnsi="仿宋_GB2312" w:eastAsia="仿宋_GB2312" w:cs="仿宋_GB2312"/>
          <w:sz w:val="24"/>
          <w:szCs w:val="24"/>
          <w:lang w:val="en-US" w:eastAsia="zh-CN"/>
        </w:rPr>
        <w:t>贵司及其上级单位、</w:t>
      </w:r>
      <w:r>
        <w:rPr>
          <w:rFonts w:hint="eastAsia" w:ascii="仿宋_GB2312" w:hAnsi="仿宋_GB2312" w:eastAsia="仿宋_GB2312" w:cs="仿宋_GB2312"/>
          <w:sz w:val="24"/>
          <w:szCs w:val="24"/>
          <w:lang w:eastAsia="zh-CN"/>
        </w:rPr>
        <w:t>审计</w:t>
      </w:r>
      <w:r>
        <w:rPr>
          <w:rFonts w:hint="eastAsia" w:ascii="仿宋_GB2312" w:hAnsi="仿宋_GB2312" w:eastAsia="仿宋_GB2312" w:cs="仿宋_GB2312"/>
          <w:sz w:val="24"/>
          <w:szCs w:val="24"/>
          <w:lang w:val="en-US" w:eastAsia="zh-CN"/>
        </w:rPr>
        <w:t>监管机构</w:t>
      </w:r>
      <w:r>
        <w:rPr>
          <w:rFonts w:hint="eastAsia" w:ascii="仿宋_GB2312" w:hAnsi="仿宋_GB2312" w:eastAsia="仿宋_GB2312" w:cs="仿宋_GB2312"/>
          <w:sz w:val="24"/>
          <w:szCs w:val="24"/>
          <w:lang w:eastAsia="zh-CN"/>
        </w:rPr>
        <w:t>等就本项目开展的合规检查、审计或调查</w:t>
      </w:r>
      <w:r>
        <w:rPr>
          <w:rFonts w:hint="eastAsia" w:ascii="仿宋_GB2312" w:hAnsi="仿宋_GB2312" w:eastAsia="仿宋_GB2312" w:cs="仿宋_GB2312"/>
          <w:sz w:val="24"/>
          <w:szCs w:val="24"/>
          <w:lang w:val="en-US" w:eastAsia="zh-CN"/>
        </w:rPr>
        <w:t>等工作</w:t>
      </w:r>
      <w:r>
        <w:rPr>
          <w:rFonts w:hint="eastAsia" w:ascii="仿宋_GB2312" w:hAnsi="仿宋_GB2312" w:eastAsia="仿宋_GB2312" w:cs="仿宋_GB2312"/>
          <w:sz w:val="24"/>
          <w:szCs w:val="24"/>
          <w:lang w:eastAsia="zh-CN"/>
        </w:rPr>
        <w:t>，如实、</w:t>
      </w:r>
      <w:r>
        <w:rPr>
          <w:rFonts w:hint="eastAsia" w:ascii="仿宋_GB2312" w:hAnsi="仿宋_GB2312" w:eastAsia="仿宋_GB2312" w:cs="仿宋_GB2312"/>
          <w:sz w:val="24"/>
          <w:szCs w:val="24"/>
          <w:lang w:val="en-US" w:eastAsia="zh-CN"/>
        </w:rPr>
        <w:t>及时</w:t>
      </w:r>
      <w:r>
        <w:rPr>
          <w:rFonts w:hint="eastAsia" w:ascii="仿宋_GB2312" w:hAnsi="仿宋_GB2312" w:eastAsia="仿宋_GB2312" w:cs="仿宋_GB2312"/>
          <w:sz w:val="24"/>
          <w:szCs w:val="24"/>
          <w:lang w:eastAsia="zh-CN"/>
        </w:rPr>
        <w:t>提供所需文件、记录及说明，不得拒绝、拖延或提供虚假信息。</w:t>
      </w:r>
    </w:p>
    <w:p w14:paraId="235A41F9">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我司理解并接受贵司对我司合规履约情况的监督，如贵司发现我司存在违规行为，有权书面告知我司并要求限期纠正；</w:t>
      </w:r>
      <w:r>
        <w:rPr>
          <w:rFonts w:hint="eastAsia" w:ascii="仿宋_GB2312" w:hAnsi="仿宋_GB2312" w:eastAsia="仿宋_GB2312" w:cs="仿宋_GB2312"/>
          <w:sz w:val="24"/>
          <w:szCs w:val="24"/>
          <w:lang w:eastAsia="zh-CN"/>
        </w:rPr>
        <w:t>情节严重的，</w:t>
      </w:r>
      <w:r>
        <w:rPr>
          <w:rFonts w:hint="eastAsia" w:ascii="仿宋_GB2312" w:hAnsi="仿宋_GB2312" w:eastAsia="仿宋_GB2312" w:cs="仿宋_GB2312"/>
          <w:sz w:val="24"/>
          <w:szCs w:val="24"/>
          <w:lang w:val="en-US" w:eastAsia="zh-CN"/>
        </w:rPr>
        <w:t>贵司</w:t>
      </w:r>
      <w:r>
        <w:rPr>
          <w:rFonts w:hint="eastAsia" w:ascii="仿宋_GB2312" w:hAnsi="仿宋_GB2312" w:eastAsia="仿宋_GB2312" w:cs="仿宋_GB2312"/>
          <w:sz w:val="24"/>
          <w:szCs w:val="24"/>
          <w:lang w:eastAsia="zh-CN"/>
        </w:rPr>
        <w:t>有权向相关主管部门举报。</w:t>
      </w:r>
    </w:p>
    <w:p w14:paraId="1E613565">
      <w:pPr>
        <w:keepNext w:val="0"/>
        <w:keepLines w:val="0"/>
        <w:pageBreakBefore w:val="0"/>
        <w:widowControl w:val="0"/>
        <w:numPr>
          <w:ilvl w:val="0"/>
          <w:numId w:val="6"/>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若</w:t>
      </w:r>
      <w:r>
        <w:rPr>
          <w:rFonts w:hint="eastAsia" w:ascii="仿宋_GB2312" w:hAnsi="仿宋_GB2312" w:eastAsia="仿宋_GB2312" w:cs="仿宋_GB2312"/>
          <w:sz w:val="24"/>
          <w:szCs w:val="24"/>
          <w:lang w:val="en-US" w:eastAsia="zh-CN"/>
        </w:rPr>
        <w:t>我司违反上述任一承诺，即构成对主合同的严重违约，贵司有权依据双方签订的《</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项目合同》中约定的违约责任条款，单方采取包括但不限于要求限期整改、暂停履约、扣除履约保证金、解除合同、追究违约金及索赔损失等部分或全部措施，且不因此承担任何不利后果。如主合同未明确相关违约责任，则贵司仍有权依法采取必要措施维护自身合法权益。</w:t>
      </w:r>
    </w:p>
    <w:p w14:paraId="6D43851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lang w:eastAsia="zh-CN"/>
        </w:rPr>
        <w:t>本承诺书自</w:t>
      </w: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签字盖章之日起生效，有效期与双方就本次项目签订的合同履约期一致；</w:t>
      </w:r>
      <w:r>
        <w:rPr>
          <w:rFonts w:hint="eastAsia" w:ascii="仿宋_GB2312" w:hAnsi="仿宋_GB2312" w:eastAsia="仿宋_GB2312" w:cs="仿宋_GB2312"/>
          <w:sz w:val="24"/>
          <w:szCs w:val="24"/>
          <w:lang w:val="en-US" w:eastAsia="zh-CN"/>
        </w:rPr>
        <w:t>主</w:t>
      </w:r>
      <w:r>
        <w:rPr>
          <w:rFonts w:hint="eastAsia" w:ascii="仿宋_GB2312" w:hAnsi="仿宋_GB2312" w:eastAsia="仿宋_GB2312" w:cs="仿宋_GB2312"/>
          <w:sz w:val="24"/>
          <w:szCs w:val="24"/>
          <w:lang w:eastAsia="zh-CN"/>
        </w:rPr>
        <w:t>合同终止或解除后，本承诺书中关于违约责任、赔偿、保密、数据保护、知识产权等条款继续有效，对</w:t>
      </w: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因本次合作产生的违规行为仍具有约束力。</w:t>
      </w:r>
    </w:p>
    <w:p w14:paraId="5782A39E">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特此承诺。</w:t>
      </w:r>
    </w:p>
    <w:p w14:paraId="378DD52F">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0678FC3">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lang w:val="en-US" w:eastAsia="zh-CN"/>
        </w:rPr>
        <w:t>承诺人</w:t>
      </w:r>
      <w:r>
        <w:rPr>
          <w:rFonts w:hint="eastAsia" w:ascii="仿宋_GB2312" w:hAnsi="仿宋_GB2312" w:eastAsia="仿宋_GB2312" w:cs="仿宋_GB2312"/>
          <w:smallCaps w:val="0"/>
          <w:sz w:val="24"/>
          <w:highlight w:val="none"/>
        </w:rPr>
        <w:t>：（盖章）</w:t>
      </w:r>
    </w:p>
    <w:p w14:paraId="608EB2A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法定代表人或授权代表：（签字）                                 </w:t>
      </w:r>
    </w:p>
    <w:p w14:paraId="52AA13F7">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8"/>
          <w:szCs w:val="28"/>
          <w:highlight w:val="none"/>
        </w:rPr>
      </w:pPr>
      <w:r>
        <w:rPr>
          <w:rFonts w:hint="eastAsia" w:ascii="仿宋_GB2312" w:hAnsi="仿宋_GB2312" w:eastAsia="仿宋_GB2312" w:cs="仿宋_GB2312"/>
          <w:smallCaps w:val="0"/>
          <w:sz w:val="24"/>
          <w:highlight w:val="none"/>
        </w:rPr>
        <w:t>日期：</w:t>
      </w:r>
    </w:p>
    <w:p w14:paraId="345E19C8">
      <w:pPr>
        <w:keepNext w:val="0"/>
        <w:keepLines w:val="0"/>
        <w:pageBreakBefore w:val="0"/>
        <w:kinsoku/>
        <w:wordWrap/>
        <w:overflowPunct/>
        <w:topLinePunct w:val="0"/>
        <w:autoSpaceDE/>
        <w:autoSpaceDN/>
        <w:bidi w:val="0"/>
        <w:adjustRightInd/>
        <w:snapToGrid/>
        <w:spacing w:line="300" w:lineRule="exact"/>
        <w:ind w:left="0" w:firstLine="480" w:firstLineChars="200"/>
        <w:textAlignment w:val="auto"/>
        <w:rPr>
          <w:rFonts w:hint="eastAsia" w:ascii="仿宋" w:hAnsi="仿宋" w:eastAsia="仿宋" w:cs="Times New Roman"/>
          <w:sz w:val="24"/>
          <w:szCs w:val="24"/>
          <w:highlight w:val="none"/>
        </w:rPr>
      </w:pPr>
    </w:p>
    <w:p w14:paraId="50377986">
      <w:pPr>
        <w:widowControl w:val="0"/>
        <w:spacing w:line="320" w:lineRule="exact"/>
        <w:ind w:left="426" w:firstLine="480"/>
        <w:rPr>
          <w:rFonts w:ascii="仿宋" w:hAnsi="仿宋" w:eastAsia="仿宋"/>
          <w:sz w:val="24"/>
          <w:highlight w:val="none"/>
        </w:rPr>
      </w:pPr>
      <w:r>
        <w:rPr>
          <w:rFonts w:hint="eastAsia" w:ascii="宋体" w:hAnsi="宋体" w:cs="宋体"/>
          <w:b/>
          <w:sz w:val="28"/>
          <w:szCs w:val="28"/>
          <w:highlight w:val="none"/>
        </w:rPr>
        <w:br w:type="page"/>
      </w:r>
    </w:p>
    <w:p w14:paraId="01EC706A">
      <w:pPr>
        <w:pStyle w:val="3"/>
        <w:keepNext/>
        <w:keepLines/>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sz w:val="32"/>
          <w:szCs w:val="32"/>
          <w:highlight w:val="none"/>
        </w:rPr>
      </w:pPr>
      <w:bookmarkStart w:id="218" w:name="_Toc5994"/>
      <w:bookmarkStart w:id="219" w:name="_Toc16574"/>
      <w:bookmarkStart w:id="220" w:name="_Toc30657"/>
      <w:r>
        <w:rPr>
          <w:rFonts w:hint="eastAsia" w:ascii="黑体" w:hAnsi="黑体" w:eastAsia="黑体" w:cs="黑体"/>
          <w:b w:val="0"/>
          <w:bCs/>
          <w:sz w:val="32"/>
          <w:szCs w:val="32"/>
          <w:highlight w:val="none"/>
        </w:rPr>
        <w:t xml:space="preserve">第四章 </w:t>
      </w:r>
      <w:r>
        <w:rPr>
          <w:rFonts w:hint="eastAsia" w:ascii="黑体" w:hAnsi="黑体" w:cs="黑体"/>
          <w:b w:val="0"/>
          <w:bCs/>
          <w:sz w:val="32"/>
          <w:szCs w:val="32"/>
          <w:highlight w:val="none"/>
          <w:lang w:val="en-US" w:eastAsia="zh-CN"/>
        </w:rPr>
        <w:t xml:space="preserve"> </w:t>
      </w:r>
      <w:r>
        <w:rPr>
          <w:rFonts w:hint="eastAsia" w:ascii="黑体" w:hAnsi="黑体" w:eastAsia="黑体" w:cs="黑体"/>
          <w:b w:val="0"/>
          <w:bCs/>
          <w:sz w:val="32"/>
          <w:szCs w:val="32"/>
          <w:highlight w:val="none"/>
        </w:rPr>
        <w:t>投标文件格式</w:t>
      </w:r>
      <w:bookmarkEnd w:id="212"/>
      <w:bookmarkEnd w:id="218"/>
      <w:bookmarkEnd w:id="219"/>
      <w:bookmarkEnd w:id="220"/>
    </w:p>
    <w:p w14:paraId="74B50C25">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outlineLvl w:val="0"/>
        <w:rPr>
          <w:rFonts w:hint="eastAsia" w:ascii="仿宋" w:hAnsi="仿宋" w:eastAsia="仿宋" w:cs="仿宋"/>
          <w:b w:val="0"/>
          <w:bCs/>
          <w:sz w:val="24"/>
          <w:szCs w:val="24"/>
          <w:highlight w:val="none"/>
        </w:rPr>
      </w:pPr>
      <w:bookmarkStart w:id="221" w:name="_Toc27533"/>
      <w:bookmarkStart w:id="222" w:name="_Toc1230"/>
      <w:bookmarkStart w:id="223" w:name="_Toc5822"/>
      <w:bookmarkStart w:id="224" w:name="_Toc20609"/>
      <w:r>
        <w:rPr>
          <w:rFonts w:hint="eastAsia" w:ascii="仿宋" w:hAnsi="仿宋" w:eastAsia="仿宋" w:cs="仿宋"/>
          <w:b w:val="0"/>
          <w:bCs/>
          <w:sz w:val="24"/>
          <w:szCs w:val="24"/>
          <w:highlight w:val="none"/>
        </w:rPr>
        <w:t>格式1：《唱标信封》</w:t>
      </w:r>
      <w:bookmarkEnd w:id="221"/>
      <w:bookmarkEnd w:id="222"/>
      <w:bookmarkEnd w:id="223"/>
      <w:bookmarkEnd w:id="224"/>
    </w:p>
    <w:p w14:paraId="2A142D8C">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68A0643B">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0A8FE9FE">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3C7EA996">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3B56A7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唱 标 信 封</w:t>
      </w:r>
    </w:p>
    <w:p w14:paraId="49F767C4">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3AB3CFDD">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4AF626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w w:val="95"/>
          <w:sz w:val="28"/>
          <w:szCs w:val="28"/>
          <w:highlight w:val="none"/>
          <w:lang w:val="en-US" w:eastAsia="zh-CN"/>
        </w:rPr>
      </w:pPr>
      <w:r>
        <w:rPr>
          <w:rFonts w:hint="eastAsia" w:ascii="Times New Roman" w:hAnsi="Times New Roman" w:eastAsia="仿宋_GB2312" w:cs="仿宋_GB2312"/>
          <w:b/>
          <w:bCs w:val="0"/>
          <w:w w:val="95"/>
          <w:sz w:val="28"/>
          <w:szCs w:val="28"/>
          <w:highlight w:val="none"/>
        </w:rPr>
        <w:t>项目名称：</w:t>
      </w:r>
      <w:r>
        <w:rPr>
          <w:rFonts w:hint="eastAsia" w:ascii="Times New Roman" w:hAnsi="Times New Roman" w:eastAsia="仿宋_GB2312" w:cs="仿宋_GB2312"/>
          <w:b w:val="0"/>
          <w:bCs/>
          <w:sz w:val="28"/>
          <w:szCs w:val="28"/>
          <w:highlight w:val="none"/>
          <w:u w:val="single"/>
          <w:lang w:eastAsia="zh-CN"/>
        </w:rPr>
        <w:t>深圳市鹏劳人力资源管理有限公司</w:t>
      </w:r>
      <w:r>
        <w:rPr>
          <w:rFonts w:hint="eastAsia" w:ascii="Times New Roman" w:hAnsi="Times New Roman" w:eastAsia="仿宋_GB2312" w:cs="仿宋_GB2312"/>
          <w:b w:val="0"/>
          <w:bCs/>
          <w:sz w:val="28"/>
          <w:szCs w:val="28"/>
          <w:highlight w:val="none"/>
          <w:u w:val="single"/>
          <w:lang w:val="en-US" w:eastAsia="zh-CN"/>
        </w:rPr>
        <w:t>2026-2028年度某互联网银行外包项目招聘服务项目</w:t>
      </w:r>
    </w:p>
    <w:p w14:paraId="097A31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lang w:val="en-US" w:eastAsia="zh-CN"/>
        </w:rPr>
      </w:pPr>
      <w:r>
        <w:rPr>
          <w:rFonts w:hint="eastAsia" w:ascii="Times New Roman" w:hAnsi="Times New Roman" w:eastAsia="仿宋_GB2312" w:cs="仿宋_GB2312"/>
          <w:b/>
          <w:bCs w:val="0"/>
          <w:sz w:val="28"/>
          <w:szCs w:val="28"/>
          <w:highlight w:val="none"/>
        </w:rPr>
        <w:t>招标编号：</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u w:val="single"/>
          <w:lang w:eastAsia="zh-CN"/>
        </w:rPr>
        <w:t>PLHR-ZB-FW-20260</w:t>
      </w:r>
      <w:r>
        <w:rPr>
          <w:rFonts w:hint="eastAsia" w:ascii="Times New Roman" w:hAnsi="Times New Roman" w:eastAsia="仿宋_GB2312" w:cs="仿宋_GB2312"/>
          <w:b w:val="0"/>
          <w:bCs/>
          <w:sz w:val="28"/>
          <w:szCs w:val="28"/>
          <w:highlight w:val="none"/>
          <w:u w:val="single"/>
          <w:lang w:val="en-US" w:eastAsia="zh-CN"/>
        </w:rPr>
        <w:t xml:space="preserve">3 </w:t>
      </w:r>
    </w:p>
    <w:p w14:paraId="1C736C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u w:val="single"/>
          <w:lang w:val="en-US" w:eastAsia="zh-CN"/>
        </w:rPr>
      </w:pPr>
      <w:r>
        <w:rPr>
          <w:rFonts w:hint="eastAsia" w:ascii="Times New Roman" w:hAnsi="Times New Roman" w:eastAsia="仿宋_GB2312" w:cs="仿宋_GB2312"/>
          <w:b/>
          <w:bCs w:val="0"/>
          <w:sz w:val="28"/>
          <w:szCs w:val="28"/>
          <w:highlight w:val="none"/>
        </w:rPr>
        <w:t>投标人（盖章）：</w:t>
      </w:r>
      <w:r>
        <w:rPr>
          <w:rFonts w:hint="eastAsia" w:ascii="Times New Roman" w:hAnsi="Times New Roman" w:eastAsia="仿宋_GB2312" w:cs="仿宋_GB2312"/>
          <w:b w:val="0"/>
          <w:bCs/>
          <w:sz w:val="28"/>
          <w:szCs w:val="28"/>
          <w:highlight w:val="none"/>
          <w:u w:val="single"/>
          <w:lang w:val="en-US" w:eastAsia="zh-CN"/>
        </w:rPr>
        <w:t xml:space="preserve">                    </w:t>
      </w:r>
    </w:p>
    <w:p w14:paraId="2B330244">
      <w:pPr>
        <w:keepNext w:val="0"/>
        <w:keepLines w:val="0"/>
        <w:pageBreakBefore w:val="0"/>
        <w:widowControl w:val="0"/>
        <w:tabs>
          <w:tab w:val="left" w:pos="840"/>
        </w:tabs>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u w:val="single"/>
          <w:lang w:val="en-US" w:eastAsia="zh-CN"/>
        </w:rPr>
      </w:pPr>
      <w:r>
        <w:rPr>
          <w:rFonts w:hint="eastAsia" w:ascii="Times New Roman" w:hAnsi="Times New Roman" w:eastAsia="仿宋_GB2312" w:cs="仿宋_GB2312"/>
          <w:b/>
          <w:bCs w:val="0"/>
          <w:sz w:val="28"/>
          <w:szCs w:val="28"/>
          <w:highlight w:val="none"/>
        </w:rPr>
        <w:t>法定代表人或授权委托人签字</w:t>
      </w:r>
      <w:r>
        <w:rPr>
          <w:rFonts w:hint="eastAsia" w:ascii="Times New Roman" w:hAnsi="Times New Roman" w:eastAsia="仿宋_GB2312" w:cs="仿宋_GB2312"/>
          <w:b w:val="0"/>
          <w:bCs/>
          <w:sz w:val="28"/>
          <w:szCs w:val="28"/>
          <w:highlight w:val="none"/>
        </w:rPr>
        <w:t>：</w:t>
      </w:r>
      <w:r>
        <w:rPr>
          <w:rFonts w:hint="eastAsia" w:ascii="Times New Roman" w:hAnsi="Times New Roman" w:eastAsia="仿宋_GB2312" w:cs="仿宋_GB2312"/>
          <w:b w:val="0"/>
          <w:bCs/>
          <w:sz w:val="28"/>
          <w:szCs w:val="28"/>
          <w:highlight w:val="none"/>
          <w:u w:val="single"/>
          <w:lang w:val="en-US" w:eastAsia="zh-CN"/>
        </w:rPr>
        <w:t xml:space="preserve">                   </w:t>
      </w:r>
    </w:p>
    <w:p w14:paraId="7ADE12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rPr>
      </w:pPr>
      <w:r>
        <w:rPr>
          <w:rFonts w:hint="eastAsia" w:ascii="Times New Roman" w:hAnsi="Times New Roman" w:eastAsia="仿宋_GB2312" w:cs="仿宋_GB2312"/>
          <w:b/>
          <w:bCs w:val="0"/>
          <w:sz w:val="28"/>
          <w:szCs w:val="28"/>
          <w:highlight w:val="none"/>
        </w:rPr>
        <w:t>投标日期：</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rPr>
        <w:t>年</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rPr>
        <w:t>月</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rPr>
        <w:t>日</w:t>
      </w:r>
    </w:p>
    <w:p w14:paraId="0DD1B693">
      <w:pPr>
        <w:pageBreakBefore w:val="0"/>
        <w:kinsoku/>
        <w:overflowPunct/>
        <w:topLinePunct w:val="0"/>
        <w:autoSpaceDE/>
        <w:autoSpaceDN/>
        <w:bidi w:val="0"/>
        <w:spacing w:beforeLines="30" w:line="560" w:lineRule="exact"/>
        <w:rPr>
          <w:rFonts w:hint="eastAsia" w:ascii="Times New Roman" w:hAnsi="Times New Roman" w:eastAsia="仿宋_GB2312" w:cs="仿宋_GB2312"/>
          <w:b w:val="0"/>
          <w:bCs/>
          <w:sz w:val="32"/>
          <w:szCs w:val="32"/>
          <w:highlight w:val="none"/>
        </w:rPr>
      </w:pPr>
    </w:p>
    <w:p w14:paraId="2D5C372D">
      <w:pPr>
        <w:pageBreakBefore w:val="0"/>
        <w:kinsoku/>
        <w:overflowPunct/>
        <w:topLinePunct w:val="0"/>
        <w:autoSpaceDE/>
        <w:autoSpaceDN/>
        <w:bidi w:val="0"/>
        <w:spacing w:beforeLines="30" w:line="560" w:lineRule="exact"/>
        <w:rPr>
          <w:rFonts w:hint="eastAsia" w:ascii="Times New Roman" w:hAnsi="Times New Roman" w:eastAsia="仿宋_GB2312" w:cs="仿宋_GB2312"/>
          <w:b w:val="0"/>
          <w:bCs/>
          <w:sz w:val="32"/>
          <w:szCs w:val="32"/>
          <w:highlight w:val="none"/>
        </w:rPr>
      </w:pPr>
    </w:p>
    <w:p w14:paraId="063420FF">
      <w:pPr>
        <w:pageBreakBefore w:val="0"/>
        <w:kinsoku/>
        <w:overflowPunct/>
        <w:topLinePunct w:val="0"/>
        <w:autoSpaceDE/>
        <w:autoSpaceDN/>
        <w:bidi w:val="0"/>
        <w:spacing w:line="560" w:lineRule="exact"/>
        <w:jc w:val="center"/>
        <w:rPr>
          <w:rFonts w:hint="eastAsia" w:ascii="Times New Roman" w:hAnsi="Times New Roman" w:eastAsia="仿宋_GB2312" w:cs="仿宋_GB2312"/>
          <w:b w:val="0"/>
          <w:bCs/>
          <w:sz w:val="32"/>
          <w:szCs w:val="32"/>
          <w:highlight w:val="none"/>
        </w:rPr>
      </w:pPr>
      <w:r>
        <w:rPr>
          <w:rFonts w:hint="eastAsia" w:ascii="Times New Roman" w:hAnsi="Times New Roman" w:eastAsia="仿宋_GB2312" w:cs="仿宋_GB2312"/>
          <w:b w:val="0"/>
          <w:bCs/>
          <w:sz w:val="32"/>
          <w:szCs w:val="32"/>
          <w:highlight w:val="none"/>
        </w:rPr>
        <w:t>（</w:t>
      </w:r>
      <w:r>
        <w:rPr>
          <w:rFonts w:hint="eastAsia" w:ascii="Times New Roman" w:hAnsi="Times New Roman" w:eastAsia="仿宋_GB2312" w:cs="仿宋_GB2312"/>
          <w:b w:val="0"/>
          <w:bCs/>
          <w:sz w:val="32"/>
          <w:szCs w:val="32"/>
          <w:highlight w:val="none"/>
          <w:lang w:eastAsia="zh-CN"/>
        </w:rPr>
        <w:t>2026</w:t>
      </w:r>
      <w:r>
        <w:rPr>
          <w:rFonts w:hint="eastAsia" w:ascii="Times New Roman" w:hAnsi="Times New Roman" w:eastAsia="仿宋_GB2312" w:cs="仿宋_GB2312"/>
          <w:b w:val="0"/>
          <w:bCs/>
          <w:sz w:val="32"/>
          <w:szCs w:val="32"/>
          <w:highlight w:val="none"/>
        </w:rPr>
        <w:t>年</w:t>
      </w:r>
      <w:r>
        <w:rPr>
          <w:rFonts w:hint="eastAsia" w:ascii="Times New Roman" w:hAnsi="Times New Roman" w:eastAsia="仿宋_GB2312" w:cs="仿宋_GB2312"/>
          <w:b w:val="0"/>
          <w:bCs/>
          <w:sz w:val="32"/>
          <w:szCs w:val="32"/>
          <w:highlight w:val="none"/>
          <w:lang w:val="en-US" w:eastAsia="zh-CN"/>
        </w:rPr>
        <w:t>4</w:t>
      </w:r>
      <w:r>
        <w:rPr>
          <w:rFonts w:hint="eastAsia" w:ascii="Times New Roman" w:hAnsi="Times New Roman" w:eastAsia="仿宋_GB2312" w:cs="仿宋_GB2312"/>
          <w:b w:val="0"/>
          <w:bCs/>
          <w:sz w:val="32"/>
          <w:szCs w:val="32"/>
          <w:highlight w:val="none"/>
        </w:rPr>
        <w:t>月</w:t>
      </w:r>
      <w:r>
        <w:rPr>
          <w:rFonts w:hint="eastAsia" w:ascii="Times New Roman" w:hAnsi="Times New Roman" w:eastAsia="仿宋_GB2312" w:cs="仿宋_GB2312"/>
          <w:b w:val="0"/>
          <w:bCs/>
          <w:sz w:val="32"/>
          <w:szCs w:val="32"/>
          <w:highlight w:val="none"/>
          <w:lang w:val="en-US" w:eastAsia="zh-CN"/>
        </w:rPr>
        <w:t>7</w:t>
      </w:r>
      <w:r>
        <w:rPr>
          <w:rFonts w:hint="eastAsia" w:ascii="Times New Roman" w:hAnsi="Times New Roman" w:eastAsia="仿宋_GB2312" w:cs="仿宋_GB2312"/>
          <w:b w:val="0"/>
          <w:bCs/>
          <w:sz w:val="32"/>
          <w:szCs w:val="32"/>
          <w:highlight w:val="none"/>
        </w:rPr>
        <w:t>日</w:t>
      </w:r>
      <w:r>
        <w:rPr>
          <w:rFonts w:hint="eastAsia" w:ascii="Times New Roman" w:hAnsi="Times New Roman" w:eastAsia="仿宋_GB2312" w:cs="仿宋_GB2312"/>
          <w:b w:val="0"/>
          <w:bCs/>
          <w:sz w:val="32"/>
          <w:szCs w:val="32"/>
          <w:highlight w:val="none"/>
          <w:lang w:val="en-US" w:eastAsia="zh-CN"/>
        </w:rPr>
        <w:t>14</w:t>
      </w:r>
      <w:r>
        <w:rPr>
          <w:rFonts w:hint="eastAsia" w:ascii="Times New Roman" w:hAnsi="Times New Roman" w:eastAsia="仿宋_GB2312" w:cs="仿宋_GB2312"/>
          <w:b w:val="0"/>
          <w:bCs/>
          <w:sz w:val="32"/>
          <w:szCs w:val="32"/>
          <w:highlight w:val="none"/>
        </w:rPr>
        <w:t>时</w:t>
      </w:r>
      <w:r>
        <w:rPr>
          <w:rFonts w:hint="eastAsia" w:ascii="Times New Roman" w:hAnsi="Times New Roman" w:eastAsia="仿宋_GB2312" w:cs="仿宋_GB2312"/>
          <w:b w:val="0"/>
          <w:bCs/>
          <w:sz w:val="32"/>
          <w:szCs w:val="32"/>
          <w:highlight w:val="none"/>
          <w:lang w:val="en-US" w:eastAsia="zh-CN"/>
        </w:rPr>
        <w:t>30</w:t>
      </w:r>
      <w:r>
        <w:rPr>
          <w:rFonts w:hint="eastAsia" w:ascii="Times New Roman" w:hAnsi="Times New Roman" w:eastAsia="仿宋_GB2312" w:cs="仿宋_GB2312"/>
          <w:b w:val="0"/>
          <w:bCs/>
          <w:sz w:val="32"/>
          <w:szCs w:val="32"/>
          <w:highlight w:val="none"/>
        </w:rPr>
        <w:t>分前不得开启）</w:t>
      </w:r>
    </w:p>
    <w:p w14:paraId="239538AE">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165A82D7">
      <w:pPr>
        <w:pStyle w:val="8"/>
        <w:rPr>
          <w:rFonts w:hint="eastAsia" w:ascii="仿宋" w:hAnsi="仿宋" w:eastAsia="仿宋" w:cs="仿宋"/>
          <w:b w:val="0"/>
          <w:bCs/>
          <w:sz w:val="32"/>
          <w:szCs w:val="32"/>
          <w:highlight w:val="none"/>
        </w:rPr>
      </w:pPr>
    </w:p>
    <w:p w14:paraId="289AB9BA">
      <w:pPr>
        <w:rPr>
          <w:rFonts w:hint="eastAsia" w:ascii="仿宋" w:hAnsi="仿宋" w:eastAsia="仿宋" w:cs="仿宋"/>
          <w:b w:val="0"/>
          <w:bCs/>
          <w:sz w:val="32"/>
          <w:szCs w:val="32"/>
          <w:highlight w:val="none"/>
        </w:rPr>
      </w:pPr>
    </w:p>
    <w:p w14:paraId="002814C5">
      <w:pPr>
        <w:pStyle w:val="8"/>
        <w:rPr>
          <w:rFonts w:hint="eastAsia"/>
          <w:highlight w:val="none"/>
        </w:rPr>
      </w:pPr>
    </w:p>
    <w:p w14:paraId="13696CCF">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outlineLvl w:val="0"/>
        <w:rPr>
          <w:rFonts w:hint="eastAsia" w:ascii="仿宋" w:hAnsi="仿宋" w:eastAsia="仿宋" w:cs="仿宋"/>
          <w:b w:val="0"/>
          <w:bCs/>
          <w:sz w:val="24"/>
          <w:szCs w:val="24"/>
          <w:highlight w:val="none"/>
        </w:rPr>
      </w:pPr>
      <w:bookmarkStart w:id="225" w:name="_Toc23060"/>
      <w:bookmarkStart w:id="226" w:name="_Toc29657"/>
      <w:bookmarkStart w:id="227" w:name="_Toc28020"/>
      <w:bookmarkStart w:id="228" w:name="_Toc29226"/>
      <w:r>
        <w:rPr>
          <w:rFonts w:hint="eastAsia" w:ascii="仿宋" w:hAnsi="仿宋" w:eastAsia="仿宋" w:cs="仿宋"/>
          <w:b w:val="0"/>
          <w:bCs/>
          <w:sz w:val="24"/>
          <w:szCs w:val="24"/>
          <w:highlight w:val="none"/>
        </w:rPr>
        <w:t>格式2：开标一览表</w:t>
      </w:r>
      <w:bookmarkEnd w:id="225"/>
      <w:bookmarkEnd w:id="226"/>
      <w:bookmarkEnd w:id="227"/>
      <w:bookmarkEnd w:id="228"/>
    </w:p>
    <w:p w14:paraId="6341D456">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开标一览表</w:t>
      </w:r>
    </w:p>
    <w:p w14:paraId="2E3C6161">
      <w:pPr>
        <w:autoSpaceDE w:val="0"/>
        <w:autoSpaceDN w:val="0"/>
        <w:adjustRightInd w:val="0"/>
        <w:snapToGrid w:val="0"/>
        <w:spacing w:line="360" w:lineRule="auto"/>
        <w:ind w:firstLine="420" w:firstLineChars="200"/>
        <w:jc w:val="left"/>
        <w:rPr>
          <w:rFonts w:hint="eastAsia" w:ascii="宋体" w:hAnsi="宋体" w:eastAsia="宋体" w:cs="Times New Roman"/>
          <w:szCs w:val="21"/>
          <w:highlight w:val="none"/>
          <w:u w:val="single"/>
        </w:rPr>
      </w:pPr>
      <w:r>
        <w:rPr>
          <w:rFonts w:hint="eastAsia" w:ascii="宋体" w:hAnsi="宋体" w:eastAsia="宋体" w:cs="Times New Roman"/>
          <w:szCs w:val="21"/>
          <w:highlight w:val="none"/>
        </w:rPr>
        <w:t>项目名称：</w:t>
      </w:r>
      <w:r>
        <w:rPr>
          <w:rFonts w:hint="eastAsia" w:ascii="宋体" w:hAnsi="宋体" w:eastAsia="宋体" w:cs="Times New Roman"/>
          <w:szCs w:val="21"/>
          <w:highlight w:val="none"/>
          <w:u w:val="single"/>
        </w:rPr>
        <w:t xml:space="preserve">                        </w:t>
      </w:r>
    </w:p>
    <w:p w14:paraId="5D708D45">
      <w:pPr>
        <w:autoSpaceDE w:val="0"/>
        <w:autoSpaceDN w:val="0"/>
        <w:adjustRightInd w:val="0"/>
        <w:snapToGrid w:val="0"/>
        <w:spacing w:line="360" w:lineRule="auto"/>
        <w:ind w:firstLine="420" w:firstLineChars="200"/>
        <w:jc w:val="left"/>
        <w:rPr>
          <w:rFonts w:hint="eastAsia" w:ascii="宋体" w:hAnsi="宋体" w:eastAsia="宋体" w:cs="Times New Roman"/>
          <w:szCs w:val="21"/>
          <w:highlight w:val="none"/>
          <w:u w:val="single"/>
        </w:rPr>
      </w:pPr>
      <w:r>
        <w:rPr>
          <w:rFonts w:hint="eastAsia" w:ascii="宋体" w:hAnsi="宋体" w:eastAsia="宋体" w:cs="Times New Roman"/>
          <w:szCs w:val="21"/>
          <w:highlight w:val="none"/>
        </w:rPr>
        <w:t>项目编号：</w:t>
      </w:r>
      <w:r>
        <w:rPr>
          <w:rFonts w:hint="eastAsia" w:ascii="宋体" w:hAnsi="宋体" w:eastAsia="宋体" w:cs="Times New Roman"/>
          <w:szCs w:val="21"/>
          <w:highlight w:val="none"/>
          <w:u w:val="single"/>
        </w:rPr>
        <w:t xml:space="preserve">                        </w:t>
      </w:r>
    </w:p>
    <w:p w14:paraId="41E87166">
      <w:pPr>
        <w:widowControl/>
        <w:adjustRightInd w:val="0"/>
        <w:snapToGrid w:val="0"/>
        <w:spacing w:line="288" w:lineRule="auto"/>
        <w:ind w:firstLine="420" w:firstLineChars="200"/>
        <w:jc w:val="left"/>
        <w:rPr>
          <w:rFonts w:hint="eastAsia" w:ascii="宋体" w:hAnsi="宋体" w:eastAsia="宋体" w:cs="宋体"/>
          <w:szCs w:val="21"/>
          <w:highlight w:val="none"/>
          <w:u w:val="single"/>
        </w:rPr>
      </w:pPr>
      <w:bookmarkStart w:id="229" w:name="_Toc201743175"/>
      <w:bookmarkStart w:id="230" w:name="_Toc285611324"/>
      <w:bookmarkStart w:id="231" w:name="_Toc349224955"/>
      <w:bookmarkStart w:id="232" w:name="_Toc350770143"/>
      <w:bookmarkStart w:id="233" w:name="_Toc342056723"/>
      <w:bookmarkStart w:id="234" w:name="_Toc201401716"/>
      <w:bookmarkStart w:id="235" w:name="_Toc291178366"/>
      <w:bookmarkStart w:id="236" w:name="_Toc351032922"/>
      <w:bookmarkStart w:id="237" w:name="_Toc373075880"/>
      <w:bookmarkStart w:id="238" w:name="_Toc353538815"/>
      <w:bookmarkStart w:id="239" w:name="_Toc353179117"/>
      <w:bookmarkStart w:id="240" w:name="_Toc372450815"/>
      <w:bookmarkStart w:id="241" w:name="_Toc342394853"/>
      <w:bookmarkStart w:id="242" w:name="_Toc199213770"/>
      <w:bookmarkStart w:id="243" w:name="_Toc199215999"/>
      <w:bookmarkStart w:id="244" w:name="_Toc353110277"/>
      <w:bookmarkStart w:id="245" w:name="_Toc354072485"/>
      <w:bookmarkStart w:id="246" w:name="_Toc201742920"/>
      <w:bookmarkStart w:id="247" w:name="_Toc350769836"/>
      <w:bookmarkStart w:id="248" w:name="_Toc280341062"/>
      <w:bookmarkStart w:id="249" w:name="_Toc290993142"/>
      <w:bookmarkStart w:id="250" w:name="_Toc342473298"/>
      <w:bookmarkStart w:id="251" w:name="_Toc280341060"/>
      <w:bookmarkStart w:id="252" w:name="_Toc342064557"/>
      <w:bookmarkStart w:id="253" w:name="_Toc350774927"/>
      <w:bookmarkStart w:id="254" w:name="_Toc201998003"/>
      <w:bookmarkStart w:id="255" w:name="_Toc199215805"/>
      <w:bookmarkStart w:id="256" w:name="_Toc201719175"/>
      <w:bookmarkStart w:id="257" w:name="_Toc354928098"/>
      <w:bookmarkStart w:id="258" w:name="_Toc278893413"/>
      <w:bookmarkStart w:id="259" w:name="_Toc350871837"/>
      <w:r>
        <w:rPr>
          <w:rFonts w:hint="eastAsia" w:ascii="宋体" w:hAnsi="宋体" w:eastAsia="宋体" w:cs="宋体"/>
          <w:szCs w:val="21"/>
          <w:highlight w:val="none"/>
        </w:rPr>
        <w:t>人民币：元</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3164"/>
        <w:gridCol w:w="1582"/>
      </w:tblGrid>
      <w:tr w14:paraId="56949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83" w:hRule="atLeast"/>
          <w:jc w:val="center"/>
        </w:trPr>
        <w:tc>
          <w:tcPr>
            <w:tcW w:w="2632" w:type="dxa"/>
            <w:tcBorders>
              <w:tl2br w:val="nil"/>
              <w:tr2bl w:val="nil"/>
            </w:tcBorders>
            <w:vAlign w:val="center"/>
          </w:tcPr>
          <w:p w14:paraId="36D69D03">
            <w:pPr>
              <w:widowControl w:val="0"/>
              <w:adjustRightInd w:val="0"/>
              <w:snapToGrid w:val="0"/>
              <w:spacing w:line="288" w:lineRule="auto"/>
              <w:jc w:val="center"/>
              <w:rPr>
                <w:rFonts w:hint="default"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岗位名称</w:t>
            </w:r>
          </w:p>
        </w:tc>
        <w:tc>
          <w:tcPr>
            <w:tcW w:w="3164" w:type="dxa"/>
            <w:tcBorders>
              <w:tl2br w:val="nil"/>
              <w:tr2bl w:val="nil"/>
            </w:tcBorders>
            <w:vAlign w:val="center"/>
          </w:tcPr>
          <w:p w14:paraId="579A0931">
            <w:pPr>
              <w:widowControl w:val="0"/>
              <w:adjustRightInd w:val="0"/>
              <w:snapToGrid w:val="0"/>
              <w:spacing w:line="288" w:lineRule="auto"/>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每候选人服务费</w:t>
            </w:r>
          </w:p>
          <w:p w14:paraId="3FE4A2E3">
            <w:pPr>
              <w:widowControl w:val="0"/>
              <w:adjustRightInd w:val="0"/>
              <w:snapToGrid w:val="0"/>
              <w:spacing w:line="288" w:lineRule="auto"/>
              <w:jc w:val="center"/>
              <w:rPr>
                <w:rFonts w:hint="default"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含增值税报价（元）</w:t>
            </w:r>
          </w:p>
        </w:tc>
        <w:tc>
          <w:tcPr>
            <w:tcW w:w="1582" w:type="dxa"/>
            <w:tcBorders>
              <w:tl2br w:val="nil"/>
              <w:tr2bl w:val="nil"/>
            </w:tcBorders>
            <w:vAlign w:val="center"/>
          </w:tcPr>
          <w:p w14:paraId="27F0BF89">
            <w:pPr>
              <w:widowControl w:val="0"/>
              <w:adjustRightInd w:val="0"/>
              <w:snapToGrid w:val="0"/>
              <w:spacing w:line="288" w:lineRule="auto"/>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备注</w:t>
            </w:r>
          </w:p>
        </w:tc>
      </w:tr>
      <w:tr w14:paraId="6EEE4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2632" w:type="dxa"/>
            <w:tcBorders>
              <w:tl2br w:val="nil"/>
              <w:tr2bl w:val="nil"/>
            </w:tcBorders>
            <w:vAlign w:val="center"/>
          </w:tcPr>
          <w:p w14:paraId="75FDDD6A">
            <w:pPr>
              <w:widowControl w:val="0"/>
              <w:adjustRightInd w:val="0"/>
              <w:snapToGrid w:val="0"/>
              <w:spacing w:line="288" w:lineRule="auto"/>
              <w:jc w:val="center"/>
              <w:rPr>
                <w:rFonts w:hint="eastAsia" w:ascii="宋体" w:hAnsi="宋体" w:eastAsia="宋体" w:cs="宋体"/>
                <w:szCs w:val="21"/>
                <w:highlight w:val="none"/>
                <w:vertAlign w:val="baseline"/>
              </w:rPr>
            </w:pPr>
            <w:r>
              <w:rPr>
                <w:rFonts w:hint="eastAsia" w:ascii="宋体" w:hAnsi="宋体" w:eastAsia="宋体" w:cs="宋体"/>
                <w:szCs w:val="21"/>
                <w:highlight w:val="none"/>
                <w:vertAlign w:val="baseline"/>
                <w:lang w:val="en-US" w:eastAsia="zh-CN"/>
              </w:rPr>
              <w:t>客户服务岗、风险审核岗、贷后催收岗、外呼岗及中后台支持（数据分析）岗等</w:t>
            </w:r>
          </w:p>
        </w:tc>
        <w:tc>
          <w:tcPr>
            <w:tcW w:w="3164" w:type="dxa"/>
            <w:tcBorders>
              <w:tl2br w:val="nil"/>
              <w:tr2bl w:val="nil"/>
            </w:tcBorders>
            <w:vAlign w:val="center"/>
          </w:tcPr>
          <w:p w14:paraId="4FFE4C27">
            <w:pPr>
              <w:widowControl w:val="0"/>
              <w:adjustRightInd w:val="0"/>
              <w:snapToGrid w:val="0"/>
              <w:spacing w:line="288" w:lineRule="auto"/>
              <w:jc w:val="center"/>
              <w:rPr>
                <w:rFonts w:hint="eastAsia" w:ascii="宋体" w:hAnsi="宋体" w:eastAsia="宋体" w:cs="宋体"/>
                <w:szCs w:val="21"/>
                <w:highlight w:val="none"/>
                <w:vertAlign w:val="baseline"/>
              </w:rPr>
            </w:pPr>
          </w:p>
        </w:tc>
        <w:tc>
          <w:tcPr>
            <w:tcW w:w="1582" w:type="dxa"/>
            <w:tcBorders>
              <w:tl2br w:val="nil"/>
              <w:tr2bl w:val="nil"/>
            </w:tcBorders>
            <w:vAlign w:val="center"/>
          </w:tcPr>
          <w:p w14:paraId="5035C438">
            <w:pPr>
              <w:widowControl w:val="0"/>
              <w:adjustRightInd w:val="0"/>
              <w:snapToGrid w:val="0"/>
              <w:spacing w:line="288" w:lineRule="auto"/>
              <w:jc w:val="center"/>
              <w:rPr>
                <w:rFonts w:hint="eastAsia" w:ascii="宋体" w:hAnsi="宋体" w:eastAsia="宋体" w:cs="宋体"/>
                <w:szCs w:val="21"/>
                <w:highlight w:val="none"/>
                <w:vertAlign w:val="baseline"/>
              </w:rPr>
            </w:pPr>
          </w:p>
        </w:tc>
      </w:tr>
    </w:tbl>
    <w:p w14:paraId="2007BC81">
      <w:pPr>
        <w:widowControl/>
        <w:adjustRightInd w:val="0"/>
        <w:snapToGrid w:val="0"/>
        <w:spacing w:line="288" w:lineRule="auto"/>
        <w:ind w:firstLine="420" w:firstLineChars="200"/>
        <w:jc w:val="left"/>
        <w:rPr>
          <w:rFonts w:hint="eastAsia" w:ascii="宋体" w:hAnsi="宋体" w:eastAsia="宋体" w:cs="宋体"/>
          <w:szCs w:val="21"/>
          <w:highlight w:val="none"/>
        </w:rPr>
      </w:pPr>
    </w:p>
    <w:p w14:paraId="5B6FC70A">
      <w:pPr>
        <w:widowControl/>
        <w:adjustRightInd w:val="0"/>
        <w:snapToGrid w:val="0"/>
        <w:spacing w:line="288" w:lineRule="auto"/>
        <w:ind w:firstLine="420" w:firstLineChars="200"/>
        <w:jc w:val="left"/>
        <w:rPr>
          <w:rFonts w:hint="eastAsia" w:ascii="宋体" w:hAnsi="宋体" w:eastAsia="宋体" w:cs="宋体"/>
          <w:szCs w:val="21"/>
          <w:highlight w:val="none"/>
        </w:rPr>
      </w:pPr>
    </w:p>
    <w:p w14:paraId="62523DBA">
      <w:pPr>
        <w:widowControl/>
        <w:adjustRightInd w:val="0"/>
        <w:snapToGrid w:val="0"/>
        <w:spacing w:line="280" w:lineRule="exact"/>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★填报说明：</w:t>
      </w:r>
    </w:p>
    <w:p w14:paraId="07F9F686">
      <w:pPr>
        <w:widowControl/>
        <w:numPr>
          <w:ilvl w:val="0"/>
          <w:numId w:val="7"/>
        </w:numPr>
        <w:spacing w:line="280" w:lineRule="exact"/>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每候选人服务费含增值税单价</w:t>
      </w:r>
      <w:r>
        <w:rPr>
          <w:rFonts w:hint="eastAsia" w:ascii="仿宋_GB2312" w:hAnsi="仿宋_GB2312" w:eastAsia="仿宋_GB2312" w:cs="仿宋_GB2312"/>
          <w:szCs w:val="21"/>
          <w:highlight w:val="none"/>
        </w:rPr>
        <w:t>不得</w:t>
      </w:r>
      <w:r>
        <w:rPr>
          <w:rFonts w:hint="eastAsia" w:ascii="Times New Roman" w:hAnsi="Times New Roman" w:eastAsia="仿宋_GB2312" w:cs="仿宋_GB2312"/>
          <w:szCs w:val="21"/>
          <w:highlight w:val="none"/>
        </w:rPr>
        <w:t>超过</w:t>
      </w:r>
      <w:r>
        <w:rPr>
          <w:rFonts w:hint="eastAsia" w:ascii="Times New Roman" w:hAnsi="Times New Roman" w:eastAsia="仿宋_GB2312" w:cs="仿宋_GB2312"/>
          <w:szCs w:val="21"/>
          <w:highlight w:val="none"/>
          <w:lang w:val="en-US" w:eastAsia="zh-CN"/>
        </w:rPr>
        <w:t>2200</w:t>
      </w:r>
      <w:r>
        <w:rPr>
          <w:rFonts w:hint="eastAsia" w:ascii="Times New Roman" w:hAnsi="Times New Roman" w:eastAsia="仿宋_GB2312" w:cs="仿宋_GB2312"/>
          <w:szCs w:val="21"/>
          <w:highlight w:val="none"/>
        </w:rPr>
        <w:t>元的最高限</w:t>
      </w:r>
      <w:r>
        <w:rPr>
          <w:rFonts w:hint="eastAsia" w:ascii="仿宋_GB2312" w:hAnsi="仿宋_GB2312" w:eastAsia="仿宋_GB2312" w:cs="仿宋_GB2312"/>
          <w:szCs w:val="21"/>
          <w:highlight w:val="none"/>
        </w:rPr>
        <w:t>价。</w:t>
      </w:r>
    </w:p>
    <w:p w14:paraId="1CD372CF">
      <w:pPr>
        <w:widowControl/>
        <w:spacing w:line="280" w:lineRule="exact"/>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rPr>
        <w:t>.投标人应详阅本项目招标文件第</w:t>
      </w:r>
      <w:r>
        <w:rPr>
          <w:rFonts w:hint="eastAsia" w:ascii="仿宋_GB2312" w:hAnsi="仿宋_GB2312" w:eastAsia="仿宋_GB2312" w:cs="仿宋_GB2312"/>
          <w:szCs w:val="21"/>
          <w:highlight w:val="none"/>
          <w:lang w:val="en-US" w:eastAsia="zh-CN"/>
        </w:rPr>
        <w:t xml:space="preserve">一章 六、最高限价及报价方式 </w:t>
      </w:r>
      <w:r>
        <w:rPr>
          <w:rFonts w:hint="eastAsia" w:ascii="仿宋_GB2312" w:hAnsi="仿宋_GB2312" w:eastAsia="仿宋_GB2312" w:cs="仿宋_GB2312"/>
          <w:szCs w:val="21"/>
          <w:highlight w:val="none"/>
        </w:rPr>
        <w:t>并</w:t>
      </w:r>
      <w:r>
        <w:rPr>
          <w:rFonts w:hint="eastAsia" w:ascii="仿宋_GB2312" w:hAnsi="仿宋_GB2312" w:eastAsia="仿宋_GB2312" w:cs="仿宋_GB2312"/>
          <w:szCs w:val="21"/>
          <w:highlight w:val="none"/>
          <w:lang w:val="en-US" w:eastAsia="zh-CN"/>
        </w:rPr>
        <w:t>按要求</w:t>
      </w:r>
      <w:r>
        <w:rPr>
          <w:rFonts w:hint="eastAsia" w:ascii="仿宋_GB2312" w:hAnsi="仿宋_GB2312" w:eastAsia="仿宋_GB2312" w:cs="仿宋_GB2312"/>
          <w:szCs w:val="21"/>
          <w:highlight w:val="none"/>
        </w:rPr>
        <w:t>提交报价，投标人提交报价，视为对招标文件（含合同）的接受。</w:t>
      </w:r>
    </w:p>
    <w:p w14:paraId="5770BF6E">
      <w:pPr>
        <w:widowControl/>
        <w:wordWrap/>
        <w:adjustRightInd/>
        <w:snapToGrid/>
        <w:spacing w:line="280" w:lineRule="exact"/>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14:paraId="6DE7ED1E">
      <w:pPr>
        <w:widowControl/>
        <w:wordWrap/>
        <w:adjustRightInd/>
        <w:snapToGrid/>
        <w:spacing w:line="280" w:lineRule="exact"/>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4.</w:t>
      </w:r>
      <w:r>
        <w:rPr>
          <w:rFonts w:hint="eastAsia" w:ascii="仿宋_GB2312" w:hAnsi="仿宋_GB2312" w:eastAsia="仿宋_GB2312" w:cs="仿宋_GB2312"/>
          <w:szCs w:val="21"/>
          <w:highlight w:val="none"/>
        </w:rPr>
        <w:t>此表应经法定代表人或授权代表人签名，并加盖投标人单位公章，否则无效，作废标处理。</w:t>
      </w:r>
    </w:p>
    <w:p w14:paraId="5B6AA85E">
      <w:pPr>
        <w:widowControl/>
        <w:wordWrap/>
        <w:adjustRightInd/>
        <w:snapToGrid/>
        <w:spacing w:line="280" w:lineRule="exact"/>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投标金额大小写不一致的以大写为准。电子文档与纸质文档不一致的以纸质文档为准。正本与副本不一致的以正本为准。总价与计算结果不一致的以分项计算结果为准。</w:t>
      </w:r>
    </w:p>
    <w:p w14:paraId="1B6CC47E">
      <w:pPr>
        <w:widowControl/>
        <w:wordWrap w:val="0"/>
        <w:adjustRightInd w:val="0"/>
        <w:snapToGrid w:val="0"/>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ab/>
      </w:r>
      <w:r>
        <w:rPr>
          <w:rFonts w:hint="eastAsia" w:ascii="仿宋_GB2312" w:hAnsi="仿宋_GB2312" w:eastAsia="仿宋_GB2312" w:cs="仿宋_GB2312"/>
          <w:szCs w:val="21"/>
          <w:highlight w:val="none"/>
        </w:rPr>
        <w:tab/>
      </w:r>
    </w:p>
    <w:p w14:paraId="36BACDF8">
      <w:pPr>
        <w:autoSpaceDE w:val="0"/>
        <w:autoSpaceDN w:val="0"/>
        <w:adjustRightInd w:val="0"/>
        <w:snapToGrid w:val="0"/>
        <w:spacing w:line="360" w:lineRule="auto"/>
        <w:jc w:val="left"/>
        <w:rPr>
          <w:rFonts w:hint="eastAsia" w:ascii="宋体" w:hAnsi="宋体" w:eastAsia="宋体" w:cs="Times New Roman"/>
          <w:szCs w:val="21"/>
          <w:highlight w:val="none"/>
        </w:rPr>
      </w:pPr>
    </w:p>
    <w:p w14:paraId="430BA106">
      <w:pPr>
        <w:autoSpaceDE w:val="0"/>
        <w:autoSpaceDN w:val="0"/>
        <w:adjustRightInd w:val="0"/>
        <w:snapToGrid w:val="0"/>
        <w:spacing w:line="360" w:lineRule="auto"/>
        <w:jc w:val="left"/>
        <w:rPr>
          <w:rFonts w:hint="eastAsia" w:ascii="宋体" w:hAnsi="宋体" w:eastAsia="宋体" w:cs="Times New Roman"/>
          <w:szCs w:val="21"/>
          <w:highlight w:val="none"/>
        </w:rPr>
      </w:pPr>
    </w:p>
    <w:p w14:paraId="07F754B3">
      <w:pPr>
        <w:autoSpaceDE w:val="0"/>
        <w:autoSpaceDN w:val="0"/>
        <w:adjustRightInd w:val="0"/>
        <w:snapToGrid w:val="0"/>
        <w:spacing w:line="360" w:lineRule="auto"/>
        <w:jc w:val="left"/>
        <w:rPr>
          <w:rFonts w:hint="eastAsia" w:ascii="宋体" w:hAnsi="宋体" w:eastAsia="宋体" w:cs="Times New Roman"/>
          <w:szCs w:val="21"/>
          <w:highlight w:val="none"/>
        </w:rPr>
      </w:pP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14:paraId="2720FD9A">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lang w:eastAsia="zh-CN"/>
        </w:rPr>
        <w:t>投标人</w:t>
      </w:r>
      <w:r>
        <w:rPr>
          <w:rFonts w:hint="eastAsia" w:ascii="仿宋_GB2312" w:hAnsi="仿宋_GB2312" w:eastAsia="仿宋_GB2312" w:cs="仿宋_GB2312"/>
          <w:b w:val="0"/>
          <w:bCs/>
          <w:kern w:val="0"/>
          <w:sz w:val="24"/>
          <w:szCs w:val="24"/>
          <w:highlight w:val="none"/>
        </w:rPr>
        <w:t>名称（公章）：</w:t>
      </w:r>
    </w:p>
    <w:p w14:paraId="45D5E4F3">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法定代表人（法定授权代表人）签名：</w:t>
      </w:r>
    </w:p>
    <w:p w14:paraId="6A96FC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_GB2312" w:hAnsi="仿宋_GB2312" w:eastAsia="仿宋_GB2312" w:cs="仿宋_GB2312"/>
          <w:b w:val="0"/>
          <w:bCs/>
          <w:kern w:val="0"/>
          <w:sz w:val="24"/>
          <w:szCs w:val="24"/>
          <w:highlight w:val="none"/>
        </w:rPr>
        <w:t>日期：</w:t>
      </w:r>
    </w:p>
    <w:p w14:paraId="49BFEA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bookmarkStart w:id="260" w:name="_Toc21663"/>
    </w:p>
    <w:p w14:paraId="53056C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4C2197B7">
      <w:pPr>
        <w:rPr>
          <w:rFonts w:hint="eastAsia" w:ascii="仿宋" w:hAnsi="仿宋" w:eastAsia="仿宋" w:cs="仿宋"/>
          <w:b w:val="0"/>
          <w:bCs/>
          <w:sz w:val="24"/>
          <w:szCs w:val="24"/>
          <w:highlight w:val="none"/>
        </w:rPr>
      </w:pPr>
      <w:bookmarkStart w:id="261" w:name="_Toc5731"/>
      <w:bookmarkStart w:id="262" w:name="_Toc9820"/>
      <w:r>
        <w:rPr>
          <w:rFonts w:hint="eastAsia" w:ascii="仿宋" w:hAnsi="仿宋" w:eastAsia="仿宋" w:cs="仿宋"/>
          <w:b w:val="0"/>
          <w:bCs/>
          <w:sz w:val="24"/>
          <w:szCs w:val="24"/>
          <w:highlight w:val="none"/>
        </w:rPr>
        <w:br w:type="page"/>
      </w:r>
    </w:p>
    <w:p w14:paraId="22746B19">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outlineLvl w:val="0"/>
        <w:rPr>
          <w:rFonts w:hint="eastAsia" w:ascii="仿宋" w:hAnsi="仿宋" w:eastAsia="仿宋" w:cs="仿宋"/>
          <w:b w:val="0"/>
          <w:bCs/>
          <w:sz w:val="24"/>
          <w:szCs w:val="24"/>
          <w:highlight w:val="none"/>
          <w:lang w:val="en-US" w:eastAsia="zh-CN"/>
        </w:rPr>
      </w:pPr>
      <w:bookmarkStart w:id="263" w:name="_Toc17568"/>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业绩证明</w:t>
      </w:r>
      <w:bookmarkEnd w:id="261"/>
      <w:bookmarkEnd w:id="262"/>
      <w:bookmarkEnd w:id="263"/>
    </w:p>
    <w:p w14:paraId="4AD3B68D">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方正小标宋简体" w:cs="方正小标宋简体"/>
          <w:b w:val="0"/>
          <w:bCs w:val="0"/>
          <w:smallCaps w:val="0"/>
          <w:color w:val="000000"/>
          <w:sz w:val="36"/>
          <w:szCs w:val="36"/>
          <w:highlight w:val="none"/>
        </w:rPr>
      </w:pPr>
    </w:p>
    <w:p w14:paraId="71C5C34F">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Theme="minorEastAsia"/>
          <w:b/>
          <w:bCs/>
          <w:smallCaps w:val="0"/>
          <w:color w:val="000000"/>
          <w:sz w:val="36"/>
          <w:szCs w:val="36"/>
          <w:highlight w:val="none"/>
          <w:lang w:val="en-US" w:eastAsia="zh-CN"/>
        </w:rPr>
      </w:pPr>
      <w:r>
        <w:rPr>
          <w:rFonts w:hint="eastAsia" w:ascii="Times New Roman" w:hAnsi="Times New Roman" w:eastAsia="方正小标宋简体" w:cs="方正小标宋简体"/>
          <w:b w:val="0"/>
          <w:bCs w:val="0"/>
          <w:smallCaps w:val="0"/>
          <w:color w:val="000000"/>
          <w:sz w:val="36"/>
          <w:szCs w:val="36"/>
          <w:highlight w:val="none"/>
        </w:rPr>
        <w:t>业绩</w:t>
      </w:r>
      <w:r>
        <w:rPr>
          <w:rFonts w:hint="eastAsia" w:ascii="Times New Roman" w:hAnsi="Times New Roman" w:eastAsia="方正小标宋简体" w:cs="方正小标宋简体"/>
          <w:b w:val="0"/>
          <w:bCs w:val="0"/>
          <w:smallCaps w:val="0"/>
          <w:color w:val="000000"/>
          <w:sz w:val="36"/>
          <w:szCs w:val="36"/>
          <w:highlight w:val="none"/>
          <w:lang w:val="en-US" w:eastAsia="zh-CN"/>
        </w:rPr>
        <w:t>证明</w:t>
      </w:r>
    </w:p>
    <w:p w14:paraId="6E3128C2">
      <w:pPr>
        <w:keepNext w:val="0"/>
        <w:keepLines w:val="0"/>
        <w:pageBreakBefore w:val="0"/>
        <w:widowControl w:val="0"/>
        <w:kinsoku/>
        <w:wordWrap/>
        <w:overflowPunct/>
        <w:topLinePunct w:val="0"/>
        <w:autoSpaceDE w:val="0"/>
        <w:autoSpaceDN w:val="0"/>
        <w:bidi w:val="0"/>
        <w:adjustRightInd w:val="0"/>
        <w:snapToGrid w:val="0"/>
        <w:spacing w:line="400" w:lineRule="atLeast"/>
        <w:ind w:firstLine="0" w:firstLineChars="0"/>
        <w:textAlignment w:val="auto"/>
        <w:rPr>
          <w:rFonts w:hint="eastAsia" w:ascii="仿宋_GB2312" w:hAnsi="仿宋_GB2312" w:eastAsia="仿宋_GB2312" w:cs="仿宋_GB2312"/>
          <w:smallCaps w:val="0"/>
          <w:color w:val="000000"/>
          <w:sz w:val="24"/>
          <w:szCs w:val="24"/>
          <w:highlight w:val="none"/>
        </w:rPr>
      </w:pPr>
      <w:r>
        <w:rPr>
          <w:rFonts w:hint="eastAsia" w:ascii="仿宋_GB2312" w:hAnsi="仿宋_GB2312" w:eastAsia="仿宋_GB2312" w:cs="仿宋_GB2312"/>
          <w:smallCaps w:val="0"/>
          <w:color w:val="000000"/>
          <w:sz w:val="24"/>
          <w:szCs w:val="24"/>
          <w:highlight w:val="none"/>
        </w:rPr>
        <w:t>致：</w:t>
      </w:r>
      <w:r>
        <w:rPr>
          <w:rFonts w:hint="eastAsia" w:ascii="仿宋_GB2312" w:hAnsi="仿宋_GB2312" w:eastAsia="仿宋_GB2312" w:cs="仿宋_GB2312"/>
          <w:smallCaps w:val="0"/>
          <w:color w:val="000000"/>
          <w:sz w:val="24"/>
          <w:szCs w:val="24"/>
          <w:highlight w:val="none"/>
          <w:u w:val="single"/>
        </w:rPr>
        <w:t>（招标人）</w:t>
      </w:r>
    </w:p>
    <w:p w14:paraId="56ABDB45">
      <w:pPr>
        <w:keepNext w:val="0"/>
        <w:keepLines w:val="0"/>
        <w:pageBreakBefore w:val="0"/>
        <w:widowControl w:val="0"/>
        <w:kinsoku/>
        <w:wordWrap/>
        <w:overflowPunct/>
        <w:topLinePunct w:val="0"/>
        <w:autoSpaceDE w:val="0"/>
        <w:autoSpaceDN w:val="0"/>
        <w:bidi w:val="0"/>
        <w:adjustRightInd w:val="0"/>
        <w:snapToGrid w:val="0"/>
        <w:spacing w:line="400" w:lineRule="atLeast"/>
        <w:ind w:firstLine="420"/>
        <w:textAlignment w:val="auto"/>
        <w:rPr>
          <w:rFonts w:hint="eastAsia" w:ascii="仿宋_GB2312" w:hAnsi="仿宋_GB2312" w:eastAsia="仿宋_GB2312" w:cs="仿宋_GB2312"/>
          <w:smallCaps w:val="0"/>
          <w:color w:val="000000"/>
          <w:sz w:val="24"/>
          <w:szCs w:val="24"/>
          <w:highlight w:val="none"/>
        </w:rPr>
      </w:pPr>
      <w:r>
        <w:rPr>
          <w:rFonts w:hint="eastAsia" w:ascii="仿宋_GB2312" w:hAnsi="仿宋_GB2312" w:eastAsia="仿宋_GB2312" w:cs="仿宋_GB2312"/>
          <w:smallCaps w:val="0"/>
          <w:color w:val="000000"/>
          <w:sz w:val="24"/>
          <w:szCs w:val="24"/>
          <w:highlight w:val="none"/>
        </w:rPr>
        <w:t>我方根据贵公司招标文件要求提供</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年</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月</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日至投标截止时间真实的业绩资料，证明合同附后，清单如下：</w:t>
      </w:r>
    </w:p>
    <w:p w14:paraId="076F5B5C">
      <w:pPr>
        <w:widowControl w:val="0"/>
        <w:autoSpaceDE w:val="0"/>
        <w:autoSpaceDN w:val="0"/>
        <w:adjustRightInd w:val="0"/>
        <w:snapToGrid w:val="0"/>
        <w:ind w:firstLine="420"/>
        <w:rPr>
          <w:rFonts w:hint="eastAsia" w:ascii="Times New Roman" w:hAnsi="Times New Roman"/>
          <w:smallCaps w:val="0"/>
          <w:color w:val="000000"/>
          <w:szCs w:val="21"/>
          <w:highlight w:val="none"/>
        </w:rPr>
      </w:pPr>
    </w:p>
    <w:tbl>
      <w:tblPr>
        <w:tblStyle w:val="17"/>
        <w:tblW w:w="403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64"/>
        <w:gridCol w:w="1718"/>
        <w:gridCol w:w="1070"/>
        <w:gridCol w:w="1181"/>
        <w:gridCol w:w="1693"/>
        <w:gridCol w:w="779"/>
      </w:tblGrid>
      <w:tr w14:paraId="2E1AEF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591" w:type="pct"/>
            <w:tcBorders>
              <w:tl2br w:val="nil"/>
              <w:tr2bl w:val="nil"/>
            </w:tcBorders>
            <w:shd w:val="clear" w:color="auto" w:fill="auto"/>
            <w:vAlign w:val="center"/>
          </w:tcPr>
          <w:p w14:paraId="5DB814B1">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序号</w:t>
            </w:r>
          </w:p>
        </w:tc>
        <w:tc>
          <w:tcPr>
            <w:tcW w:w="1175" w:type="pct"/>
            <w:tcBorders>
              <w:tl2br w:val="nil"/>
              <w:tr2bl w:val="nil"/>
            </w:tcBorders>
            <w:shd w:val="clear" w:color="auto" w:fill="auto"/>
            <w:vAlign w:val="center"/>
          </w:tcPr>
          <w:p w14:paraId="00DA3604">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合同</w:t>
            </w:r>
            <w:r>
              <w:rPr>
                <w:rFonts w:hint="eastAsia" w:ascii="Times New Roman" w:hAnsi="Times New Roman"/>
                <w:b/>
                <w:smallCaps w:val="0"/>
                <w:color w:val="000000"/>
                <w:szCs w:val="21"/>
                <w:highlight w:val="none"/>
                <w:lang w:val="en-US" w:eastAsia="zh-CN"/>
              </w:rPr>
              <w:t>项目</w:t>
            </w:r>
            <w:r>
              <w:rPr>
                <w:rFonts w:hint="eastAsia" w:ascii="Times New Roman" w:hAnsi="Times New Roman"/>
                <w:b/>
                <w:smallCaps w:val="0"/>
                <w:color w:val="000000"/>
                <w:szCs w:val="21"/>
                <w:highlight w:val="none"/>
              </w:rPr>
              <w:t>名称</w:t>
            </w:r>
          </w:p>
        </w:tc>
        <w:tc>
          <w:tcPr>
            <w:tcW w:w="732" w:type="pct"/>
            <w:tcBorders>
              <w:tl2br w:val="nil"/>
              <w:tr2bl w:val="nil"/>
            </w:tcBorders>
            <w:shd w:val="clear" w:color="auto" w:fill="auto"/>
            <w:vAlign w:val="center"/>
          </w:tcPr>
          <w:p w14:paraId="4CC5E1AA">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rPr>
            </w:pPr>
            <w:r>
              <w:rPr>
                <w:rFonts w:hint="eastAsia" w:ascii="Times New Roman" w:hAnsi="Times New Roman"/>
                <w:b/>
                <w:smallCaps w:val="0"/>
                <w:color w:val="000000"/>
                <w:szCs w:val="21"/>
                <w:highlight w:val="none"/>
                <w:lang w:val="en-US" w:eastAsia="zh-CN"/>
              </w:rPr>
              <w:t>合同期限</w:t>
            </w:r>
          </w:p>
        </w:tc>
        <w:tc>
          <w:tcPr>
            <w:tcW w:w="808" w:type="pct"/>
            <w:tcBorders>
              <w:tl2br w:val="nil"/>
              <w:tr2bl w:val="nil"/>
            </w:tcBorders>
            <w:shd w:val="clear" w:color="auto" w:fill="auto"/>
            <w:vAlign w:val="center"/>
          </w:tcPr>
          <w:p w14:paraId="108E584C">
            <w:pPr>
              <w:widowControl w:val="0"/>
              <w:autoSpaceDE w:val="0"/>
              <w:autoSpaceDN w:val="0"/>
              <w:adjustRightInd w:val="0"/>
              <w:snapToGrid w:val="0"/>
              <w:ind w:firstLine="0" w:firstLineChars="0"/>
              <w:jc w:val="center"/>
              <w:rPr>
                <w:rFonts w:hint="eastAsia" w:ascii="Times New Roman" w:hAnsi="Times New Roman"/>
                <w:b/>
                <w:smallCaps w:val="0"/>
                <w:color w:val="000000"/>
                <w:szCs w:val="21"/>
                <w:highlight w:val="none"/>
              </w:rPr>
            </w:pPr>
            <w:r>
              <w:rPr>
                <w:rFonts w:hint="eastAsia" w:ascii="Times New Roman" w:hAnsi="Times New Roman"/>
                <w:b/>
                <w:smallCaps w:val="0"/>
                <w:color w:val="000000"/>
                <w:szCs w:val="21"/>
                <w:highlight w:val="none"/>
              </w:rPr>
              <w:t>合同金额</w:t>
            </w:r>
          </w:p>
        </w:tc>
        <w:tc>
          <w:tcPr>
            <w:tcW w:w="1158" w:type="pct"/>
            <w:tcBorders>
              <w:tl2br w:val="nil"/>
              <w:tr2bl w:val="nil"/>
            </w:tcBorders>
            <w:shd w:val="clear" w:color="auto" w:fill="auto"/>
            <w:vAlign w:val="center"/>
          </w:tcPr>
          <w:p w14:paraId="743F56E2">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服务项目企业</w:t>
            </w:r>
          </w:p>
          <w:p w14:paraId="3C4088D4">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所属行业</w:t>
            </w:r>
          </w:p>
        </w:tc>
        <w:tc>
          <w:tcPr>
            <w:tcW w:w="533" w:type="pct"/>
            <w:tcBorders>
              <w:tl2br w:val="nil"/>
              <w:tr2bl w:val="nil"/>
            </w:tcBorders>
            <w:shd w:val="clear" w:color="auto" w:fill="auto"/>
            <w:vAlign w:val="center"/>
          </w:tcPr>
          <w:p w14:paraId="394473B4">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详见页码</w:t>
            </w:r>
          </w:p>
        </w:tc>
      </w:tr>
      <w:tr w14:paraId="11FFA0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591" w:type="pct"/>
            <w:tcBorders>
              <w:tl2br w:val="nil"/>
              <w:tr2bl w:val="nil"/>
            </w:tcBorders>
            <w:shd w:val="clear" w:color="auto" w:fill="auto"/>
            <w:vAlign w:val="center"/>
          </w:tcPr>
          <w:p w14:paraId="492C15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1</w:t>
            </w:r>
          </w:p>
        </w:tc>
        <w:tc>
          <w:tcPr>
            <w:tcW w:w="1175" w:type="pct"/>
            <w:tcBorders>
              <w:tl2br w:val="nil"/>
              <w:tr2bl w:val="nil"/>
            </w:tcBorders>
            <w:shd w:val="clear" w:color="auto" w:fill="auto"/>
            <w:vAlign w:val="center"/>
          </w:tcPr>
          <w:p w14:paraId="52A0191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373E04F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6D34036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4381E61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729B469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4D23BB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591" w:type="pct"/>
            <w:tcBorders>
              <w:tl2br w:val="nil"/>
              <w:tr2bl w:val="nil"/>
            </w:tcBorders>
            <w:shd w:val="clear" w:color="auto" w:fill="auto"/>
            <w:vAlign w:val="center"/>
          </w:tcPr>
          <w:p w14:paraId="687C52D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2</w:t>
            </w:r>
          </w:p>
        </w:tc>
        <w:tc>
          <w:tcPr>
            <w:tcW w:w="1175" w:type="pct"/>
            <w:tcBorders>
              <w:tl2br w:val="nil"/>
              <w:tr2bl w:val="nil"/>
            </w:tcBorders>
            <w:shd w:val="clear" w:color="auto" w:fill="auto"/>
            <w:vAlign w:val="center"/>
          </w:tcPr>
          <w:p w14:paraId="074B55E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56F39A3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1757D6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22E9D4D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29F6C70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2C1D1A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591" w:type="pct"/>
            <w:tcBorders>
              <w:tl2br w:val="nil"/>
              <w:tr2bl w:val="nil"/>
            </w:tcBorders>
            <w:shd w:val="clear" w:color="auto" w:fill="auto"/>
            <w:vAlign w:val="center"/>
          </w:tcPr>
          <w:p w14:paraId="66F9364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3</w:t>
            </w:r>
          </w:p>
        </w:tc>
        <w:tc>
          <w:tcPr>
            <w:tcW w:w="1175" w:type="pct"/>
            <w:tcBorders>
              <w:tl2br w:val="nil"/>
              <w:tr2bl w:val="nil"/>
            </w:tcBorders>
            <w:shd w:val="clear" w:color="auto" w:fill="auto"/>
            <w:vAlign w:val="center"/>
          </w:tcPr>
          <w:p w14:paraId="3726C0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62308BA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53612EA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59404B2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0B92E70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1C6092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4" w:hRule="atLeast"/>
          <w:jc w:val="center"/>
        </w:trPr>
        <w:tc>
          <w:tcPr>
            <w:tcW w:w="591" w:type="pct"/>
            <w:tcBorders>
              <w:tl2br w:val="nil"/>
              <w:tr2bl w:val="nil"/>
            </w:tcBorders>
            <w:shd w:val="clear" w:color="auto" w:fill="auto"/>
            <w:vAlign w:val="center"/>
          </w:tcPr>
          <w:p w14:paraId="32B86D5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4</w:t>
            </w:r>
          </w:p>
        </w:tc>
        <w:tc>
          <w:tcPr>
            <w:tcW w:w="1175" w:type="pct"/>
            <w:tcBorders>
              <w:tl2br w:val="nil"/>
              <w:tr2bl w:val="nil"/>
            </w:tcBorders>
            <w:shd w:val="clear" w:color="auto" w:fill="auto"/>
            <w:vAlign w:val="center"/>
          </w:tcPr>
          <w:p w14:paraId="228C4D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7A949E3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02B19A6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236973B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2D0F5D6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44A14B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0" w:hRule="atLeast"/>
          <w:jc w:val="center"/>
        </w:trPr>
        <w:tc>
          <w:tcPr>
            <w:tcW w:w="591" w:type="pct"/>
            <w:tcBorders>
              <w:tl2br w:val="nil"/>
              <w:tr2bl w:val="nil"/>
            </w:tcBorders>
            <w:shd w:val="clear" w:color="auto" w:fill="auto"/>
            <w:vAlign w:val="center"/>
          </w:tcPr>
          <w:p w14:paraId="3BE1E02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5</w:t>
            </w:r>
          </w:p>
        </w:tc>
        <w:tc>
          <w:tcPr>
            <w:tcW w:w="1175" w:type="pct"/>
            <w:tcBorders>
              <w:tl2br w:val="nil"/>
              <w:tr2bl w:val="nil"/>
            </w:tcBorders>
            <w:shd w:val="clear" w:color="auto" w:fill="auto"/>
            <w:vAlign w:val="center"/>
          </w:tcPr>
          <w:p w14:paraId="34E6F94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76245E6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709ADD2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1454B41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1E07A47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337144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591" w:type="pct"/>
            <w:tcBorders>
              <w:tl2br w:val="nil"/>
              <w:tr2bl w:val="nil"/>
            </w:tcBorders>
            <w:shd w:val="clear" w:color="auto" w:fill="auto"/>
            <w:vAlign w:val="center"/>
          </w:tcPr>
          <w:p w14:paraId="43E6E51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6</w:t>
            </w:r>
          </w:p>
        </w:tc>
        <w:tc>
          <w:tcPr>
            <w:tcW w:w="1175" w:type="pct"/>
            <w:tcBorders>
              <w:tl2br w:val="nil"/>
              <w:tr2bl w:val="nil"/>
            </w:tcBorders>
            <w:shd w:val="clear" w:color="auto" w:fill="auto"/>
            <w:vAlign w:val="center"/>
          </w:tcPr>
          <w:p w14:paraId="2F31B6E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48DD4B1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72E3595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543D6D0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49181E0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29BF1E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91" w:type="pct"/>
            <w:tcBorders>
              <w:tl2br w:val="nil"/>
              <w:tr2bl w:val="nil"/>
            </w:tcBorders>
            <w:shd w:val="clear" w:color="auto" w:fill="auto"/>
            <w:vAlign w:val="center"/>
          </w:tcPr>
          <w:p w14:paraId="643A972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7</w:t>
            </w:r>
          </w:p>
        </w:tc>
        <w:tc>
          <w:tcPr>
            <w:tcW w:w="1175" w:type="pct"/>
            <w:tcBorders>
              <w:tl2br w:val="nil"/>
              <w:tr2bl w:val="nil"/>
            </w:tcBorders>
            <w:shd w:val="clear" w:color="auto" w:fill="auto"/>
            <w:vAlign w:val="center"/>
          </w:tcPr>
          <w:p w14:paraId="67D4E54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10062E1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0643978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50DD2DE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2D36EAA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247D08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2" w:hRule="atLeast"/>
          <w:jc w:val="center"/>
        </w:trPr>
        <w:tc>
          <w:tcPr>
            <w:tcW w:w="591" w:type="pct"/>
            <w:tcBorders>
              <w:tl2br w:val="nil"/>
              <w:tr2bl w:val="nil"/>
            </w:tcBorders>
            <w:shd w:val="clear" w:color="auto" w:fill="auto"/>
            <w:vAlign w:val="center"/>
          </w:tcPr>
          <w:p w14:paraId="0383060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8</w:t>
            </w:r>
          </w:p>
        </w:tc>
        <w:tc>
          <w:tcPr>
            <w:tcW w:w="1175" w:type="pct"/>
            <w:tcBorders>
              <w:tl2br w:val="nil"/>
              <w:tr2bl w:val="nil"/>
            </w:tcBorders>
            <w:shd w:val="clear" w:color="auto" w:fill="auto"/>
            <w:vAlign w:val="center"/>
          </w:tcPr>
          <w:p w14:paraId="2F58643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71A1384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04128B8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7AFA551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6DFB77F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37F9D2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591" w:type="pct"/>
            <w:tcBorders>
              <w:tl2br w:val="nil"/>
              <w:tr2bl w:val="nil"/>
            </w:tcBorders>
            <w:shd w:val="clear" w:color="auto" w:fill="auto"/>
            <w:vAlign w:val="center"/>
          </w:tcPr>
          <w:p w14:paraId="29F7537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9</w:t>
            </w:r>
          </w:p>
        </w:tc>
        <w:tc>
          <w:tcPr>
            <w:tcW w:w="1175" w:type="pct"/>
            <w:tcBorders>
              <w:tl2br w:val="nil"/>
              <w:tr2bl w:val="nil"/>
            </w:tcBorders>
            <w:shd w:val="clear" w:color="auto" w:fill="auto"/>
            <w:vAlign w:val="center"/>
          </w:tcPr>
          <w:p w14:paraId="59F88CF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22D68B4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0E12087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108CF0F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4C4A94D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1C37E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91" w:type="pct"/>
            <w:tcBorders>
              <w:tl2br w:val="nil"/>
              <w:tr2bl w:val="nil"/>
            </w:tcBorders>
            <w:shd w:val="clear" w:color="auto" w:fill="auto"/>
            <w:vAlign w:val="center"/>
          </w:tcPr>
          <w:p w14:paraId="2F7A4B0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10</w:t>
            </w:r>
          </w:p>
        </w:tc>
        <w:tc>
          <w:tcPr>
            <w:tcW w:w="1175" w:type="pct"/>
            <w:tcBorders>
              <w:tl2br w:val="nil"/>
              <w:tr2bl w:val="nil"/>
            </w:tcBorders>
            <w:shd w:val="clear" w:color="auto" w:fill="auto"/>
            <w:vAlign w:val="center"/>
          </w:tcPr>
          <w:p w14:paraId="383A0DE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394F31D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7A0F7FF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6CA290A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78EBB16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04BFA8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91" w:type="pct"/>
            <w:tcBorders>
              <w:tl2br w:val="nil"/>
              <w:tr2bl w:val="nil"/>
            </w:tcBorders>
            <w:shd w:val="clear" w:color="auto" w:fill="auto"/>
            <w:vAlign w:val="center"/>
          </w:tcPr>
          <w:p w14:paraId="312A558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w:t>
            </w:r>
          </w:p>
        </w:tc>
        <w:tc>
          <w:tcPr>
            <w:tcW w:w="1175" w:type="pct"/>
            <w:tcBorders>
              <w:tl2br w:val="nil"/>
              <w:tr2bl w:val="nil"/>
            </w:tcBorders>
            <w:shd w:val="clear" w:color="auto" w:fill="auto"/>
            <w:vAlign w:val="center"/>
          </w:tcPr>
          <w:p w14:paraId="095684C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tl2br w:val="nil"/>
              <w:tr2bl w:val="nil"/>
            </w:tcBorders>
            <w:shd w:val="clear" w:color="auto" w:fill="auto"/>
            <w:vAlign w:val="center"/>
          </w:tcPr>
          <w:p w14:paraId="23C75A6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tcBorders>
              <w:tl2br w:val="nil"/>
              <w:tr2bl w:val="nil"/>
            </w:tcBorders>
            <w:shd w:val="clear" w:color="auto" w:fill="auto"/>
            <w:vAlign w:val="center"/>
          </w:tcPr>
          <w:p w14:paraId="54AB1B9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tcBorders>
              <w:tl2br w:val="nil"/>
              <w:tr2bl w:val="nil"/>
            </w:tcBorders>
            <w:shd w:val="clear" w:color="auto" w:fill="auto"/>
            <w:vAlign w:val="center"/>
          </w:tcPr>
          <w:p w14:paraId="1A05B81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tcBorders>
              <w:tl2br w:val="nil"/>
              <w:tr2bl w:val="nil"/>
            </w:tcBorders>
            <w:shd w:val="clear" w:color="auto" w:fill="auto"/>
            <w:vAlign w:val="center"/>
          </w:tcPr>
          <w:p w14:paraId="207B656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r>
    </w:tbl>
    <w:p w14:paraId="0DC091D3">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hint="eastAsia" w:ascii="仿宋_GB2312" w:hAnsi="仿宋_GB2312" w:eastAsia="仿宋_GB2312" w:cs="仿宋_GB2312"/>
          <w:b/>
          <w:smallCaps w:val="0"/>
          <w:color w:val="000000"/>
          <w:szCs w:val="21"/>
          <w:highlight w:val="none"/>
        </w:rPr>
      </w:pPr>
      <w:r>
        <w:rPr>
          <w:rFonts w:hint="eastAsia" w:ascii="仿宋_GB2312" w:hAnsi="仿宋_GB2312" w:eastAsia="仿宋_GB2312" w:cs="仿宋_GB2312"/>
          <w:b/>
          <w:smallCaps w:val="0"/>
          <w:color w:val="000000"/>
          <w:szCs w:val="21"/>
          <w:highlight w:val="none"/>
        </w:rPr>
        <w:t>重要提示：</w:t>
      </w:r>
    </w:p>
    <w:p w14:paraId="28D473E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rPr>
      </w:pPr>
      <w:r>
        <w:rPr>
          <w:rFonts w:hint="eastAsia" w:ascii="仿宋_GB2312" w:hAnsi="仿宋_GB2312" w:eastAsia="仿宋_GB2312" w:cs="仿宋_GB2312"/>
          <w:smallCaps w:val="0"/>
          <w:color w:val="000000"/>
          <w:szCs w:val="21"/>
          <w:highlight w:val="none"/>
        </w:rPr>
        <w:t>1.投标人根据招标文件业绩部分评分标准仔细填写，并填写页码，</w:t>
      </w:r>
      <w:r>
        <w:rPr>
          <w:rFonts w:hint="eastAsia" w:ascii="仿宋_GB2312" w:hAnsi="仿宋_GB2312" w:eastAsia="仿宋_GB2312" w:cs="仿宋_GB2312"/>
          <w:smallCaps w:val="0"/>
          <w:color w:val="000000"/>
          <w:szCs w:val="21"/>
          <w:highlight w:val="none"/>
          <w:lang w:eastAsia="zh-CN"/>
        </w:rPr>
        <w:t>以</w:t>
      </w:r>
      <w:r>
        <w:rPr>
          <w:rFonts w:hint="eastAsia" w:ascii="仿宋_GB2312" w:hAnsi="仿宋_GB2312" w:eastAsia="仿宋_GB2312" w:cs="仿宋_GB2312"/>
          <w:smallCaps w:val="0"/>
          <w:color w:val="000000"/>
          <w:szCs w:val="21"/>
          <w:highlight w:val="none"/>
        </w:rPr>
        <w:t>供评标</w:t>
      </w:r>
      <w:r>
        <w:rPr>
          <w:rFonts w:hint="eastAsia" w:ascii="仿宋_GB2312" w:hAnsi="仿宋_GB2312" w:eastAsia="仿宋_GB2312" w:cs="仿宋_GB2312"/>
          <w:smallCaps w:val="0"/>
          <w:color w:val="000000"/>
          <w:szCs w:val="21"/>
          <w:highlight w:val="none"/>
          <w:lang w:val="en-US" w:eastAsia="zh-CN"/>
        </w:rPr>
        <w:t>专家</w:t>
      </w:r>
      <w:r>
        <w:rPr>
          <w:rFonts w:hint="eastAsia" w:ascii="仿宋_GB2312" w:hAnsi="仿宋_GB2312" w:eastAsia="仿宋_GB2312" w:cs="仿宋_GB2312"/>
          <w:smallCaps w:val="0"/>
          <w:color w:val="000000"/>
          <w:szCs w:val="21"/>
          <w:highlight w:val="none"/>
        </w:rPr>
        <w:t>查验；</w:t>
      </w:r>
    </w:p>
    <w:p w14:paraId="0F2C5E8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rPr>
      </w:pPr>
      <w:r>
        <w:rPr>
          <w:rFonts w:hint="eastAsia" w:ascii="仿宋_GB2312" w:hAnsi="仿宋_GB2312" w:eastAsia="仿宋_GB2312" w:cs="仿宋_GB2312"/>
          <w:smallCaps w:val="0"/>
          <w:color w:val="000000"/>
          <w:szCs w:val="21"/>
          <w:highlight w:val="none"/>
        </w:rPr>
        <w:t>2.上述业绩必须为真实有效，如发现业绩不符，投标人3年内不得参与招标人的其他采购项目，本次投标作废标处理</w:t>
      </w:r>
      <w:r>
        <w:rPr>
          <w:rFonts w:hint="eastAsia" w:ascii="仿宋_GB2312" w:hAnsi="仿宋_GB2312" w:eastAsia="仿宋_GB2312" w:cs="仿宋_GB2312"/>
          <w:smallCaps w:val="0"/>
          <w:color w:val="000000"/>
          <w:szCs w:val="21"/>
          <w:highlight w:val="none"/>
          <w:lang w:eastAsia="zh-CN"/>
        </w:rPr>
        <w:t>。</w:t>
      </w:r>
    </w:p>
    <w:p w14:paraId="4F42CA2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rPr>
      </w:pPr>
      <w:r>
        <w:rPr>
          <w:rFonts w:hint="eastAsia" w:ascii="仿宋_GB2312" w:hAnsi="仿宋_GB2312" w:eastAsia="仿宋_GB2312" w:cs="仿宋_GB2312"/>
          <w:smallCaps w:val="0"/>
          <w:highlight w:val="none"/>
        </w:rPr>
        <w:t>3</w:t>
      </w:r>
      <w:r>
        <w:rPr>
          <w:rFonts w:hint="eastAsia" w:ascii="仿宋_GB2312" w:hAnsi="仿宋_GB2312" w:eastAsia="仿宋_GB2312" w:cs="仿宋_GB2312"/>
          <w:smallCaps w:val="0"/>
          <w:color w:val="000000"/>
          <w:szCs w:val="21"/>
          <w:highlight w:val="none"/>
        </w:rPr>
        <w:t>.证明材料附在本表后即可。</w:t>
      </w:r>
    </w:p>
    <w:p w14:paraId="41E01428">
      <w:pPr>
        <w:rPr>
          <w:rFonts w:hint="eastAsia" w:ascii="仿宋" w:hAnsi="仿宋" w:eastAsia="仿宋" w:cs="仿宋"/>
          <w:b w:val="0"/>
          <w:bCs/>
          <w:sz w:val="24"/>
          <w:szCs w:val="24"/>
          <w:highlight w:val="none"/>
        </w:rPr>
      </w:pPr>
      <w:bookmarkStart w:id="264" w:name="_Toc10463"/>
      <w:bookmarkStart w:id="265" w:name="_Toc21954"/>
      <w:r>
        <w:rPr>
          <w:rFonts w:hint="eastAsia" w:ascii="仿宋" w:hAnsi="仿宋" w:eastAsia="仿宋" w:cs="仿宋"/>
          <w:b w:val="0"/>
          <w:bCs/>
          <w:sz w:val="24"/>
          <w:szCs w:val="24"/>
          <w:highlight w:val="none"/>
        </w:rPr>
        <w:br w:type="page"/>
      </w:r>
    </w:p>
    <w:p w14:paraId="6EBDA809">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outlineLvl w:val="0"/>
        <w:rPr>
          <w:rFonts w:hint="eastAsia" w:ascii="仿宋" w:hAnsi="仿宋" w:eastAsia="仿宋" w:cs="仿宋"/>
          <w:b w:val="0"/>
          <w:bCs/>
          <w:sz w:val="24"/>
          <w:szCs w:val="24"/>
          <w:highlight w:val="none"/>
          <w:lang w:val="en-US" w:eastAsia="zh-CN"/>
        </w:rPr>
      </w:pPr>
      <w:bookmarkStart w:id="266" w:name="_Toc3138"/>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业绩案例交付数据情况表</w:t>
      </w:r>
      <w:bookmarkEnd w:id="266"/>
    </w:p>
    <w:p w14:paraId="0F724ABB">
      <w:pPr>
        <w:keepNext w:val="0"/>
        <w:keepLines w:val="0"/>
        <w:pageBreakBefore w:val="0"/>
        <w:widowControl/>
        <w:kinsoku/>
        <w:wordWrap/>
        <w:overflowPunct/>
        <w:topLinePunct w:val="0"/>
        <w:autoSpaceDE w:val="0"/>
        <w:autoSpaceDN w:val="0"/>
        <w:bidi w:val="0"/>
        <w:adjustRightInd w:val="0"/>
        <w:snapToGrid/>
        <w:spacing w:line="400" w:lineRule="exact"/>
        <w:ind w:firstLine="420"/>
        <w:jc w:val="center"/>
        <w:textAlignment w:val="auto"/>
        <w:rPr>
          <w:rFonts w:hint="eastAsia" w:ascii="方正小标宋简体" w:hAnsi="方正小标宋简体" w:eastAsia="方正小标宋简体" w:cs="方正小标宋简体"/>
          <w:bCs/>
          <w:kern w:val="0"/>
          <w:sz w:val="28"/>
          <w:szCs w:val="28"/>
          <w:highlight w:val="none"/>
          <w:lang w:val="en-US" w:eastAsia="zh-CN"/>
        </w:rPr>
      </w:pPr>
      <w:r>
        <w:rPr>
          <w:rFonts w:hint="eastAsia" w:ascii="方正小标宋简体" w:hAnsi="方正小标宋简体" w:eastAsia="方正小标宋简体" w:cs="方正小标宋简体"/>
          <w:bCs/>
          <w:kern w:val="0"/>
          <w:sz w:val="28"/>
          <w:szCs w:val="28"/>
          <w:highlight w:val="none"/>
          <w:lang w:val="en-US" w:eastAsia="zh-CN"/>
        </w:rPr>
        <w:t>业绩案例交付数据情况表</w:t>
      </w:r>
    </w:p>
    <w:tbl>
      <w:tblPr>
        <w:tblStyle w:val="18"/>
        <w:tblpPr w:leftFromText="180" w:rightFromText="180" w:vertAnchor="page" w:horzAnchor="page" w:tblpX="1507" w:tblpY="3339"/>
        <w:tblOverlap w:val="never"/>
        <w:tblW w:w="89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9"/>
        <w:gridCol w:w="1428"/>
        <w:gridCol w:w="1112"/>
        <w:gridCol w:w="1110"/>
        <w:gridCol w:w="980"/>
        <w:gridCol w:w="1120"/>
      </w:tblGrid>
      <w:tr w14:paraId="200BD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249" w:type="dxa"/>
            <w:tcBorders>
              <w:tl2br w:val="nil"/>
              <w:tr2bl w:val="nil"/>
            </w:tcBorders>
            <w:vAlign w:val="center"/>
          </w:tcPr>
          <w:p w14:paraId="4438165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人才交付数据情况表</w:t>
            </w:r>
          </w:p>
        </w:tc>
        <w:tc>
          <w:tcPr>
            <w:tcW w:w="1428" w:type="dxa"/>
            <w:tcBorders>
              <w:tl2br w:val="nil"/>
              <w:tr2bl w:val="nil"/>
            </w:tcBorders>
            <w:vAlign w:val="center"/>
          </w:tcPr>
          <w:p w14:paraId="7F57E08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项目1</w:t>
            </w:r>
          </w:p>
        </w:tc>
        <w:tc>
          <w:tcPr>
            <w:tcW w:w="1112" w:type="dxa"/>
            <w:tcBorders>
              <w:tl2br w:val="nil"/>
              <w:tr2bl w:val="nil"/>
            </w:tcBorders>
            <w:vAlign w:val="center"/>
          </w:tcPr>
          <w:p w14:paraId="6B95B94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项目2</w:t>
            </w:r>
          </w:p>
        </w:tc>
        <w:tc>
          <w:tcPr>
            <w:tcW w:w="1110" w:type="dxa"/>
            <w:tcBorders>
              <w:tl2br w:val="nil"/>
              <w:tr2bl w:val="nil"/>
            </w:tcBorders>
            <w:vAlign w:val="center"/>
          </w:tcPr>
          <w:p w14:paraId="31F3A0A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项目3</w:t>
            </w:r>
          </w:p>
        </w:tc>
        <w:tc>
          <w:tcPr>
            <w:tcW w:w="980" w:type="dxa"/>
            <w:tcBorders>
              <w:tl2br w:val="nil"/>
              <w:tr2bl w:val="nil"/>
            </w:tcBorders>
            <w:vAlign w:val="center"/>
          </w:tcPr>
          <w:p w14:paraId="1836BD5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项目4</w:t>
            </w:r>
          </w:p>
        </w:tc>
        <w:tc>
          <w:tcPr>
            <w:tcW w:w="1120" w:type="dxa"/>
            <w:tcBorders>
              <w:tl2br w:val="nil"/>
              <w:tr2bl w:val="nil"/>
            </w:tcBorders>
            <w:vAlign w:val="center"/>
          </w:tcPr>
          <w:p w14:paraId="7221B1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项目5</w:t>
            </w:r>
          </w:p>
        </w:tc>
      </w:tr>
      <w:tr w14:paraId="76E00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249" w:type="dxa"/>
            <w:tcBorders>
              <w:tl2br w:val="nil"/>
              <w:tr2bl w:val="nil"/>
            </w:tcBorders>
            <w:vAlign w:val="center"/>
          </w:tcPr>
          <w:p w14:paraId="57D4F63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服务项目名称</w:t>
            </w:r>
          </w:p>
        </w:tc>
        <w:tc>
          <w:tcPr>
            <w:tcW w:w="1428" w:type="dxa"/>
            <w:tcBorders>
              <w:tl2br w:val="nil"/>
              <w:tr2bl w:val="nil"/>
            </w:tcBorders>
            <w:vAlign w:val="center"/>
          </w:tcPr>
          <w:p w14:paraId="440784E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b/>
                <w:bCs/>
                <w:color w:val="3B3838" w:themeColor="background2" w:themeShade="40"/>
                <w:sz w:val="20"/>
                <w:szCs w:val="20"/>
                <w:vertAlign w:val="baseline"/>
                <w:lang w:val="en-US" w:eastAsia="zh-CN"/>
              </w:rPr>
            </w:pPr>
            <w:r>
              <w:rPr>
                <w:rFonts w:hint="eastAsia" w:ascii="Times New Roman" w:hAnsi="Times New Roman" w:eastAsia="宋体"/>
                <w:b/>
                <w:bCs/>
                <w:color w:val="3B3838" w:themeColor="background2" w:themeShade="40"/>
                <w:sz w:val="20"/>
                <w:szCs w:val="20"/>
                <w:vertAlign w:val="baseline"/>
                <w:lang w:val="en-US" w:eastAsia="zh-CN"/>
              </w:rPr>
              <w:t>例：</w:t>
            </w:r>
          </w:p>
          <w:p w14:paraId="14E4E46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某公司招聘服务项目</w:t>
            </w:r>
          </w:p>
        </w:tc>
        <w:tc>
          <w:tcPr>
            <w:tcW w:w="1112" w:type="dxa"/>
            <w:tcBorders>
              <w:tl2br w:val="nil"/>
              <w:tr2bl w:val="nil"/>
            </w:tcBorders>
            <w:vAlign w:val="center"/>
          </w:tcPr>
          <w:p w14:paraId="5C87787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sz w:val="20"/>
                <w:szCs w:val="20"/>
                <w:vertAlign w:val="baseline"/>
                <w:lang w:val="en-US" w:eastAsia="zh-CN"/>
              </w:rPr>
            </w:pPr>
            <w:r>
              <w:rPr>
                <w:rFonts w:hint="eastAsia" w:ascii="Times New Roman" w:hAnsi="Times New Roman" w:eastAsia="宋体"/>
                <w:sz w:val="20"/>
                <w:szCs w:val="20"/>
                <w:vertAlign w:val="baseline"/>
                <w:lang w:val="en-US" w:eastAsia="zh-CN"/>
              </w:rPr>
              <w:t>...</w:t>
            </w:r>
          </w:p>
        </w:tc>
        <w:tc>
          <w:tcPr>
            <w:tcW w:w="1110" w:type="dxa"/>
            <w:tcBorders>
              <w:tl2br w:val="nil"/>
              <w:tr2bl w:val="nil"/>
            </w:tcBorders>
            <w:vAlign w:val="center"/>
          </w:tcPr>
          <w:p w14:paraId="16FE0A7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sz w:val="20"/>
                <w:szCs w:val="20"/>
                <w:vertAlign w:val="baseline"/>
                <w:lang w:val="en-US" w:eastAsia="zh-CN"/>
              </w:rPr>
            </w:pPr>
            <w:r>
              <w:rPr>
                <w:rFonts w:hint="eastAsia" w:ascii="Times New Roman" w:hAnsi="Times New Roman" w:eastAsia="宋体"/>
                <w:sz w:val="20"/>
                <w:szCs w:val="20"/>
                <w:vertAlign w:val="baseline"/>
                <w:lang w:val="en-US" w:eastAsia="zh-CN"/>
              </w:rPr>
              <w:t>....</w:t>
            </w:r>
          </w:p>
        </w:tc>
        <w:tc>
          <w:tcPr>
            <w:tcW w:w="980" w:type="dxa"/>
            <w:tcBorders>
              <w:tl2br w:val="nil"/>
              <w:tr2bl w:val="nil"/>
            </w:tcBorders>
            <w:vAlign w:val="center"/>
          </w:tcPr>
          <w:p w14:paraId="36401A1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sz w:val="20"/>
                <w:szCs w:val="20"/>
                <w:vertAlign w:val="baseline"/>
                <w:lang w:val="en-US" w:eastAsia="zh-CN"/>
              </w:rPr>
            </w:pPr>
            <w:r>
              <w:rPr>
                <w:rFonts w:hint="eastAsia" w:ascii="Times New Roman" w:hAnsi="Times New Roman" w:eastAsia="宋体"/>
                <w:sz w:val="20"/>
                <w:szCs w:val="20"/>
                <w:vertAlign w:val="baseline"/>
                <w:lang w:val="en-US" w:eastAsia="zh-CN"/>
              </w:rPr>
              <w:t>....</w:t>
            </w:r>
          </w:p>
        </w:tc>
        <w:tc>
          <w:tcPr>
            <w:tcW w:w="1120" w:type="dxa"/>
            <w:tcBorders>
              <w:tl2br w:val="nil"/>
              <w:tr2bl w:val="nil"/>
            </w:tcBorders>
            <w:vAlign w:val="center"/>
          </w:tcPr>
          <w:p w14:paraId="2F32C5A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sz w:val="20"/>
                <w:szCs w:val="20"/>
                <w:vertAlign w:val="baseline"/>
                <w:lang w:val="en-US" w:eastAsia="zh-CN"/>
              </w:rPr>
            </w:pPr>
            <w:r>
              <w:rPr>
                <w:rFonts w:hint="eastAsia" w:ascii="Times New Roman" w:hAnsi="Times New Roman" w:eastAsia="宋体"/>
                <w:sz w:val="20"/>
                <w:szCs w:val="20"/>
                <w:vertAlign w:val="baseline"/>
                <w:lang w:val="en-US" w:eastAsia="zh-CN"/>
              </w:rPr>
              <w:t>...</w:t>
            </w:r>
          </w:p>
        </w:tc>
      </w:tr>
      <w:tr w14:paraId="355BF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49" w:type="dxa"/>
            <w:tcBorders>
              <w:tl2br w:val="nil"/>
              <w:tr2bl w:val="nil"/>
            </w:tcBorders>
            <w:vAlign w:val="center"/>
          </w:tcPr>
          <w:p w14:paraId="61A9A56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服务项目所需招聘岗位</w:t>
            </w:r>
          </w:p>
        </w:tc>
        <w:tc>
          <w:tcPr>
            <w:tcW w:w="1428" w:type="dxa"/>
            <w:tcBorders>
              <w:tl2br w:val="nil"/>
              <w:tr2bl w:val="nil"/>
            </w:tcBorders>
            <w:vAlign w:val="center"/>
          </w:tcPr>
          <w:p w14:paraId="750C65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color w:val="3B3838" w:themeColor="background2" w:themeShade="40"/>
                <w:sz w:val="20"/>
                <w:szCs w:val="20"/>
                <w:vertAlign w:val="baseline"/>
              </w:rPr>
            </w:pPr>
            <w:r>
              <w:rPr>
                <w:rFonts w:hint="eastAsia" w:ascii="Times New Roman" w:hAnsi="Times New Roman" w:eastAsia="宋体"/>
                <w:color w:val="3B3838" w:themeColor="background2" w:themeShade="40"/>
                <w:sz w:val="13"/>
                <w:szCs w:val="13"/>
                <w:highlight w:val="none"/>
                <w:lang w:val="en-US" w:eastAsia="zh-CN"/>
              </w:rPr>
              <w:t>客户服务岗、风险审核岗、中后台支持（数据分析）岗、贷后催收岗、外呼岗</w:t>
            </w:r>
          </w:p>
        </w:tc>
        <w:tc>
          <w:tcPr>
            <w:tcW w:w="1112" w:type="dxa"/>
            <w:tcBorders>
              <w:tl2br w:val="nil"/>
              <w:tr2bl w:val="nil"/>
            </w:tcBorders>
            <w:vAlign w:val="center"/>
          </w:tcPr>
          <w:p w14:paraId="48D8733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vAlign w:val="center"/>
          </w:tcPr>
          <w:p w14:paraId="25167B6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vAlign w:val="center"/>
          </w:tcPr>
          <w:p w14:paraId="3054E93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vAlign w:val="center"/>
          </w:tcPr>
          <w:p w14:paraId="505A661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247F3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249" w:type="dxa"/>
            <w:tcBorders>
              <w:tl2br w:val="nil"/>
              <w:tr2bl w:val="nil"/>
            </w:tcBorders>
            <w:vAlign w:val="center"/>
          </w:tcPr>
          <w:p w14:paraId="7631F9C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项目所需招聘岗位数量</w:t>
            </w:r>
          </w:p>
        </w:tc>
        <w:tc>
          <w:tcPr>
            <w:tcW w:w="1428" w:type="dxa"/>
            <w:tcBorders>
              <w:tl2br w:val="nil"/>
              <w:tr2bl w:val="nil"/>
            </w:tcBorders>
            <w:vAlign w:val="center"/>
          </w:tcPr>
          <w:p w14:paraId="6001CAB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5</w:t>
            </w:r>
          </w:p>
        </w:tc>
        <w:tc>
          <w:tcPr>
            <w:tcW w:w="1112" w:type="dxa"/>
            <w:tcBorders>
              <w:tl2br w:val="nil"/>
              <w:tr2bl w:val="nil"/>
            </w:tcBorders>
            <w:vAlign w:val="center"/>
          </w:tcPr>
          <w:p w14:paraId="2749431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vAlign w:val="center"/>
          </w:tcPr>
          <w:p w14:paraId="2F573C5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vAlign w:val="center"/>
          </w:tcPr>
          <w:p w14:paraId="7B76FDA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vAlign w:val="center"/>
          </w:tcPr>
          <w:p w14:paraId="690A307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008DA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249" w:type="dxa"/>
            <w:tcBorders>
              <w:tl2br w:val="nil"/>
              <w:tr2bl w:val="nil"/>
            </w:tcBorders>
            <w:shd w:val="clear" w:color="auto" w:fill="CFCECE" w:themeFill="background2" w:themeFillShade="E5"/>
            <w:vAlign w:val="center"/>
          </w:tcPr>
          <w:p w14:paraId="2256C14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color w:val="000000" w:themeColor="text1"/>
                <w:sz w:val="20"/>
                <w:szCs w:val="20"/>
                <w:vertAlign w:val="baseline"/>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2025全年推荐有效简历总份数</w:t>
            </w:r>
          </w:p>
        </w:tc>
        <w:tc>
          <w:tcPr>
            <w:tcW w:w="1428" w:type="dxa"/>
            <w:tcBorders>
              <w:tl2br w:val="nil"/>
              <w:tr2bl w:val="nil"/>
            </w:tcBorders>
            <w:shd w:val="clear" w:color="auto" w:fill="CFCECE" w:themeFill="background2" w:themeFillShade="E5"/>
            <w:vAlign w:val="center"/>
          </w:tcPr>
          <w:p w14:paraId="78C1236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1200</w:t>
            </w:r>
          </w:p>
        </w:tc>
        <w:tc>
          <w:tcPr>
            <w:tcW w:w="1112" w:type="dxa"/>
            <w:tcBorders>
              <w:tl2br w:val="nil"/>
              <w:tr2bl w:val="nil"/>
            </w:tcBorders>
            <w:shd w:val="clear" w:color="auto" w:fill="CFCECE" w:themeFill="background2" w:themeFillShade="E5"/>
            <w:vAlign w:val="center"/>
          </w:tcPr>
          <w:p w14:paraId="7237F59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shd w:val="clear" w:color="auto" w:fill="CFCECE" w:themeFill="background2" w:themeFillShade="E5"/>
            <w:vAlign w:val="center"/>
          </w:tcPr>
          <w:p w14:paraId="3EF9AC4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shd w:val="clear" w:color="auto" w:fill="CFCECE" w:themeFill="background2" w:themeFillShade="E5"/>
            <w:vAlign w:val="center"/>
          </w:tcPr>
          <w:p w14:paraId="202F7C6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shd w:val="clear" w:color="auto" w:fill="CFCECE" w:themeFill="background2" w:themeFillShade="E5"/>
            <w:vAlign w:val="center"/>
          </w:tcPr>
          <w:p w14:paraId="40B1D62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30A77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249" w:type="dxa"/>
            <w:tcBorders>
              <w:tl2br w:val="nil"/>
              <w:tr2bl w:val="nil"/>
            </w:tcBorders>
            <w:shd w:val="clear" w:color="auto" w:fill="CFCECE" w:themeFill="background2" w:themeFillShade="E5"/>
            <w:vAlign w:val="center"/>
          </w:tcPr>
          <w:p w14:paraId="1B26D68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单个岗位月均推送有效简历份数</w:t>
            </w:r>
          </w:p>
          <w:p w14:paraId="204298B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（=2025全年推荐有效简历总份数</w:t>
            </w:r>
            <w:r>
              <w:rPr>
                <w:rFonts w:hint="default" w:ascii="Times New Roman" w:hAnsi="Times New Roman" w:eastAsia="宋体" w:cs="Arial"/>
                <w:b w:val="0"/>
                <w:bCs w:val="0"/>
                <w:color w:val="000000" w:themeColor="text1"/>
                <w:sz w:val="20"/>
                <w:szCs w:val="20"/>
                <w:vertAlign w:val="baseline"/>
                <w:lang w:val="en-US" w:eastAsia="zh-CN"/>
                <w14:textFill>
                  <w14:solidFill>
                    <w14:schemeClr w14:val="tx1"/>
                  </w14:solidFill>
                </w14:textFill>
              </w:rPr>
              <w:t>÷项目所需招聘岗位数量÷</w:t>
            </w:r>
            <w:r>
              <w:rPr>
                <w:rFonts w:hint="eastAsia" w:ascii="Times New Roman" w:hAnsi="Times New Roman" w:eastAsia="宋体" w:cs="Arial"/>
                <w:b w:val="0"/>
                <w:bCs w:val="0"/>
                <w:color w:val="000000" w:themeColor="text1"/>
                <w:sz w:val="20"/>
                <w:szCs w:val="20"/>
                <w:vertAlign w:val="baseline"/>
                <w:lang w:val="en-US" w:eastAsia="zh-CN"/>
                <w14:textFill>
                  <w14:solidFill>
                    <w14:schemeClr w14:val="tx1"/>
                  </w14:solidFill>
                </w14:textFill>
              </w:rPr>
              <w:t>12</w:t>
            </w: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w:t>
            </w:r>
          </w:p>
        </w:tc>
        <w:tc>
          <w:tcPr>
            <w:tcW w:w="1428" w:type="dxa"/>
            <w:tcBorders>
              <w:tl2br w:val="nil"/>
              <w:tr2bl w:val="nil"/>
            </w:tcBorders>
            <w:shd w:val="clear" w:color="auto" w:fill="CFCECE" w:themeFill="background2" w:themeFillShade="E5"/>
            <w:vAlign w:val="center"/>
          </w:tcPr>
          <w:p w14:paraId="313BD68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20</w:t>
            </w:r>
          </w:p>
        </w:tc>
        <w:tc>
          <w:tcPr>
            <w:tcW w:w="1112" w:type="dxa"/>
            <w:tcBorders>
              <w:tl2br w:val="nil"/>
              <w:tr2bl w:val="nil"/>
            </w:tcBorders>
            <w:shd w:val="clear" w:color="auto" w:fill="CFCECE" w:themeFill="background2" w:themeFillShade="E5"/>
            <w:vAlign w:val="center"/>
          </w:tcPr>
          <w:p w14:paraId="4090ECB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shd w:val="clear" w:color="auto" w:fill="CFCECE" w:themeFill="background2" w:themeFillShade="E5"/>
            <w:vAlign w:val="center"/>
          </w:tcPr>
          <w:p w14:paraId="2991C5E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shd w:val="clear" w:color="auto" w:fill="CFCECE" w:themeFill="background2" w:themeFillShade="E5"/>
            <w:vAlign w:val="center"/>
          </w:tcPr>
          <w:p w14:paraId="6BBC0BF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shd w:val="clear" w:color="auto" w:fill="CFCECE" w:themeFill="background2" w:themeFillShade="E5"/>
            <w:vAlign w:val="center"/>
          </w:tcPr>
          <w:p w14:paraId="6814D84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5EE28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49" w:type="dxa"/>
            <w:tcBorders>
              <w:tl2br w:val="nil"/>
              <w:tr2bl w:val="nil"/>
            </w:tcBorders>
            <w:shd w:val="clear" w:color="auto" w:fill="FFFFFF" w:themeFill="background1"/>
            <w:vAlign w:val="center"/>
          </w:tcPr>
          <w:p w14:paraId="5C70A61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highlight w:val="none"/>
                <w:vertAlign w:val="baseline"/>
                <w:lang w:val="en-US" w:eastAsia="zh-CN"/>
                <w14:textFill>
                  <w14:solidFill>
                    <w14:schemeClr w14:val="tx1"/>
                  </w14:solidFill>
                </w14:textFill>
              </w:rPr>
            </w:pPr>
            <w:r>
              <w:rPr>
                <w:rFonts w:hint="eastAsia" w:ascii="Times New Roman" w:hAnsi="Times New Roman" w:eastAsia="宋体"/>
                <w:color w:val="000000" w:themeColor="text1"/>
                <w:sz w:val="20"/>
                <w:szCs w:val="20"/>
                <w:highlight w:val="none"/>
                <w:vertAlign w:val="baseline"/>
                <w:lang w:val="en-US" w:eastAsia="zh-CN"/>
                <w14:textFill>
                  <w14:solidFill>
                    <w14:schemeClr w14:val="tx1"/>
                  </w14:solidFill>
                </w14:textFill>
              </w:rPr>
              <w:t>2025全年实际参加初试人数</w:t>
            </w:r>
          </w:p>
        </w:tc>
        <w:tc>
          <w:tcPr>
            <w:tcW w:w="1428" w:type="dxa"/>
            <w:tcBorders>
              <w:tl2br w:val="nil"/>
              <w:tr2bl w:val="nil"/>
            </w:tcBorders>
            <w:shd w:val="clear" w:color="auto" w:fill="FFFFFF" w:themeFill="background1"/>
            <w:vAlign w:val="center"/>
          </w:tcPr>
          <w:p w14:paraId="5826E83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highlight w:val="none"/>
                <w:vertAlign w:val="baseline"/>
                <w:lang w:val="en-US" w:eastAsia="zh-CN"/>
              </w:rPr>
            </w:pPr>
            <w:r>
              <w:rPr>
                <w:rFonts w:hint="eastAsia" w:ascii="Times New Roman" w:hAnsi="Times New Roman" w:eastAsia="宋体"/>
                <w:color w:val="3B3838" w:themeColor="background2" w:themeShade="40"/>
                <w:sz w:val="20"/>
                <w:szCs w:val="20"/>
                <w:highlight w:val="none"/>
                <w:vertAlign w:val="baseline"/>
                <w:lang w:val="en-US" w:eastAsia="zh-CN"/>
              </w:rPr>
              <w:t>480</w:t>
            </w:r>
          </w:p>
        </w:tc>
        <w:tc>
          <w:tcPr>
            <w:tcW w:w="1112" w:type="dxa"/>
            <w:tcBorders>
              <w:tl2br w:val="nil"/>
              <w:tr2bl w:val="nil"/>
            </w:tcBorders>
            <w:shd w:val="clear" w:color="auto" w:fill="FFFFFF" w:themeFill="background1"/>
            <w:vAlign w:val="center"/>
          </w:tcPr>
          <w:p w14:paraId="51A4DFE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10" w:type="dxa"/>
            <w:tcBorders>
              <w:tl2br w:val="nil"/>
              <w:tr2bl w:val="nil"/>
            </w:tcBorders>
            <w:shd w:val="clear" w:color="auto" w:fill="FFFFFF" w:themeFill="background1"/>
            <w:vAlign w:val="center"/>
          </w:tcPr>
          <w:p w14:paraId="6F9FD1C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980" w:type="dxa"/>
            <w:tcBorders>
              <w:tl2br w:val="nil"/>
              <w:tr2bl w:val="nil"/>
            </w:tcBorders>
            <w:shd w:val="clear" w:color="auto" w:fill="FFFFFF" w:themeFill="background1"/>
            <w:vAlign w:val="center"/>
          </w:tcPr>
          <w:p w14:paraId="62FD769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20" w:type="dxa"/>
            <w:tcBorders>
              <w:tl2br w:val="nil"/>
              <w:tr2bl w:val="nil"/>
            </w:tcBorders>
            <w:shd w:val="clear" w:color="auto" w:fill="FFFFFF" w:themeFill="background1"/>
            <w:vAlign w:val="center"/>
          </w:tcPr>
          <w:p w14:paraId="4B92FF5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r>
      <w:tr w14:paraId="5FD80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249" w:type="dxa"/>
            <w:tcBorders>
              <w:tl2br w:val="nil"/>
              <w:tr2bl w:val="nil"/>
            </w:tcBorders>
            <w:shd w:val="clear" w:color="auto" w:fill="FFFFFF" w:themeFill="background1"/>
            <w:vAlign w:val="center"/>
          </w:tcPr>
          <w:p w14:paraId="0F358DA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b/>
                <w:bCs/>
                <w:color w:val="000000" w:themeColor="text1"/>
                <w:sz w:val="20"/>
                <w:szCs w:val="20"/>
                <w:highlight w:val="none"/>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highlight w:val="none"/>
                <w:vertAlign w:val="baseline"/>
                <w:lang w:val="en-US" w:eastAsia="zh-CN"/>
                <w14:textFill>
                  <w14:solidFill>
                    <w14:schemeClr w14:val="tx1"/>
                  </w14:solidFill>
                </w14:textFill>
              </w:rPr>
              <w:t>初试通过率</w:t>
            </w:r>
          </w:p>
          <w:p w14:paraId="2430359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highlight w:val="none"/>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0"/>
                <w:szCs w:val="20"/>
                <w:highlight w:val="none"/>
                <w:vertAlign w:val="baseline"/>
                <w:lang w:val="en-US" w:eastAsia="zh-CN"/>
                <w14:textFill>
                  <w14:solidFill>
                    <w14:schemeClr w14:val="tx1"/>
                  </w14:solidFill>
                </w14:textFill>
              </w:rPr>
              <w:t>（=2025全年实际参加初试人数</w:t>
            </w:r>
            <w:r>
              <w:rPr>
                <w:rFonts w:hint="default" w:ascii="Times New Roman" w:hAnsi="Times New Roman" w:eastAsia="宋体" w:cs="Arial"/>
                <w:b w:val="0"/>
                <w:bCs w:val="0"/>
                <w:color w:val="000000" w:themeColor="text1"/>
                <w:sz w:val="20"/>
                <w:szCs w:val="20"/>
                <w:vertAlign w:val="baseline"/>
                <w:lang w:val="en-US" w:eastAsia="zh-CN"/>
                <w14:textFill>
                  <w14:solidFill>
                    <w14:schemeClr w14:val="tx1"/>
                  </w14:solidFill>
                </w14:textFill>
              </w:rPr>
              <w:t>÷</w:t>
            </w: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2025全年推荐有效简历总份数</w:t>
            </w:r>
            <w:r>
              <w:rPr>
                <w:rFonts w:hint="eastAsia" w:ascii="Times New Roman" w:hAnsi="Times New Roman" w:eastAsia="宋体"/>
                <w:b w:val="0"/>
                <w:bCs w:val="0"/>
                <w:color w:val="000000" w:themeColor="text1"/>
                <w:sz w:val="20"/>
                <w:szCs w:val="20"/>
                <w:highlight w:val="none"/>
                <w:vertAlign w:val="baseline"/>
                <w:lang w:val="en-US" w:eastAsia="zh-CN"/>
                <w14:textFill>
                  <w14:solidFill>
                    <w14:schemeClr w14:val="tx1"/>
                  </w14:solidFill>
                </w14:textFill>
              </w:rPr>
              <w:t>）</w:t>
            </w:r>
          </w:p>
        </w:tc>
        <w:tc>
          <w:tcPr>
            <w:tcW w:w="1428" w:type="dxa"/>
            <w:tcBorders>
              <w:tl2br w:val="nil"/>
              <w:tr2bl w:val="nil"/>
            </w:tcBorders>
            <w:shd w:val="clear" w:color="auto" w:fill="FFFFFF" w:themeFill="background1"/>
            <w:vAlign w:val="center"/>
          </w:tcPr>
          <w:p w14:paraId="1809BA5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highlight w:val="none"/>
                <w:vertAlign w:val="baseline"/>
                <w:lang w:val="en-US" w:eastAsia="zh-CN"/>
              </w:rPr>
            </w:pPr>
            <w:r>
              <w:rPr>
                <w:rFonts w:hint="eastAsia" w:ascii="Times New Roman" w:hAnsi="Times New Roman" w:eastAsia="宋体"/>
                <w:color w:val="3B3838" w:themeColor="background2" w:themeShade="40"/>
                <w:sz w:val="20"/>
                <w:szCs w:val="20"/>
                <w:highlight w:val="none"/>
                <w:vertAlign w:val="baseline"/>
                <w:lang w:val="en-US" w:eastAsia="zh-CN"/>
              </w:rPr>
              <w:t>40%</w:t>
            </w:r>
          </w:p>
        </w:tc>
        <w:tc>
          <w:tcPr>
            <w:tcW w:w="1112" w:type="dxa"/>
            <w:tcBorders>
              <w:tl2br w:val="nil"/>
              <w:tr2bl w:val="nil"/>
            </w:tcBorders>
            <w:shd w:val="clear" w:color="auto" w:fill="FFFFFF" w:themeFill="background1"/>
            <w:vAlign w:val="center"/>
          </w:tcPr>
          <w:p w14:paraId="61C43D1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10" w:type="dxa"/>
            <w:tcBorders>
              <w:tl2br w:val="nil"/>
              <w:tr2bl w:val="nil"/>
            </w:tcBorders>
            <w:shd w:val="clear" w:color="auto" w:fill="FFFFFF" w:themeFill="background1"/>
            <w:vAlign w:val="center"/>
          </w:tcPr>
          <w:p w14:paraId="3203A2A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980" w:type="dxa"/>
            <w:tcBorders>
              <w:tl2br w:val="nil"/>
              <w:tr2bl w:val="nil"/>
            </w:tcBorders>
            <w:shd w:val="clear" w:color="auto" w:fill="FFFFFF" w:themeFill="background1"/>
            <w:vAlign w:val="center"/>
          </w:tcPr>
          <w:p w14:paraId="6933DA3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20" w:type="dxa"/>
            <w:tcBorders>
              <w:tl2br w:val="nil"/>
              <w:tr2bl w:val="nil"/>
            </w:tcBorders>
            <w:shd w:val="clear" w:color="auto" w:fill="FFFFFF" w:themeFill="background1"/>
            <w:vAlign w:val="center"/>
          </w:tcPr>
          <w:p w14:paraId="40CDD74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r>
      <w:tr w14:paraId="65EFD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249" w:type="dxa"/>
            <w:tcBorders>
              <w:tl2br w:val="nil"/>
              <w:tr2bl w:val="nil"/>
            </w:tcBorders>
            <w:shd w:val="clear" w:color="auto" w:fill="D7D7D7" w:themeFill="background1" w:themeFillShade="D8"/>
            <w:vAlign w:val="center"/>
          </w:tcPr>
          <w:p w14:paraId="7641B58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2025全年通过复试人数</w:t>
            </w:r>
          </w:p>
        </w:tc>
        <w:tc>
          <w:tcPr>
            <w:tcW w:w="1428" w:type="dxa"/>
            <w:tcBorders>
              <w:tl2br w:val="nil"/>
              <w:tr2bl w:val="nil"/>
            </w:tcBorders>
            <w:shd w:val="clear" w:color="auto" w:fill="D7D7D7" w:themeFill="background1" w:themeFillShade="D8"/>
            <w:vAlign w:val="center"/>
          </w:tcPr>
          <w:p w14:paraId="12AE9CD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106</w:t>
            </w:r>
          </w:p>
        </w:tc>
        <w:tc>
          <w:tcPr>
            <w:tcW w:w="1112" w:type="dxa"/>
            <w:tcBorders>
              <w:tl2br w:val="nil"/>
              <w:tr2bl w:val="nil"/>
            </w:tcBorders>
            <w:shd w:val="clear" w:color="auto" w:fill="D7D7D7" w:themeFill="background1" w:themeFillShade="D8"/>
            <w:vAlign w:val="center"/>
          </w:tcPr>
          <w:p w14:paraId="12481A3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shd w:val="clear" w:color="auto" w:fill="D7D7D7" w:themeFill="background1" w:themeFillShade="D8"/>
            <w:vAlign w:val="center"/>
          </w:tcPr>
          <w:p w14:paraId="06707B3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shd w:val="clear" w:color="auto" w:fill="D7D7D7" w:themeFill="background1" w:themeFillShade="D8"/>
            <w:vAlign w:val="center"/>
          </w:tcPr>
          <w:p w14:paraId="6661D9C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shd w:val="clear" w:color="auto" w:fill="D7D7D7" w:themeFill="background1" w:themeFillShade="D8"/>
            <w:vAlign w:val="center"/>
          </w:tcPr>
          <w:p w14:paraId="48CB532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6D801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249" w:type="dxa"/>
            <w:tcBorders>
              <w:tl2br w:val="nil"/>
              <w:tr2bl w:val="nil"/>
            </w:tcBorders>
            <w:shd w:val="clear" w:color="auto" w:fill="D7D7D7" w:themeFill="background1" w:themeFillShade="D8"/>
            <w:vAlign w:val="center"/>
          </w:tcPr>
          <w:p w14:paraId="3982A9A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复试通过率</w:t>
            </w:r>
          </w:p>
          <w:p w14:paraId="13181DA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（=2025全年通过复试人数</w:t>
            </w:r>
            <w:r>
              <w:rPr>
                <w:rFonts w:hint="default" w:ascii="Times New Roman" w:hAnsi="Times New Roman" w:eastAsia="宋体" w:cs="Arial"/>
                <w:b w:val="0"/>
                <w:bCs w:val="0"/>
                <w:color w:val="000000" w:themeColor="text1"/>
                <w:sz w:val="20"/>
                <w:szCs w:val="20"/>
                <w:vertAlign w:val="baseline"/>
                <w:lang w:val="en-US" w:eastAsia="zh-CN"/>
                <w14:textFill>
                  <w14:solidFill>
                    <w14:schemeClr w14:val="tx1"/>
                  </w14:solidFill>
                </w14:textFill>
              </w:rPr>
              <w:t>÷</w:t>
            </w:r>
            <w:r>
              <w:rPr>
                <w:rFonts w:hint="eastAsia" w:ascii="Times New Roman" w:hAnsi="Times New Roman" w:eastAsia="宋体"/>
                <w:b w:val="0"/>
                <w:bCs w:val="0"/>
                <w:color w:val="000000" w:themeColor="text1"/>
                <w:sz w:val="20"/>
                <w:szCs w:val="20"/>
                <w:highlight w:val="none"/>
                <w:vertAlign w:val="baseline"/>
                <w:lang w:val="en-US" w:eastAsia="zh-CN"/>
                <w14:textFill>
                  <w14:solidFill>
                    <w14:schemeClr w14:val="tx1"/>
                  </w14:solidFill>
                </w14:textFill>
              </w:rPr>
              <w:t>2025全年实际参加初试人数）</w:t>
            </w:r>
          </w:p>
        </w:tc>
        <w:tc>
          <w:tcPr>
            <w:tcW w:w="1428" w:type="dxa"/>
            <w:tcBorders>
              <w:tl2br w:val="nil"/>
              <w:tr2bl w:val="nil"/>
            </w:tcBorders>
            <w:shd w:val="clear" w:color="auto" w:fill="D7D7D7" w:themeFill="background1" w:themeFillShade="D8"/>
            <w:vAlign w:val="center"/>
          </w:tcPr>
          <w:p w14:paraId="3CB4493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22%</w:t>
            </w:r>
          </w:p>
        </w:tc>
        <w:tc>
          <w:tcPr>
            <w:tcW w:w="1112" w:type="dxa"/>
            <w:tcBorders>
              <w:tl2br w:val="nil"/>
              <w:tr2bl w:val="nil"/>
            </w:tcBorders>
            <w:shd w:val="clear" w:color="auto" w:fill="D7D7D7" w:themeFill="background1" w:themeFillShade="D8"/>
            <w:vAlign w:val="center"/>
          </w:tcPr>
          <w:p w14:paraId="0337A08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shd w:val="clear" w:color="auto" w:fill="D7D7D7" w:themeFill="background1" w:themeFillShade="D8"/>
            <w:vAlign w:val="center"/>
          </w:tcPr>
          <w:p w14:paraId="490DCC9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shd w:val="clear" w:color="auto" w:fill="D7D7D7" w:themeFill="background1" w:themeFillShade="D8"/>
            <w:vAlign w:val="center"/>
          </w:tcPr>
          <w:p w14:paraId="51888C5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shd w:val="clear" w:color="auto" w:fill="D7D7D7" w:themeFill="background1" w:themeFillShade="D8"/>
            <w:vAlign w:val="center"/>
          </w:tcPr>
          <w:p w14:paraId="72A17FA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7DB13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49" w:type="dxa"/>
            <w:tcBorders>
              <w:tl2br w:val="nil"/>
              <w:tr2bl w:val="nil"/>
            </w:tcBorders>
            <w:shd w:val="clear" w:color="auto" w:fill="auto"/>
            <w:vAlign w:val="center"/>
          </w:tcPr>
          <w:p w14:paraId="64AE202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bCs/>
                <w:color w:val="000000" w:themeColor="text1"/>
                <w:kern w:val="2"/>
                <w:sz w:val="20"/>
                <w:szCs w:val="20"/>
                <w:highlight w:val="none"/>
                <w:vertAlign w:val="baseline"/>
                <w:lang w:val="en-US" w:eastAsia="zh-CN" w:bidi="ar-SA"/>
                <w14:textFill>
                  <w14:solidFill>
                    <w14:schemeClr w14:val="tx1"/>
                  </w14:solidFill>
                </w14:textFill>
              </w:rPr>
            </w:pPr>
            <w:r>
              <w:rPr>
                <w:rFonts w:hint="eastAsia" w:ascii="Times New Roman" w:hAnsi="Times New Roman" w:eastAsia="宋体"/>
                <w:color w:val="000000" w:themeColor="text1"/>
                <w:sz w:val="20"/>
                <w:szCs w:val="20"/>
                <w:highlight w:val="none"/>
                <w:vertAlign w:val="baseline"/>
                <w:lang w:val="en-US" w:eastAsia="zh-CN"/>
                <w14:textFill>
                  <w14:solidFill>
                    <w14:schemeClr w14:val="tx1"/>
                  </w14:solidFill>
                </w14:textFill>
              </w:rPr>
              <w:t>2025全年实际到岗人数</w:t>
            </w:r>
          </w:p>
        </w:tc>
        <w:tc>
          <w:tcPr>
            <w:tcW w:w="1428" w:type="dxa"/>
            <w:tcBorders>
              <w:tl2br w:val="nil"/>
              <w:tr2bl w:val="nil"/>
            </w:tcBorders>
            <w:shd w:val="clear" w:color="auto" w:fill="auto"/>
            <w:vAlign w:val="center"/>
          </w:tcPr>
          <w:p w14:paraId="7342800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highlight w:val="none"/>
                <w:vertAlign w:val="baseline"/>
                <w:lang w:val="en-US" w:eastAsia="zh-CN"/>
              </w:rPr>
            </w:pPr>
            <w:r>
              <w:rPr>
                <w:rFonts w:hint="eastAsia" w:ascii="Times New Roman" w:hAnsi="Times New Roman" w:eastAsia="宋体"/>
                <w:color w:val="3B3838" w:themeColor="background2" w:themeShade="40"/>
                <w:sz w:val="20"/>
                <w:szCs w:val="20"/>
                <w:highlight w:val="none"/>
                <w:vertAlign w:val="baseline"/>
                <w:lang w:val="en-US" w:eastAsia="zh-CN"/>
              </w:rPr>
              <w:t>31</w:t>
            </w:r>
          </w:p>
        </w:tc>
        <w:tc>
          <w:tcPr>
            <w:tcW w:w="1112" w:type="dxa"/>
            <w:tcBorders>
              <w:tl2br w:val="nil"/>
              <w:tr2bl w:val="nil"/>
            </w:tcBorders>
            <w:shd w:val="clear" w:color="auto" w:fill="auto"/>
            <w:vAlign w:val="center"/>
          </w:tcPr>
          <w:p w14:paraId="482DF13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10" w:type="dxa"/>
            <w:tcBorders>
              <w:tl2br w:val="nil"/>
              <w:tr2bl w:val="nil"/>
            </w:tcBorders>
            <w:shd w:val="clear" w:color="auto" w:fill="auto"/>
            <w:vAlign w:val="center"/>
          </w:tcPr>
          <w:p w14:paraId="6B1B2E7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980" w:type="dxa"/>
            <w:tcBorders>
              <w:tl2br w:val="nil"/>
              <w:tr2bl w:val="nil"/>
            </w:tcBorders>
            <w:shd w:val="clear" w:color="auto" w:fill="auto"/>
            <w:vAlign w:val="center"/>
          </w:tcPr>
          <w:p w14:paraId="19C7E7F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20" w:type="dxa"/>
            <w:tcBorders>
              <w:tl2br w:val="nil"/>
              <w:tr2bl w:val="nil"/>
            </w:tcBorders>
            <w:shd w:val="clear" w:color="auto" w:fill="auto"/>
            <w:vAlign w:val="center"/>
          </w:tcPr>
          <w:p w14:paraId="657F8F0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r>
      <w:tr w14:paraId="14A21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249" w:type="dxa"/>
            <w:tcBorders>
              <w:tl2br w:val="nil"/>
              <w:tr2bl w:val="nil"/>
            </w:tcBorders>
            <w:shd w:val="clear" w:color="auto" w:fill="auto"/>
            <w:vAlign w:val="center"/>
          </w:tcPr>
          <w:p w14:paraId="70ACAFA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b/>
                <w:bCs/>
                <w:color w:val="000000" w:themeColor="text1"/>
                <w:sz w:val="20"/>
                <w:szCs w:val="20"/>
                <w:highlight w:val="none"/>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highlight w:val="none"/>
                <w:vertAlign w:val="baseline"/>
                <w:lang w:val="en-US" w:eastAsia="zh-CN"/>
                <w14:textFill>
                  <w14:solidFill>
                    <w14:schemeClr w14:val="tx1"/>
                  </w14:solidFill>
                </w14:textFill>
              </w:rPr>
              <w:t>人员到位率</w:t>
            </w:r>
          </w:p>
          <w:p w14:paraId="0268532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highlight w:val="none"/>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0"/>
                <w:szCs w:val="20"/>
                <w:highlight w:val="none"/>
                <w:vertAlign w:val="baseline"/>
                <w:lang w:val="en-US" w:eastAsia="zh-CN"/>
                <w14:textFill>
                  <w14:solidFill>
                    <w14:schemeClr w14:val="tx1"/>
                  </w14:solidFill>
                </w14:textFill>
              </w:rPr>
              <w:t>（=2025全年实际到岗人数</w:t>
            </w:r>
            <w:r>
              <w:rPr>
                <w:rFonts w:hint="default" w:ascii="Times New Roman" w:hAnsi="Times New Roman" w:eastAsia="宋体" w:cs="Arial"/>
                <w:b w:val="0"/>
                <w:bCs w:val="0"/>
                <w:color w:val="000000" w:themeColor="text1"/>
                <w:sz w:val="20"/>
                <w:szCs w:val="20"/>
                <w:vertAlign w:val="baseline"/>
                <w:lang w:val="en-US" w:eastAsia="zh-CN"/>
                <w14:textFill>
                  <w14:solidFill>
                    <w14:schemeClr w14:val="tx1"/>
                  </w14:solidFill>
                </w14:textFill>
              </w:rPr>
              <w:t>÷</w:t>
            </w: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2025全年通过复试人数）</w:t>
            </w:r>
          </w:p>
        </w:tc>
        <w:tc>
          <w:tcPr>
            <w:tcW w:w="1428" w:type="dxa"/>
            <w:tcBorders>
              <w:tl2br w:val="nil"/>
              <w:tr2bl w:val="nil"/>
            </w:tcBorders>
            <w:shd w:val="clear" w:color="auto" w:fill="auto"/>
            <w:vAlign w:val="center"/>
          </w:tcPr>
          <w:p w14:paraId="2EE70E2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highlight w:val="none"/>
                <w:vertAlign w:val="baseline"/>
                <w:lang w:val="en-US" w:eastAsia="zh-CN"/>
              </w:rPr>
            </w:pPr>
            <w:r>
              <w:rPr>
                <w:rFonts w:hint="eastAsia" w:ascii="Times New Roman" w:hAnsi="Times New Roman" w:eastAsia="宋体"/>
                <w:color w:val="3B3838" w:themeColor="background2" w:themeShade="40"/>
                <w:sz w:val="20"/>
                <w:szCs w:val="20"/>
                <w:highlight w:val="none"/>
                <w:vertAlign w:val="baseline"/>
                <w:lang w:val="en-US" w:eastAsia="zh-CN"/>
              </w:rPr>
              <w:t>29%</w:t>
            </w:r>
          </w:p>
        </w:tc>
        <w:tc>
          <w:tcPr>
            <w:tcW w:w="1112" w:type="dxa"/>
            <w:tcBorders>
              <w:tl2br w:val="nil"/>
              <w:tr2bl w:val="nil"/>
            </w:tcBorders>
            <w:shd w:val="clear" w:color="auto" w:fill="auto"/>
            <w:vAlign w:val="center"/>
          </w:tcPr>
          <w:p w14:paraId="499F77B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10" w:type="dxa"/>
            <w:tcBorders>
              <w:tl2br w:val="nil"/>
              <w:tr2bl w:val="nil"/>
            </w:tcBorders>
            <w:shd w:val="clear" w:color="auto" w:fill="auto"/>
            <w:vAlign w:val="center"/>
          </w:tcPr>
          <w:p w14:paraId="07B4661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980" w:type="dxa"/>
            <w:tcBorders>
              <w:tl2br w:val="nil"/>
              <w:tr2bl w:val="nil"/>
            </w:tcBorders>
            <w:shd w:val="clear" w:color="auto" w:fill="auto"/>
            <w:vAlign w:val="center"/>
          </w:tcPr>
          <w:p w14:paraId="19C3549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c>
          <w:tcPr>
            <w:tcW w:w="1120" w:type="dxa"/>
            <w:tcBorders>
              <w:tl2br w:val="nil"/>
              <w:tr2bl w:val="nil"/>
            </w:tcBorders>
            <w:shd w:val="clear" w:color="auto" w:fill="auto"/>
            <w:vAlign w:val="center"/>
          </w:tcPr>
          <w:p w14:paraId="6F21B59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highlight w:val="none"/>
                <w:vertAlign w:val="baseline"/>
              </w:rPr>
            </w:pPr>
          </w:p>
        </w:tc>
      </w:tr>
      <w:tr w14:paraId="0B16F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249" w:type="dxa"/>
            <w:tcBorders>
              <w:tl2br w:val="nil"/>
              <w:tr2bl w:val="nil"/>
            </w:tcBorders>
            <w:shd w:val="clear" w:color="auto" w:fill="D7D7D7" w:themeFill="background1" w:themeFillShade="D8"/>
            <w:vAlign w:val="center"/>
          </w:tcPr>
          <w:p w14:paraId="6050CF7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2025全年入职后连续3个工作日（每日到岗超半天）仍在职人数</w:t>
            </w:r>
          </w:p>
        </w:tc>
        <w:tc>
          <w:tcPr>
            <w:tcW w:w="1428" w:type="dxa"/>
            <w:tcBorders>
              <w:tl2br w:val="nil"/>
              <w:tr2bl w:val="nil"/>
            </w:tcBorders>
            <w:shd w:val="clear" w:color="auto" w:fill="D7D7D7" w:themeFill="background1" w:themeFillShade="D8"/>
            <w:vAlign w:val="center"/>
          </w:tcPr>
          <w:p w14:paraId="1D8186B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31</w:t>
            </w:r>
          </w:p>
        </w:tc>
        <w:tc>
          <w:tcPr>
            <w:tcW w:w="1112" w:type="dxa"/>
            <w:tcBorders>
              <w:tl2br w:val="nil"/>
              <w:tr2bl w:val="nil"/>
            </w:tcBorders>
            <w:shd w:val="clear" w:color="auto" w:fill="D7D7D7" w:themeFill="background1" w:themeFillShade="D8"/>
            <w:vAlign w:val="center"/>
          </w:tcPr>
          <w:p w14:paraId="67316A0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shd w:val="clear" w:color="auto" w:fill="D7D7D7" w:themeFill="background1" w:themeFillShade="D8"/>
            <w:vAlign w:val="center"/>
          </w:tcPr>
          <w:p w14:paraId="799F35A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shd w:val="clear" w:color="auto" w:fill="D7D7D7" w:themeFill="background1" w:themeFillShade="D8"/>
            <w:vAlign w:val="center"/>
          </w:tcPr>
          <w:p w14:paraId="1BE8714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shd w:val="clear" w:color="auto" w:fill="D7D7D7" w:themeFill="background1" w:themeFillShade="D8"/>
            <w:vAlign w:val="center"/>
          </w:tcPr>
          <w:p w14:paraId="4C18D76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166D3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249" w:type="dxa"/>
            <w:tcBorders>
              <w:tl2br w:val="nil"/>
              <w:tr2bl w:val="nil"/>
            </w:tcBorders>
            <w:shd w:val="clear" w:color="auto" w:fill="D7D7D7" w:themeFill="background1" w:themeFillShade="D8"/>
            <w:vAlign w:val="center"/>
          </w:tcPr>
          <w:p w14:paraId="41139C8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bCs/>
                <w:color w:val="000000" w:themeColor="text1"/>
                <w:sz w:val="20"/>
                <w:szCs w:val="20"/>
                <w:vertAlign w:val="baseline"/>
                <w:lang w:val="en-US" w:eastAsia="zh-CN"/>
                <w14:textFill>
                  <w14:solidFill>
                    <w14:schemeClr w14:val="tx1"/>
                  </w14:solidFill>
                </w14:textFill>
              </w:rPr>
              <w:t>到岗稳定性比率</w:t>
            </w:r>
          </w:p>
          <w:p w14:paraId="3E50DF4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w:t>
            </w:r>
            <w:r>
              <w:rPr>
                <w:rFonts w:hint="eastAsia" w:ascii="Times New Roman" w:hAnsi="Times New Roman" w:eastAsia="宋体"/>
                <w:b w:val="0"/>
                <w:bCs w:val="0"/>
                <w:color w:val="000000" w:themeColor="text1"/>
                <w:sz w:val="20"/>
                <w:szCs w:val="20"/>
                <w:highlight w:val="none"/>
                <w:vertAlign w:val="baseline"/>
                <w:lang w:val="en-US" w:eastAsia="zh-CN"/>
                <w14:textFill>
                  <w14:solidFill>
                    <w14:schemeClr w14:val="tx1"/>
                  </w14:solidFill>
                </w14:textFill>
              </w:rPr>
              <w:t>=</w:t>
            </w: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2025全年入职后连续3个工作日（每日到岗超半天）仍在职人数</w:t>
            </w:r>
            <w:r>
              <w:rPr>
                <w:rFonts w:hint="default" w:ascii="Times New Roman" w:hAnsi="Times New Roman" w:eastAsia="宋体" w:cs="Arial"/>
                <w:b w:val="0"/>
                <w:bCs w:val="0"/>
                <w:color w:val="000000" w:themeColor="text1"/>
                <w:sz w:val="20"/>
                <w:szCs w:val="20"/>
                <w:vertAlign w:val="baseline"/>
                <w:lang w:val="en-US" w:eastAsia="zh-CN"/>
                <w14:textFill>
                  <w14:solidFill>
                    <w14:schemeClr w14:val="tx1"/>
                  </w14:solidFill>
                </w14:textFill>
              </w:rPr>
              <w:t>÷</w:t>
            </w:r>
            <w:r>
              <w:rPr>
                <w:rFonts w:hint="eastAsia" w:ascii="Times New Roman" w:hAnsi="Times New Roman" w:eastAsia="宋体"/>
                <w:b w:val="0"/>
                <w:bCs w:val="0"/>
                <w:color w:val="000000" w:themeColor="text1"/>
                <w:sz w:val="20"/>
                <w:szCs w:val="20"/>
                <w:highlight w:val="none"/>
                <w:vertAlign w:val="baseline"/>
                <w:lang w:val="en-US" w:eastAsia="zh-CN"/>
                <w14:textFill>
                  <w14:solidFill>
                    <w14:schemeClr w14:val="tx1"/>
                  </w14:solidFill>
                </w14:textFill>
              </w:rPr>
              <w:t>2025全年实际到岗人数</w:t>
            </w:r>
            <w:r>
              <w:rPr>
                <w:rFonts w:hint="eastAsia" w:ascii="Times New Roman" w:hAnsi="Times New Roman" w:eastAsia="宋体"/>
                <w:b w:val="0"/>
                <w:bCs w:val="0"/>
                <w:color w:val="000000" w:themeColor="text1"/>
                <w:sz w:val="20"/>
                <w:szCs w:val="20"/>
                <w:vertAlign w:val="baseline"/>
                <w:lang w:val="en-US" w:eastAsia="zh-CN"/>
                <w14:textFill>
                  <w14:solidFill>
                    <w14:schemeClr w14:val="tx1"/>
                  </w14:solidFill>
                </w14:textFill>
              </w:rPr>
              <w:t>）</w:t>
            </w:r>
          </w:p>
        </w:tc>
        <w:tc>
          <w:tcPr>
            <w:tcW w:w="1428" w:type="dxa"/>
            <w:tcBorders>
              <w:tl2br w:val="nil"/>
              <w:tr2bl w:val="nil"/>
            </w:tcBorders>
            <w:shd w:val="clear" w:color="auto" w:fill="D7D7D7" w:themeFill="background1" w:themeFillShade="D8"/>
            <w:vAlign w:val="center"/>
          </w:tcPr>
          <w:p w14:paraId="737127E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olor w:val="3B3838" w:themeColor="background2" w:themeShade="40"/>
                <w:sz w:val="20"/>
                <w:szCs w:val="20"/>
                <w:vertAlign w:val="baseline"/>
                <w:lang w:val="en-US" w:eastAsia="zh-CN"/>
              </w:rPr>
            </w:pPr>
            <w:r>
              <w:rPr>
                <w:rFonts w:hint="eastAsia" w:ascii="Times New Roman" w:hAnsi="Times New Roman" w:eastAsia="宋体"/>
                <w:color w:val="3B3838" w:themeColor="background2" w:themeShade="40"/>
                <w:sz w:val="20"/>
                <w:szCs w:val="20"/>
                <w:vertAlign w:val="baseline"/>
                <w:lang w:val="en-US" w:eastAsia="zh-CN"/>
              </w:rPr>
              <w:t>100%</w:t>
            </w:r>
          </w:p>
        </w:tc>
        <w:tc>
          <w:tcPr>
            <w:tcW w:w="1112" w:type="dxa"/>
            <w:tcBorders>
              <w:tl2br w:val="nil"/>
              <w:tr2bl w:val="nil"/>
            </w:tcBorders>
            <w:shd w:val="clear" w:color="auto" w:fill="D7D7D7" w:themeFill="background1" w:themeFillShade="D8"/>
            <w:vAlign w:val="center"/>
          </w:tcPr>
          <w:p w14:paraId="08B222A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10" w:type="dxa"/>
            <w:tcBorders>
              <w:tl2br w:val="nil"/>
              <w:tr2bl w:val="nil"/>
            </w:tcBorders>
            <w:shd w:val="clear" w:color="auto" w:fill="D7D7D7" w:themeFill="background1" w:themeFillShade="D8"/>
            <w:vAlign w:val="center"/>
          </w:tcPr>
          <w:p w14:paraId="09043C7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980" w:type="dxa"/>
            <w:tcBorders>
              <w:tl2br w:val="nil"/>
              <w:tr2bl w:val="nil"/>
            </w:tcBorders>
            <w:shd w:val="clear" w:color="auto" w:fill="D7D7D7" w:themeFill="background1" w:themeFillShade="D8"/>
            <w:vAlign w:val="center"/>
          </w:tcPr>
          <w:p w14:paraId="77B0610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c>
          <w:tcPr>
            <w:tcW w:w="1120" w:type="dxa"/>
            <w:tcBorders>
              <w:tl2br w:val="nil"/>
              <w:tr2bl w:val="nil"/>
            </w:tcBorders>
            <w:shd w:val="clear" w:color="auto" w:fill="D7D7D7" w:themeFill="background1" w:themeFillShade="D8"/>
            <w:vAlign w:val="center"/>
          </w:tcPr>
          <w:p w14:paraId="187BA24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宋体"/>
                <w:sz w:val="20"/>
                <w:szCs w:val="20"/>
                <w:vertAlign w:val="baseline"/>
              </w:rPr>
            </w:pPr>
          </w:p>
        </w:tc>
      </w:tr>
      <w:tr w14:paraId="6900A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249" w:type="dxa"/>
            <w:tcBorders>
              <w:tl2br w:val="nil"/>
              <w:tr2bl w:val="nil"/>
            </w:tcBorders>
            <w:vAlign w:val="center"/>
          </w:tcPr>
          <w:p w14:paraId="25C49CA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olor w:val="000000" w:themeColor="text1"/>
                <w:sz w:val="20"/>
                <w:szCs w:val="20"/>
                <w:vertAlign w:val="baseline"/>
                <w:lang w:val="en-US" w:eastAsia="zh-CN"/>
                <w14:textFill>
                  <w14:solidFill>
                    <w14:schemeClr w14:val="tx1"/>
                  </w14:solidFill>
                </w14:textFill>
              </w:rPr>
            </w:pPr>
            <w:r>
              <w:rPr>
                <w:rFonts w:hint="eastAsia" w:ascii="Times New Roman" w:hAnsi="Times New Roman" w:eastAsia="宋体"/>
                <w:color w:val="000000" w:themeColor="text1"/>
                <w:sz w:val="20"/>
                <w:szCs w:val="20"/>
                <w:vertAlign w:val="baseline"/>
                <w:lang w:val="en-US" w:eastAsia="zh-CN"/>
                <w14:textFill>
                  <w14:solidFill>
                    <w14:schemeClr w14:val="tx1"/>
                  </w14:solidFill>
                </w14:textFill>
              </w:rPr>
              <w:t>备注</w:t>
            </w:r>
          </w:p>
        </w:tc>
        <w:tc>
          <w:tcPr>
            <w:tcW w:w="1428" w:type="dxa"/>
            <w:tcBorders>
              <w:tl2br w:val="nil"/>
              <w:tr2bl w:val="nil"/>
            </w:tcBorders>
            <w:vAlign w:val="center"/>
          </w:tcPr>
          <w:p w14:paraId="007C61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sz w:val="20"/>
                <w:szCs w:val="20"/>
                <w:vertAlign w:val="baseline"/>
              </w:rPr>
            </w:pPr>
          </w:p>
        </w:tc>
        <w:tc>
          <w:tcPr>
            <w:tcW w:w="1112" w:type="dxa"/>
            <w:tcBorders>
              <w:tl2br w:val="nil"/>
              <w:tr2bl w:val="nil"/>
            </w:tcBorders>
            <w:vAlign w:val="center"/>
          </w:tcPr>
          <w:p w14:paraId="4C0F959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sz w:val="20"/>
                <w:szCs w:val="20"/>
                <w:vertAlign w:val="baseline"/>
              </w:rPr>
            </w:pPr>
          </w:p>
        </w:tc>
        <w:tc>
          <w:tcPr>
            <w:tcW w:w="1110" w:type="dxa"/>
            <w:tcBorders>
              <w:tl2br w:val="nil"/>
              <w:tr2bl w:val="nil"/>
            </w:tcBorders>
            <w:vAlign w:val="center"/>
          </w:tcPr>
          <w:p w14:paraId="5BBC849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sz w:val="20"/>
                <w:szCs w:val="20"/>
                <w:vertAlign w:val="baseline"/>
              </w:rPr>
            </w:pPr>
          </w:p>
        </w:tc>
        <w:tc>
          <w:tcPr>
            <w:tcW w:w="980" w:type="dxa"/>
            <w:tcBorders>
              <w:tl2br w:val="nil"/>
              <w:tr2bl w:val="nil"/>
            </w:tcBorders>
            <w:vAlign w:val="center"/>
          </w:tcPr>
          <w:p w14:paraId="3EFEE1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sz w:val="20"/>
                <w:szCs w:val="20"/>
                <w:vertAlign w:val="baseline"/>
              </w:rPr>
            </w:pPr>
          </w:p>
        </w:tc>
        <w:tc>
          <w:tcPr>
            <w:tcW w:w="1120" w:type="dxa"/>
            <w:tcBorders>
              <w:tl2br w:val="nil"/>
              <w:tr2bl w:val="nil"/>
            </w:tcBorders>
            <w:vAlign w:val="center"/>
          </w:tcPr>
          <w:p w14:paraId="711649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宋体"/>
                <w:sz w:val="20"/>
                <w:szCs w:val="20"/>
                <w:vertAlign w:val="baseline"/>
              </w:rPr>
            </w:pPr>
          </w:p>
        </w:tc>
      </w:tr>
    </w:tbl>
    <w:p w14:paraId="60F08F9C">
      <w:pPr>
        <w:widowControl/>
        <w:numPr>
          <w:ilvl w:val="0"/>
          <w:numId w:val="0"/>
        </w:numPr>
        <w:autoSpaceDE w:val="0"/>
        <w:autoSpaceDN w:val="0"/>
        <w:adjustRightInd w:val="0"/>
        <w:snapToGrid w:val="0"/>
        <w:spacing w:line="240" w:lineRule="exact"/>
        <w:ind w:left="0" w:leftChars="0" w:firstLine="360" w:firstLineChars="200"/>
        <w:jc w:val="left"/>
        <w:rPr>
          <w:rFonts w:hint="eastAsia" w:ascii="宋体" w:hAnsi="宋体" w:cstheme="minorBidi"/>
          <w:bCs w:val="0"/>
          <w:smallCaps w:val="0"/>
          <w:sz w:val="18"/>
          <w:szCs w:val="18"/>
          <w:highlight w:val="none"/>
          <w:lang w:val="en-US" w:eastAsia="zh-CN"/>
        </w:rPr>
      </w:pPr>
    </w:p>
    <w:p w14:paraId="520E8251">
      <w:pPr>
        <w:rPr>
          <w:rFonts w:hint="eastAsia" w:ascii="仿宋" w:hAnsi="仿宋" w:eastAsia="仿宋" w:cs="仿宋"/>
          <w:b w:val="0"/>
          <w:bCs/>
          <w:sz w:val="24"/>
          <w:szCs w:val="24"/>
          <w:highlight w:val="none"/>
        </w:rPr>
      </w:pPr>
    </w:p>
    <w:p w14:paraId="0C7A3A5F">
      <w:pP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br w:type="page"/>
      </w:r>
    </w:p>
    <w:p w14:paraId="6C552C7B">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outlineLvl w:val="0"/>
        <w:rPr>
          <w:rFonts w:hint="eastAsia" w:ascii="仿宋" w:hAnsi="仿宋" w:eastAsia="仿宋" w:cs="仿宋"/>
          <w:b w:val="0"/>
          <w:bCs/>
          <w:sz w:val="24"/>
          <w:szCs w:val="24"/>
          <w:highlight w:val="none"/>
          <w:lang w:val="en-US" w:eastAsia="zh-CN"/>
        </w:rPr>
      </w:pPr>
      <w:bookmarkStart w:id="267" w:name="_Toc28866"/>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：投入本项目服务</w:t>
      </w:r>
      <w:r>
        <w:rPr>
          <w:rFonts w:hint="eastAsia" w:ascii="仿宋" w:hAnsi="仿宋" w:eastAsia="仿宋" w:cs="仿宋"/>
          <w:b w:val="0"/>
          <w:bCs/>
          <w:sz w:val="24"/>
          <w:szCs w:val="24"/>
          <w:highlight w:val="none"/>
          <w:lang w:val="en-US" w:eastAsia="zh-CN"/>
        </w:rPr>
        <w:t>团队</w:t>
      </w:r>
      <w:r>
        <w:rPr>
          <w:rFonts w:hint="eastAsia" w:ascii="仿宋" w:hAnsi="仿宋" w:eastAsia="仿宋" w:cs="仿宋"/>
          <w:b w:val="0"/>
          <w:bCs/>
          <w:sz w:val="24"/>
          <w:szCs w:val="24"/>
          <w:highlight w:val="none"/>
        </w:rPr>
        <w:t>一览表</w:t>
      </w:r>
      <w:bookmarkEnd w:id="264"/>
      <w:bookmarkEnd w:id="265"/>
      <w:bookmarkEnd w:id="267"/>
    </w:p>
    <w:p w14:paraId="1C6F56F9">
      <w:pPr>
        <w:autoSpaceDE w:val="0"/>
        <w:autoSpaceDN w:val="0"/>
        <w:adjustRightInd w:val="0"/>
        <w:spacing w:line="288" w:lineRule="auto"/>
        <w:ind w:firstLine="420"/>
        <w:jc w:val="center"/>
        <w:rPr>
          <w:rFonts w:hint="eastAsia" w:ascii="方正小标宋简体" w:hAnsi="方正小标宋简体" w:eastAsia="方正小标宋简体" w:cs="方正小标宋简体"/>
          <w:bCs/>
          <w:kern w:val="0"/>
          <w:sz w:val="28"/>
          <w:szCs w:val="28"/>
          <w:highlight w:val="none"/>
        </w:rPr>
      </w:pPr>
    </w:p>
    <w:p w14:paraId="77401C01">
      <w:pPr>
        <w:autoSpaceDE w:val="0"/>
        <w:autoSpaceDN w:val="0"/>
        <w:adjustRightInd w:val="0"/>
        <w:spacing w:line="288" w:lineRule="auto"/>
        <w:ind w:firstLine="420"/>
        <w:jc w:val="center"/>
        <w:rPr>
          <w:rFonts w:hint="eastAsia" w:ascii="宋体" w:hAnsi="宋体" w:cs="宋体"/>
          <w:bCs/>
          <w:kern w:val="0"/>
          <w:sz w:val="20"/>
          <w:szCs w:val="20"/>
          <w:highlight w:val="none"/>
        </w:rPr>
      </w:pPr>
      <w:r>
        <w:rPr>
          <w:rFonts w:hint="eastAsia" w:ascii="方正小标宋简体" w:hAnsi="方正小标宋简体" w:eastAsia="方正小标宋简体" w:cs="方正小标宋简体"/>
          <w:bCs/>
          <w:kern w:val="0"/>
          <w:sz w:val="28"/>
          <w:szCs w:val="28"/>
          <w:highlight w:val="none"/>
        </w:rPr>
        <w:t>投入本项目服务</w:t>
      </w:r>
      <w:r>
        <w:rPr>
          <w:rFonts w:hint="eastAsia" w:ascii="方正小标宋简体" w:hAnsi="方正小标宋简体" w:eastAsia="方正小标宋简体" w:cs="方正小标宋简体"/>
          <w:bCs/>
          <w:kern w:val="0"/>
          <w:sz w:val="28"/>
          <w:szCs w:val="28"/>
          <w:highlight w:val="none"/>
          <w:lang w:val="en-US" w:eastAsia="zh-CN"/>
        </w:rPr>
        <w:t>团队</w:t>
      </w:r>
      <w:r>
        <w:rPr>
          <w:rFonts w:hint="eastAsia" w:ascii="方正小标宋简体" w:hAnsi="方正小标宋简体" w:eastAsia="方正小标宋简体" w:cs="方正小标宋简体"/>
          <w:bCs/>
          <w:kern w:val="0"/>
          <w:sz w:val="28"/>
          <w:szCs w:val="28"/>
          <w:highlight w:val="none"/>
        </w:rPr>
        <w:t>一览表</w:t>
      </w:r>
    </w:p>
    <w:tbl>
      <w:tblPr>
        <w:tblStyle w:val="17"/>
        <w:tblW w:w="86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51"/>
        <w:gridCol w:w="1437"/>
        <w:gridCol w:w="1135"/>
        <w:gridCol w:w="1335"/>
        <w:gridCol w:w="1660"/>
        <w:gridCol w:w="1078"/>
      </w:tblGrid>
      <w:tr w14:paraId="3818D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92" w:type="dxa"/>
            <w:tcBorders>
              <w:tl2br w:val="nil"/>
              <w:tr2bl w:val="nil"/>
            </w:tcBorders>
            <w:vAlign w:val="center"/>
          </w:tcPr>
          <w:p w14:paraId="717F466D">
            <w:pPr>
              <w:autoSpaceDE w:val="0"/>
              <w:autoSpaceDN w:val="0"/>
              <w:adjustRightInd w:val="0"/>
              <w:snapToGrid w:val="0"/>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序号</w:t>
            </w:r>
          </w:p>
        </w:tc>
        <w:tc>
          <w:tcPr>
            <w:tcW w:w="1351" w:type="dxa"/>
            <w:tcBorders>
              <w:tl2br w:val="nil"/>
              <w:tr2bl w:val="nil"/>
            </w:tcBorders>
            <w:vAlign w:val="center"/>
          </w:tcPr>
          <w:p w14:paraId="3ABDAB60">
            <w:pPr>
              <w:autoSpaceDE w:val="0"/>
              <w:autoSpaceDN w:val="0"/>
              <w:adjustRightInd w:val="0"/>
              <w:snapToGrid w:val="0"/>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姓名</w:t>
            </w:r>
          </w:p>
        </w:tc>
        <w:tc>
          <w:tcPr>
            <w:tcW w:w="1437" w:type="dxa"/>
            <w:tcBorders>
              <w:tl2br w:val="nil"/>
              <w:tr2bl w:val="nil"/>
            </w:tcBorders>
            <w:vAlign w:val="center"/>
          </w:tcPr>
          <w:p w14:paraId="75E97E64">
            <w:pPr>
              <w:autoSpaceDE w:val="0"/>
              <w:autoSpaceDN w:val="0"/>
              <w:adjustRightInd w:val="0"/>
              <w:snapToGrid w:val="0"/>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本项目职务</w:t>
            </w:r>
          </w:p>
        </w:tc>
        <w:tc>
          <w:tcPr>
            <w:tcW w:w="1135" w:type="dxa"/>
            <w:tcBorders>
              <w:tl2br w:val="nil"/>
              <w:tr2bl w:val="nil"/>
            </w:tcBorders>
            <w:vAlign w:val="center"/>
          </w:tcPr>
          <w:p w14:paraId="19A2B1F9">
            <w:pPr>
              <w:autoSpaceDE w:val="0"/>
              <w:autoSpaceDN w:val="0"/>
              <w:adjustRightInd w:val="0"/>
              <w:snapToGrid w:val="0"/>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职责分工</w:t>
            </w:r>
          </w:p>
        </w:tc>
        <w:tc>
          <w:tcPr>
            <w:tcW w:w="1335" w:type="dxa"/>
            <w:tcBorders>
              <w:tl2br w:val="nil"/>
              <w:tr2bl w:val="nil"/>
            </w:tcBorders>
            <w:vAlign w:val="center"/>
          </w:tcPr>
          <w:p w14:paraId="1F578F9C">
            <w:pPr>
              <w:autoSpaceDE w:val="0"/>
              <w:autoSpaceDN w:val="0"/>
              <w:adjustRightInd w:val="0"/>
              <w:snapToGrid w:val="0"/>
              <w:jc w:val="center"/>
              <w:rPr>
                <w:rFonts w:hint="default" w:ascii="宋体" w:hAnsi="宋体" w:eastAsia="宋体" w:cs="Times New Roman"/>
                <w:b/>
                <w:szCs w:val="21"/>
                <w:highlight w:val="none"/>
                <w:lang w:val="en-US" w:eastAsia="zh-CN"/>
              </w:rPr>
            </w:pPr>
            <w:r>
              <w:rPr>
                <w:rFonts w:hint="eastAsia" w:ascii="宋体" w:hAnsi="宋体" w:eastAsia="宋体" w:cs="Times New Roman"/>
                <w:b/>
                <w:szCs w:val="21"/>
                <w:highlight w:val="none"/>
                <w:lang w:val="en-US" w:eastAsia="zh-CN"/>
              </w:rPr>
              <w:t>招聘经验</w:t>
            </w:r>
          </w:p>
        </w:tc>
        <w:tc>
          <w:tcPr>
            <w:tcW w:w="1660" w:type="dxa"/>
            <w:tcBorders>
              <w:tl2br w:val="nil"/>
              <w:tr2bl w:val="nil"/>
            </w:tcBorders>
            <w:vAlign w:val="center"/>
          </w:tcPr>
          <w:p w14:paraId="119269D0">
            <w:pPr>
              <w:autoSpaceDE w:val="0"/>
              <w:autoSpaceDN w:val="0"/>
              <w:adjustRightInd w:val="0"/>
              <w:snapToGrid w:val="0"/>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证书类别</w:t>
            </w:r>
          </w:p>
          <w:p w14:paraId="1C26278A">
            <w:pPr>
              <w:autoSpaceDE w:val="0"/>
              <w:autoSpaceDN w:val="0"/>
              <w:adjustRightInd w:val="0"/>
              <w:snapToGrid w:val="0"/>
              <w:jc w:val="center"/>
              <w:rPr>
                <w:rFonts w:hint="default" w:ascii="宋体" w:hAnsi="宋体" w:eastAsia="宋体" w:cs="Times New Roman"/>
                <w:b/>
                <w:szCs w:val="21"/>
                <w:highlight w:val="none"/>
                <w:lang w:val="en-US" w:eastAsia="zh-CN"/>
              </w:rPr>
            </w:pP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名称）</w:t>
            </w:r>
          </w:p>
        </w:tc>
        <w:tc>
          <w:tcPr>
            <w:tcW w:w="1078" w:type="dxa"/>
            <w:tcBorders>
              <w:tl2br w:val="nil"/>
              <w:tr2bl w:val="nil"/>
            </w:tcBorders>
            <w:vAlign w:val="center"/>
          </w:tcPr>
          <w:p w14:paraId="38F20790">
            <w:pPr>
              <w:autoSpaceDE w:val="0"/>
              <w:autoSpaceDN w:val="0"/>
              <w:adjustRightInd w:val="0"/>
              <w:snapToGrid w:val="0"/>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备注</w:t>
            </w:r>
          </w:p>
        </w:tc>
      </w:tr>
      <w:tr w14:paraId="40E64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14:paraId="2D388B97">
            <w:pPr>
              <w:autoSpaceDE w:val="0"/>
              <w:autoSpaceDN w:val="0"/>
              <w:adjustRightInd w:val="0"/>
              <w:spacing w:line="288" w:lineRule="auto"/>
              <w:jc w:val="center"/>
              <w:rPr>
                <w:rFonts w:hint="eastAsia" w:ascii="宋体" w:hAnsi="宋体" w:cs="宋体"/>
                <w:bCs/>
                <w:kern w:val="0"/>
                <w:szCs w:val="21"/>
                <w:highlight w:val="none"/>
              </w:rPr>
            </w:pPr>
            <w:r>
              <w:rPr>
                <w:rFonts w:hint="eastAsia" w:ascii="宋体" w:hAnsi="宋体" w:cs="宋体"/>
                <w:bCs/>
                <w:kern w:val="0"/>
                <w:szCs w:val="21"/>
                <w:highlight w:val="none"/>
              </w:rPr>
              <w:t>1</w:t>
            </w:r>
          </w:p>
        </w:tc>
        <w:tc>
          <w:tcPr>
            <w:tcW w:w="1351" w:type="dxa"/>
            <w:tcBorders>
              <w:tl2br w:val="nil"/>
              <w:tr2bl w:val="nil"/>
            </w:tcBorders>
            <w:vAlign w:val="center"/>
          </w:tcPr>
          <w:p w14:paraId="6D4FD953">
            <w:pPr>
              <w:autoSpaceDE w:val="0"/>
              <w:autoSpaceDN w:val="0"/>
              <w:adjustRightInd w:val="0"/>
              <w:spacing w:line="288" w:lineRule="auto"/>
              <w:jc w:val="center"/>
              <w:rPr>
                <w:rFonts w:hint="eastAsia" w:ascii="宋体" w:hAnsi="宋体" w:cs="宋体"/>
                <w:bCs/>
                <w:kern w:val="0"/>
                <w:szCs w:val="21"/>
                <w:highlight w:val="none"/>
              </w:rPr>
            </w:pPr>
          </w:p>
        </w:tc>
        <w:tc>
          <w:tcPr>
            <w:tcW w:w="1437" w:type="dxa"/>
            <w:tcBorders>
              <w:tl2br w:val="nil"/>
              <w:tr2bl w:val="nil"/>
            </w:tcBorders>
            <w:vAlign w:val="center"/>
          </w:tcPr>
          <w:p w14:paraId="08C4943A">
            <w:pPr>
              <w:autoSpaceDE w:val="0"/>
              <w:autoSpaceDN w:val="0"/>
              <w:adjustRightInd w:val="0"/>
              <w:spacing w:line="288" w:lineRule="auto"/>
              <w:jc w:val="center"/>
              <w:rPr>
                <w:rFonts w:hint="eastAsia" w:ascii="宋体" w:hAnsi="宋体" w:cs="宋体"/>
                <w:bCs/>
                <w:kern w:val="0"/>
                <w:szCs w:val="21"/>
                <w:highlight w:val="none"/>
              </w:rPr>
            </w:pPr>
          </w:p>
        </w:tc>
        <w:tc>
          <w:tcPr>
            <w:tcW w:w="1135" w:type="dxa"/>
            <w:tcBorders>
              <w:tl2br w:val="nil"/>
              <w:tr2bl w:val="nil"/>
            </w:tcBorders>
            <w:vAlign w:val="center"/>
          </w:tcPr>
          <w:p w14:paraId="78772B64">
            <w:pPr>
              <w:autoSpaceDE w:val="0"/>
              <w:autoSpaceDN w:val="0"/>
              <w:adjustRightInd w:val="0"/>
              <w:spacing w:line="288" w:lineRule="auto"/>
              <w:jc w:val="center"/>
              <w:rPr>
                <w:rFonts w:hint="eastAsia" w:ascii="宋体" w:hAnsi="宋体" w:cs="宋体"/>
                <w:bCs/>
                <w:kern w:val="0"/>
                <w:szCs w:val="21"/>
                <w:highlight w:val="none"/>
              </w:rPr>
            </w:pPr>
          </w:p>
        </w:tc>
        <w:tc>
          <w:tcPr>
            <w:tcW w:w="1335" w:type="dxa"/>
            <w:tcBorders>
              <w:tl2br w:val="nil"/>
              <w:tr2bl w:val="nil"/>
            </w:tcBorders>
            <w:vAlign w:val="center"/>
          </w:tcPr>
          <w:p w14:paraId="0EC88F9F">
            <w:pPr>
              <w:autoSpaceDE w:val="0"/>
              <w:autoSpaceDN w:val="0"/>
              <w:adjustRightInd w:val="0"/>
              <w:spacing w:line="288" w:lineRule="auto"/>
              <w:jc w:val="center"/>
              <w:rPr>
                <w:rFonts w:hint="eastAsia" w:ascii="宋体" w:hAnsi="宋体" w:cs="宋体"/>
                <w:bCs/>
                <w:kern w:val="0"/>
                <w:szCs w:val="21"/>
                <w:highlight w:val="none"/>
              </w:rPr>
            </w:pPr>
          </w:p>
        </w:tc>
        <w:tc>
          <w:tcPr>
            <w:tcW w:w="1660" w:type="dxa"/>
            <w:tcBorders>
              <w:tl2br w:val="nil"/>
              <w:tr2bl w:val="nil"/>
            </w:tcBorders>
            <w:vAlign w:val="center"/>
          </w:tcPr>
          <w:p w14:paraId="49A360EB">
            <w:pPr>
              <w:autoSpaceDE w:val="0"/>
              <w:autoSpaceDN w:val="0"/>
              <w:adjustRightInd w:val="0"/>
              <w:spacing w:line="288" w:lineRule="auto"/>
              <w:jc w:val="center"/>
              <w:rPr>
                <w:rFonts w:hint="eastAsia" w:ascii="宋体" w:hAnsi="宋体" w:cs="宋体"/>
                <w:bCs/>
                <w:kern w:val="0"/>
                <w:szCs w:val="21"/>
                <w:highlight w:val="none"/>
              </w:rPr>
            </w:pPr>
          </w:p>
        </w:tc>
        <w:tc>
          <w:tcPr>
            <w:tcW w:w="1078" w:type="dxa"/>
            <w:tcBorders>
              <w:tl2br w:val="nil"/>
              <w:tr2bl w:val="nil"/>
            </w:tcBorders>
            <w:vAlign w:val="center"/>
          </w:tcPr>
          <w:p w14:paraId="3F3A76A4">
            <w:pPr>
              <w:autoSpaceDE w:val="0"/>
              <w:autoSpaceDN w:val="0"/>
              <w:adjustRightInd w:val="0"/>
              <w:spacing w:line="288" w:lineRule="auto"/>
              <w:jc w:val="center"/>
              <w:rPr>
                <w:rFonts w:hint="eastAsia" w:ascii="宋体" w:hAnsi="宋体" w:cs="宋体"/>
                <w:bCs/>
                <w:kern w:val="0"/>
                <w:szCs w:val="21"/>
                <w:highlight w:val="none"/>
              </w:rPr>
            </w:pPr>
          </w:p>
        </w:tc>
      </w:tr>
      <w:tr w14:paraId="233EA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14:paraId="5E4CB504">
            <w:pPr>
              <w:autoSpaceDE w:val="0"/>
              <w:autoSpaceDN w:val="0"/>
              <w:adjustRightInd w:val="0"/>
              <w:spacing w:line="288" w:lineRule="auto"/>
              <w:jc w:val="center"/>
              <w:rPr>
                <w:rFonts w:hint="eastAsia" w:ascii="宋体" w:hAnsi="宋体" w:cs="宋体"/>
                <w:bCs/>
                <w:kern w:val="0"/>
                <w:szCs w:val="21"/>
                <w:highlight w:val="none"/>
              </w:rPr>
            </w:pPr>
            <w:r>
              <w:rPr>
                <w:rFonts w:hint="eastAsia" w:ascii="宋体" w:hAnsi="宋体" w:cs="宋体"/>
                <w:bCs/>
                <w:kern w:val="0"/>
                <w:szCs w:val="21"/>
                <w:highlight w:val="none"/>
              </w:rPr>
              <w:t>2</w:t>
            </w:r>
          </w:p>
        </w:tc>
        <w:tc>
          <w:tcPr>
            <w:tcW w:w="1351" w:type="dxa"/>
            <w:tcBorders>
              <w:tl2br w:val="nil"/>
              <w:tr2bl w:val="nil"/>
            </w:tcBorders>
            <w:vAlign w:val="center"/>
          </w:tcPr>
          <w:p w14:paraId="3FC93D0F">
            <w:pPr>
              <w:autoSpaceDE w:val="0"/>
              <w:autoSpaceDN w:val="0"/>
              <w:adjustRightInd w:val="0"/>
              <w:spacing w:line="288" w:lineRule="auto"/>
              <w:jc w:val="center"/>
              <w:rPr>
                <w:rFonts w:hint="eastAsia" w:ascii="宋体" w:hAnsi="宋体" w:cs="宋体"/>
                <w:bCs/>
                <w:kern w:val="0"/>
                <w:szCs w:val="21"/>
                <w:highlight w:val="none"/>
              </w:rPr>
            </w:pPr>
          </w:p>
        </w:tc>
        <w:tc>
          <w:tcPr>
            <w:tcW w:w="1437" w:type="dxa"/>
            <w:tcBorders>
              <w:tl2br w:val="nil"/>
              <w:tr2bl w:val="nil"/>
            </w:tcBorders>
            <w:vAlign w:val="center"/>
          </w:tcPr>
          <w:p w14:paraId="65A780C9">
            <w:pPr>
              <w:autoSpaceDE w:val="0"/>
              <w:autoSpaceDN w:val="0"/>
              <w:adjustRightInd w:val="0"/>
              <w:spacing w:line="288" w:lineRule="auto"/>
              <w:jc w:val="center"/>
              <w:rPr>
                <w:rFonts w:hint="eastAsia" w:ascii="宋体" w:hAnsi="宋体" w:cs="宋体"/>
                <w:bCs/>
                <w:kern w:val="0"/>
                <w:szCs w:val="21"/>
                <w:highlight w:val="none"/>
              </w:rPr>
            </w:pPr>
          </w:p>
        </w:tc>
        <w:tc>
          <w:tcPr>
            <w:tcW w:w="1135" w:type="dxa"/>
            <w:tcBorders>
              <w:tl2br w:val="nil"/>
              <w:tr2bl w:val="nil"/>
            </w:tcBorders>
            <w:vAlign w:val="center"/>
          </w:tcPr>
          <w:p w14:paraId="66049B19">
            <w:pPr>
              <w:autoSpaceDE w:val="0"/>
              <w:autoSpaceDN w:val="0"/>
              <w:adjustRightInd w:val="0"/>
              <w:spacing w:line="288" w:lineRule="auto"/>
              <w:jc w:val="center"/>
              <w:rPr>
                <w:rFonts w:hint="eastAsia" w:ascii="宋体" w:hAnsi="宋体" w:cs="宋体"/>
                <w:bCs/>
                <w:kern w:val="0"/>
                <w:szCs w:val="21"/>
                <w:highlight w:val="none"/>
              </w:rPr>
            </w:pPr>
          </w:p>
        </w:tc>
        <w:tc>
          <w:tcPr>
            <w:tcW w:w="1335" w:type="dxa"/>
            <w:tcBorders>
              <w:tl2br w:val="nil"/>
              <w:tr2bl w:val="nil"/>
            </w:tcBorders>
            <w:vAlign w:val="center"/>
          </w:tcPr>
          <w:p w14:paraId="59BF067E">
            <w:pPr>
              <w:autoSpaceDE w:val="0"/>
              <w:autoSpaceDN w:val="0"/>
              <w:adjustRightInd w:val="0"/>
              <w:spacing w:line="288" w:lineRule="auto"/>
              <w:jc w:val="center"/>
              <w:rPr>
                <w:rFonts w:hint="eastAsia" w:ascii="宋体" w:hAnsi="宋体" w:cs="宋体"/>
                <w:bCs/>
                <w:kern w:val="0"/>
                <w:szCs w:val="21"/>
                <w:highlight w:val="none"/>
              </w:rPr>
            </w:pPr>
          </w:p>
        </w:tc>
        <w:tc>
          <w:tcPr>
            <w:tcW w:w="1660" w:type="dxa"/>
            <w:tcBorders>
              <w:tl2br w:val="nil"/>
              <w:tr2bl w:val="nil"/>
            </w:tcBorders>
            <w:vAlign w:val="center"/>
          </w:tcPr>
          <w:p w14:paraId="07E10C48">
            <w:pPr>
              <w:autoSpaceDE w:val="0"/>
              <w:autoSpaceDN w:val="0"/>
              <w:adjustRightInd w:val="0"/>
              <w:spacing w:line="288" w:lineRule="auto"/>
              <w:jc w:val="center"/>
              <w:rPr>
                <w:rFonts w:hint="eastAsia" w:ascii="宋体" w:hAnsi="宋体" w:cs="宋体"/>
                <w:bCs/>
                <w:kern w:val="0"/>
                <w:szCs w:val="21"/>
                <w:highlight w:val="none"/>
              </w:rPr>
            </w:pPr>
          </w:p>
        </w:tc>
        <w:tc>
          <w:tcPr>
            <w:tcW w:w="1078" w:type="dxa"/>
            <w:tcBorders>
              <w:tl2br w:val="nil"/>
              <w:tr2bl w:val="nil"/>
            </w:tcBorders>
            <w:vAlign w:val="center"/>
          </w:tcPr>
          <w:p w14:paraId="1068E5A5">
            <w:pPr>
              <w:autoSpaceDE w:val="0"/>
              <w:autoSpaceDN w:val="0"/>
              <w:adjustRightInd w:val="0"/>
              <w:spacing w:line="288" w:lineRule="auto"/>
              <w:jc w:val="center"/>
              <w:rPr>
                <w:rFonts w:hint="eastAsia" w:ascii="宋体" w:hAnsi="宋体" w:cs="宋体"/>
                <w:bCs/>
                <w:kern w:val="0"/>
                <w:szCs w:val="21"/>
                <w:highlight w:val="none"/>
              </w:rPr>
            </w:pPr>
          </w:p>
        </w:tc>
      </w:tr>
      <w:tr w14:paraId="03770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14:paraId="353BF5F0">
            <w:pPr>
              <w:autoSpaceDE w:val="0"/>
              <w:autoSpaceDN w:val="0"/>
              <w:adjustRightInd w:val="0"/>
              <w:spacing w:line="288" w:lineRule="auto"/>
              <w:jc w:val="center"/>
              <w:rPr>
                <w:rFonts w:hint="eastAsia" w:ascii="宋体" w:hAnsi="宋体" w:cs="宋体"/>
                <w:bCs/>
                <w:kern w:val="0"/>
                <w:szCs w:val="21"/>
                <w:highlight w:val="none"/>
              </w:rPr>
            </w:pPr>
            <w:r>
              <w:rPr>
                <w:rFonts w:hint="eastAsia" w:ascii="宋体" w:hAnsi="宋体" w:cs="宋体"/>
                <w:bCs/>
                <w:kern w:val="0"/>
                <w:szCs w:val="21"/>
                <w:highlight w:val="none"/>
                <w:lang w:val="en-US" w:eastAsia="zh-CN"/>
              </w:rPr>
              <w:t>3</w:t>
            </w:r>
          </w:p>
        </w:tc>
        <w:tc>
          <w:tcPr>
            <w:tcW w:w="1351" w:type="dxa"/>
            <w:tcBorders>
              <w:tl2br w:val="nil"/>
              <w:tr2bl w:val="nil"/>
            </w:tcBorders>
            <w:vAlign w:val="center"/>
          </w:tcPr>
          <w:p w14:paraId="5856D8EB">
            <w:pPr>
              <w:autoSpaceDE w:val="0"/>
              <w:autoSpaceDN w:val="0"/>
              <w:adjustRightInd w:val="0"/>
              <w:spacing w:line="288" w:lineRule="auto"/>
              <w:jc w:val="center"/>
              <w:rPr>
                <w:rFonts w:hint="eastAsia" w:ascii="宋体" w:hAnsi="宋体" w:cs="宋体"/>
                <w:bCs/>
                <w:kern w:val="0"/>
                <w:szCs w:val="21"/>
                <w:highlight w:val="none"/>
              </w:rPr>
            </w:pPr>
          </w:p>
        </w:tc>
        <w:tc>
          <w:tcPr>
            <w:tcW w:w="1437" w:type="dxa"/>
            <w:tcBorders>
              <w:tl2br w:val="nil"/>
              <w:tr2bl w:val="nil"/>
            </w:tcBorders>
            <w:vAlign w:val="center"/>
          </w:tcPr>
          <w:p w14:paraId="0326A065">
            <w:pPr>
              <w:autoSpaceDE w:val="0"/>
              <w:autoSpaceDN w:val="0"/>
              <w:adjustRightInd w:val="0"/>
              <w:spacing w:line="288" w:lineRule="auto"/>
              <w:jc w:val="center"/>
              <w:rPr>
                <w:rFonts w:hint="eastAsia" w:ascii="宋体" w:hAnsi="宋体" w:cs="宋体"/>
                <w:bCs/>
                <w:kern w:val="0"/>
                <w:szCs w:val="21"/>
                <w:highlight w:val="none"/>
              </w:rPr>
            </w:pPr>
          </w:p>
        </w:tc>
        <w:tc>
          <w:tcPr>
            <w:tcW w:w="1135" w:type="dxa"/>
            <w:tcBorders>
              <w:tl2br w:val="nil"/>
              <w:tr2bl w:val="nil"/>
            </w:tcBorders>
            <w:vAlign w:val="center"/>
          </w:tcPr>
          <w:p w14:paraId="7BE3FD5B">
            <w:pPr>
              <w:autoSpaceDE w:val="0"/>
              <w:autoSpaceDN w:val="0"/>
              <w:adjustRightInd w:val="0"/>
              <w:spacing w:line="288" w:lineRule="auto"/>
              <w:jc w:val="center"/>
              <w:rPr>
                <w:rFonts w:hint="eastAsia" w:ascii="宋体" w:hAnsi="宋体" w:cs="宋体"/>
                <w:bCs/>
                <w:kern w:val="0"/>
                <w:szCs w:val="21"/>
                <w:highlight w:val="none"/>
              </w:rPr>
            </w:pPr>
          </w:p>
        </w:tc>
        <w:tc>
          <w:tcPr>
            <w:tcW w:w="1335" w:type="dxa"/>
            <w:tcBorders>
              <w:tl2br w:val="nil"/>
              <w:tr2bl w:val="nil"/>
            </w:tcBorders>
            <w:vAlign w:val="center"/>
          </w:tcPr>
          <w:p w14:paraId="747B94E1">
            <w:pPr>
              <w:autoSpaceDE w:val="0"/>
              <w:autoSpaceDN w:val="0"/>
              <w:adjustRightInd w:val="0"/>
              <w:spacing w:line="288" w:lineRule="auto"/>
              <w:jc w:val="center"/>
              <w:rPr>
                <w:rFonts w:hint="eastAsia" w:ascii="宋体" w:hAnsi="宋体" w:cs="宋体"/>
                <w:bCs/>
                <w:kern w:val="0"/>
                <w:szCs w:val="21"/>
                <w:highlight w:val="none"/>
              </w:rPr>
            </w:pPr>
          </w:p>
        </w:tc>
        <w:tc>
          <w:tcPr>
            <w:tcW w:w="1660" w:type="dxa"/>
            <w:tcBorders>
              <w:tl2br w:val="nil"/>
              <w:tr2bl w:val="nil"/>
            </w:tcBorders>
            <w:vAlign w:val="center"/>
          </w:tcPr>
          <w:p w14:paraId="4D327B67">
            <w:pPr>
              <w:autoSpaceDE w:val="0"/>
              <w:autoSpaceDN w:val="0"/>
              <w:adjustRightInd w:val="0"/>
              <w:spacing w:line="288" w:lineRule="auto"/>
              <w:jc w:val="center"/>
              <w:rPr>
                <w:rFonts w:hint="eastAsia" w:ascii="宋体" w:hAnsi="宋体" w:cs="宋体"/>
                <w:bCs/>
                <w:kern w:val="0"/>
                <w:szCs w:val="21"/>
                <w:highlight w:val="none"/>
              </w:rPr>
            </w:pPr>
          </w:p>
        </w:tc>
        <w:tc>
          <w:tcPr>
            <w:tcW w:w="1078" w:type="dxa"/>
            <w:tcBorders>
              <w:tl2br w:val="nil"/>
              <w:tr2bl w:val="nil"/>
            </w:tcBorders>
            <w:vAlign w:val="center"/>
          </w:tcPr>
          <w:p w14:paraId="440B6038">
            <w:pPr>
              <w:autoSpaceDE w:val="0"/>
              <w:autoSpaceDN w:val="0"/>
              <w:adjustRightInd w:val="0"/>
              <w:spacing w:line="288" w:lineRule="auto"/>
              <w:jc w:val="center"/>
              <w:rPr>
                <w:rFonts w:hint="eastAsia" w:ascii="宋体" w:hAnsi="宋体" w:cs="宋体"/>
                <w:bCs/>
                <w:kern w:val="0"/>
                <w:szCs w:val="21"/>
                <w:highlight w:val="none"/>
              </w:rPr>
            </w:pPr>
          </w:p>
        </w:tc>
      </w:tr>
      <w:tr w14:paraId="74027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14:paraId="09669E6D">
            <w:pPr>
              <w:autoSpaceDE w:val="0"/>
              <w:autoSpaceDN w:val="0"/>
              <w:adjustRightInd w:val="0"/>
              <w:spacing w:line="288" w:lineRule="auto"/>
              <w:jc w:val="center"/>
              <w:rPr>
                <w:rFonts w:hint="eastAsia" w:ascii="宋体" w:hAnsi="宋体" w:cs="宋体"/>
                <w:bCs/>
                <w:kern w:val="0"/>
                <w:szCs w:val="21"/>
                <w:highlight w:val="none"/>
              </w:rPr>
            </w:pPr>
            <w:r>
              <w:rPr>
                <w:rFonts w:hint="eastAsia" w:ascii="宋体" w:hAnsi="宋体" w:cs="宋体"/>
                <w:bCs/>
                <w:kern w:val="0"/>
                <w:szCs w:val="21"/>
                <w:highlight w:val="none"/>
              </w:rPr>
              <w:t>...</w:t>
            </w:r>
          </w:p>
        </w:tc>
        <w:tc>
          <w:tcPr>
            <w:tcW w:w="1351" w:type="dxa"/>
            <w:tcBorders>
              <w:tl2br w:val="nil"/>
              <w:tr2bl w:val="nil"/>
            </w:tcBorders>
            <w:vAlign w:val="center"/>
          </w:tcPr>
          <w:p w14:paraId="40D86E2D">
            <w:pPr>
              <w:autoSpaceDE w:val="0"/>
              <w:autoSpaceDN w:val="0"/>
              <w:adjustRightInd w:val="0"/>
              <w:spacing w:line="288" w:lineRule="auto"/>
              <w:jc w:val="center"/>
              <w:rPr>
                <w:rFonts w:hint="eastAsia" w:ascii="宋体" w:hAnsi="宋体" w:cs="宋体"/>
                <w:bCs/>
                <w:kern w:val="0"/>
                <w:szCs w:val="21"/>
                <w:highlight w:val="none"/>
              </w:rPr>
            </w:pPr>
          </w:p>
        </w:tc>
        <w:tc>
          <w:tcPr>
            <w:tcW w:w="1437" w:type="dxa"/>
            <w:tcBorders>
              <w:tl2br w:val="nil"/>
              <w:tr2bl w:val="nil"/>
            </w:tcBorders>
            <w:vAlign w:val="center"/>
          </w:tcPr>
          <w:p w14:paraId="7A437C89">
            <w:pPr>
              <w:autoSpaceDE w:val="0"/>
              <w:autoSpaceDN w:val="0"/>
              <w:adjustRightInd w:val="0"/>
              <w:spacing w:line="288" w:lineRule="auto"/>
              <w:jc w:val="center"/>
              <w:rPr>
                <w:rFonts w:hint="eastAsia" w:ascii="宋体" w:hAnsi="宋体" w:cs="宋体"/>
                <w:bCs/>
                <w:kern w:val="0"/>
                <w:szCs w:val="21"/>
                <w:highlight w:val="none"/>
              </w:rPr>
            </w:pPr>
          </w:p>
        </w:tc>
        <w:tc>
          <w:tcPr>
            <w:tcW w:w="1135" w:type="dxa"/>
            <w:tcBorders>
              <w:tl2br w:val="nil"/>
              <w:tr2bl w:val="nil"/>
            </w:tcBorders>
            <w:vAlign w:val="center"/>
          </w:tcPr>
          <w:p w14:paraId="0A0D89C9">
            <w:pPr>
              <w:autoSpaceDE w:val="0"/>
              <w:autoSpaceDN w:val="0"/>
              <w:adjustRightInd w:val="0"/>
              <w:spacing w:line="288" w:lineRule="auto"/>
              <w:jc w:val="center"/>
              <w:rPr>
                <w:rFonts w:hint="eastAsia" w:ascii="宋体" w:hAnsi="宋体" w:cs="宋体"/>
                <w:bCs/>
                <w:kern w:val="0"/>
                <w:szCs w:val="21"/>
                <w:highlight w:val="none"/>
              </w:rPr>
            </w:pPr>
          </w:p>
        </w:tc>
        <w:tc>
          <w:tcPr>
            <w:tcW w:w="1335" w:type="dxa"/>
            <w:tcBorders>
              <w:tl2br w:val="nil"/>
              <w:tr2bl w:val="nil"/>
            </w:tcBorders>
            <w:vAlign w:val="center"/>
          </w:tcPr>
          <w:p w14:paraId="446B9ACB">
            <w:pPr>
              <w:autoSpaceDE w:val="0"/>
              <w:autoSpaceDN w:val="0"/>
              <w:adjustRightInd w:val="0"/>
              <w:spacing w:line="288" w:lineRule="auto"/>
              <w:jc w:val="center"/>
              <w:rPr>
                <w:rFonts w:hint="eastAsia" w:ascii="宋体" w:hAnsi="宋体" w:cs="宋体"/>
                <w:bCs/>
                <w:kern w:val="0"/>
                <w:szCs w:val="21"/>
                <w:highlight w:val="none"/>
              </w:rPr>
            </w:pPr>
          </w:p>
        </w:tc>
        <w:tc>
          <w:tcPr>
            <w:tcW w:w="1660" w:type="dxa"/>
            <w:tcBorders>
              <w:tl2br w:val="nil"/>
              <w:tr2bl w:val="nil"/>
            </w:tcBorders>
            <w:vAlign w:val="center"/>
          </w:tcPr>
          <w:p w14:paraId="0EE4C096">
            <w:pPr>
              <w:autoSpaceDE w:val="0"/>
              <w:autoSpaceDN w:val="0"/>
              <w:adjustRightInd w:val="0"/>
              <w:spacing w:line="288" w:lineRule="auto"/>
              <w:jc w:val="center"/>
              <w:rPr>
                <w:rFonts w:hint="eastAsia" w:ascii="宋体" w:hAnsi="宋体" w:cs="宋体"/>
                <w:bCs/>
                <w:kern w:val="0"/>
                <w:szCs w:val="21"/>
                <w:highlight w:val="none"/>
              </w:rPr>
            </w:pPr>
          </w:p>
        </w:tc>
        <w:tc>
          <w:tcPr>
            <w:tcW w:w="1078" w:type="dxa"/>
            <w:tcBorders>
              <w:tl2br w:val="nil"/>
              <w:tr2bl w:val="nil"/>
            </w:tcBorders>
            <w:vAlign w:val="center"/>
          </w:tcPr>
          <w:p w14:paraId="6F1E2F1E">
            <w:pPr>
              <w:autoSpaceDE w:val="0"/>
              <w:autoSpaceDN w:val="0"/>
              <w:adjustRightInd w:val="0"/>
              <w:spacing w:line="288" w:lineRule="auto"/>
              <w:jc w:val="center"/>
              <w:rPr>
                <w:rFonts w:hint="eastAsia" w:ascii="宋体" w:hAnsi="宋体" w:cs="宋体"/>
                <w:bCs/>
                <w:kern w:val="0"/>
                <w:szCs w:val="21"/>
                <w:highlight w:val="none"/>
              </w:rPr>
            </w:pPr>
          </w:p>
        </w:tc>
      </w:tr>
      <w:tr w14:paraId="65BE7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l2br w:val="nil"/>
              <w:tr2bl w:val="nil"/>
            </w:tcBorders>
            <w:vAlign w:val="center"/>
          </w:tcPr>
          <w:p w14:paraId="1D6D3214">
            <w:pPr>
              <w:autoSpaceDE w:val="0"/>
              <w:autoSpaceDN w:val="0"/>
              <w:adjustRightInd w:val="0"/>
              <w:spacing w:line="288" w:lineRule="auto"/>
              <w:jc w:val="center"/>
              <w:rPr>
                <w:rFonts w:hint="eastAsia" w:ascii="宋体" w:hAnsi="宋体" w:cs="宋体"/>
                <w:bCs/>
                <w:kern w:val="0"/>
                <w:szCs w:val="21"/>
                <w:highlight w:val="none"/>
              </w:rPr>
            </w:pPr>
          </w:p>
        </w:tc>
        <w:tc>
          <w:tcPr>
            <w:tcW w:w="1351" w:type="dxa"/>
            <w:tcBorders>
              <w:tl2br w:val="nil"/>
              <w:tr2bl w:val="nil"/>
            </w:tcBorders>
            <w:vAlign w:val="center"/>
          </w:tcPr>
          <w:p w14:paraId="0126FA91">
            <w:pPr>
              <w:autoSpaceDE w:val="0"/>
              <w:autoSpaceDN w:val="0"/>
              <w:adjustRightInd w:val="0"/>
              <w:spacing w:line="288" w:lineRule="auto"/>
              <w:jc w:val="center"/>
              <w:rPr>
                <w:rFonts w:hint="eastAsia" w:ascii="宋体" w:hAnsi="宋体" w:cs="宋体"/>
                <w:bCs/>
                <w:kern w:val="0"/>
                <w:szCs w:val="21"/>
                <w:highlight w:val="none"/>
              </w:rPr>
            </w:pPr>
          </w:p>
        </w:tc>
        <w:tc>
          <w:tcPr>
            <w:tcW w:w="1437" w:type="dxa"/>
            <w:tcBorders>
              <w:tl2br w:val="nil"/>
              <w:tr2bl w:val="nil"/>
            </w:tcBorders>
            <w:vAlign w:val="center"/>
          </w:tcPr>
          <w:p w14:paraId="31A2B77A">
            <w:pPr>
              <w:autoSpaceDE w:val="0"/>
              <w:autoSpaceDN w:val="0"/>
              <w:adjustRightInd w:val="0"/>
              <w:spacing w:line="288" w:lineRule="auto"/>
              <w:jc w:val="center"/>
              <w:rPr>
                <w:rFonts w:hint="eastAsia" w:ascii="宋体" w:hAnsi="宋体" w:cs="宋体"/>
                <w:bCs/>
                <w:kern w:val="0"/>
                <w:szCs w:val="21"/>
                <w:highlight w:val="none"/>
              </w:rPr>
            </w:pPr>
          </w:p>
        </w:tc>
        <w:tc>
          <w:tcPr>
            <w:tcW w:w="1135" w:type="dxa"/>
            <w:tcBorders>
              <w:tl2br w:val="nil"/>
              <w:tr2bl w:val="nil"/>
            </w:tcBorders>
            <w:vAlign w:val="center"/>
          </w:tcPr>
          <w:p w14:paraId="4A6598E3">
            <w:pPr>
              <w:autoSpaceDE w:val="0"/>
              <w:autoSpaceDN w:val="0"/>
              <w:adjustRightInd w:val="0"/>
              <w:spacing w:line="288" w:lineRule="auto"/>
              <w:jc w:val="center"/>
              <w:rPr>
                <w:rFonts w:hint="eastAsia" w:ascii="宋体" w:hAnsi="宋体" w:cs="宋体"/>
                <w:bCs/>
                <w:kern w:val="0"/>
                <w:szCs w:val="21"/>
                <w:highlight w:val="none"/>
              </w:rPr>
            </w:pPr>
          </w:p>
        </w:tc>
        <w:tc>
          <w:tcPr>
            <w:tcW w:w="1335" w:type="dxa"/>
            <w:tcBorders>
              <w:tl2br w:val="nil"/>
              <w:tr2bl w:val="nil"/>
            </w:tcBorders>
            <w:vAlign w:val="center"/>
          </w:tcPr>
          <w:p w14:paraId="36A726F0">
            <w:pPr>
              <w:autoSpaceDE w:val="0"/>
              <w:autoSpaceDN w:val="0"/>
              <w:adjustRightInd w:val="0"/>
              <w:spacing w:line="288" w:lineRule="auto"/>
              <w:jc w:val="center"/>
              <w:rPr>
                <w:rFonts w:hint="eastAsia" w:ascii="宋体" w:hAnsi="宋体" w:cs="宋体"/>
                <w:bCs/>
                <w:kern w:val="0"/>
                <w:szCs w:val="21"/>
                <w:highlight w:val="none"/>
              </w:rPr>
            </w:pPr>
          </w:p>
        </w:tc>
        <w:tc>
          <w:tcPr>
            <w:tcW w:w="1660" w:type="dxa"/>
            <w:tcBorders>
              <w:tl2br w:val="nil"/>
              <w:tr2bl w:val="nil"/>
            </w:tcBorders>
            <w:vAlign w:val="center"/>
          </w:tcPr>
          <w:p w14:paraId="12A8FD70">
            <w:pPr>
              <w:autoSpaceDE w:val="0"/>
              <w:autoSpaceDN w:val="0"/>
              <w:adjustRightInd w:val="0"/>
              <w:spacing w:line="288" w:lineRule="auto"/>
              <w:jc w:val="center"/>
              <w:rPr>
                <w:rFonts w:hint="eastAsia" w:ascii="宋体" w:hAnsi="宋体" w:cs="宋体"/>
                <w:bCs/>
                <w:kern w:val="0"/>
                <w:szCs w:val="21"/>
                <w:highlight w:val="none"/>
              </w:rPr>
            </w:pPr>
          </w:p>
        </w:tc>
        <w:tc>
          <w:tcPr>
            <w:tcW w:w="1078" w:type="dxa"/>
            <w:tcBorders>
              <w:tl2br w:val="nil"/>
              <w:tr2bl w:val="nil"/>
            </w:tcBorders>
            <w:vAlign w:val="center"/>
          </w:tcPr>
          <w:p w14:paraId="458DA34C">
            <w:pPr>
              <w:autoSpaceDE w:val="0"/>
              <w:autoSpaceDN w:val="0"/>
              <w:adjustRightInd w:val="0"/>
              <w:spacing w:line="288" w:lineRule="auto"/>
              <w:jc w:val="center"/>
              <w:rPr>
                <w:rFonts w:hint="eastAsia" w:ascii="宋体" w:hAnsi="宋体" w:cs="宋体"/>
                <w:bCs/>
                <w:kern w:val="0"/>
                <w:szCs w:val="21"/>
                <w:highlight w:val="none"/>
              </w:rPr>
            </w:pPr>
          </w:p>
        </w:tc>
      </w:tr>
    </w:tbl>
    <w:p w14:paraId="57552823">
      <w:pPr>
        <w:autoSpaceDE w:val="0"/>
        <w:autoSpaceDN w:val="0"/>
        <w:adjustRightInd w:val="0"/>
        <w:spacing w:line="288" w:lineRule="auto"/>
        <w:ind w:firstLine="420"/>
        <w:jc w:val="left"/>
        <w:rPr>
          <w:rFonts w:hint="eastAsia"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填制说明：需随附投入项目服务人员</w:t>
      </w:r>
      <w:r>
        <w:rPr>
          <w:rFonts w:hint="eastAsia" w:ascii="仿宋_GB2312" w:hAnsi="仿宋_GB2312" w:eastAsia="仿宋_GB2312" w:cs="仿宋_GB2312"/>
          <w:bCs/>
          <w:kern w:val="0"/>
          <w:szCs w:val="21"/>
          <w:highlight w:val="none"/>
          <w:lang w:val="en-US" w:eastAsia="zh-CN"/>
        </w:rPr>
        <w:t>相关佐证材料</w:t>
      </w:r>
      <w:r>
        <w:rPr>
          <w:rFonts w:hint="eastAsia" w:ascii="仿宋_GB2312" w:hAnsi="仿宋_GB2312" w:eastAsia="仿宋_GB2312" w:cs="仿宋_GB2312"/>
          <w:bCs/>
          <w:kern w:val="0"/>
          <w:szCs w:val="21"/>
          <w:highlight w:val="none"/>
        </w:rPr>
        <w:t>。</w:t>
      </w:r>
    </w:p>
    <w:p w14:paraId="116C4B0E">
      <w:pPr>
        <w:pStyle w:val="8"/>
        <w:rPr>
          <w:rFonts w:hint="eastAsia" w:ascii="仿宋_GB2312" w:hAnsi="仿宋_GB2312" w:eastAsia="仿宋_GB2312" w:cs="仿宋_GB2312"/>
          <w:b w:val="0"/>
          <w:bCs/>
          <w:sz w:val="24"/>
          <w:szCs w:val="24"/>
          <w:highlight w:val="none"/>
        </w:rPr>
      </w:pPr>
    </w:p>
    <w:p w14:paraId="1BD8C1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5DA574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27A2A3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303CF1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1D0CA1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4FACDE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064789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04F1F0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1E2ED2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589C07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13739B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28EE03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val="0"/>
          <w:bCs/>
          <w:sz w:val="24"/>
          <w:szCs w:val="24"/>
          <w:highlight w:val="none"/>
        </w:rPr>
      </w:pPr>
    </w:p>
    <w:p w14:paraId="3EEFFED9">
      <w:pPr>
        <w:rPr>
          <w:rFonts w:hint="eastAsia" w:ascii="仿宋" w:hAnsi="仿宋" w:eastAsia="仿宋" w:cs="仿宋"/>
          <w:b w:val="0"/>
          <w:bCs/>
          <w:sz w:val="24"/>
          <w:szCs w:val="24"/>
          <w:highlight w:val="none"/>
        </w:rPr>
      </w:pPr>
      <w:bookmarkStart w:id="268" w:name="_Toc4247"/>
      <w:bookmarkStart w:id="269" w:name="_Toc27465"/>
      <w:r>
        <w:rPr>
          <w:rFonts w:hint="eastAsia" w:ascii="仿宋" w:hAnsi="仿宋" w:eastAsia="仿宋" w:cs="仿宋"/>
          <w:b w:val="0"/>
          <w:bCs/>
          <w:sz w:val="24"/>
          <w:szCs w:val="24"/>
          <w:highlight w:val="none"/>
        </w:rPr>
        <w:br w:type="page"/>
      </w:r>
    </w:p>
    <w:p w14:paraId="06708CA3">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outlineLvl w:val="0"/>
        <w:rPr>
          <w:rFonts w:hint="default" w:ascii="仿宋" w:hAnsi="仿宋" w:eastAsia="仿宋" w:cs="仿宋"/>
          <w:b w:val="0"/>
          <w:bCs/>
          <w:sz w:val="24"/>
          <w:szCs w:val="24"/>
          <w:highlight w:val="none"/>
          <w:lang w:val="en-US" w:eastAsia="zh-CN"/>
        </w:rPr>
      </w:pPr>
      <w:bookmarkStart w:id="270" w:name="_Toc26559"/>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w:t>
      </w:r>
      <w:bookmarkEnd w:id="268"/>
      <w:r>
        <w:rPr>
          <w:rFonts w:hint="eastAsia" w:ascii="仿宋" w:hAnsi="仿宋" w:eastAsia="仿宋" w:cs="仿宋"/>
          <w:b w:val="0"/>
          <w:bCs/>
          <w:sz w:val="24"/>
          <w:szCs w:val="24"/>
          <w:highlight w:val="none"/>
          <w:lang w:val="en-US" w:eastAsia="zh-CN"/>
        </w:rPr>
        <w:t>招标文件响应</w:t>
      </w:r>
      <w:r>
        <w:rPr>
          <w:rFonts w:hint="eastAsia" w:ascii="仿宋" w:hAnsi="仿宋" w:eastAsia="仿宋" w:cs="仿宋"/>
          <w:b w:val="0"/>
          <w:bCs/>
          <w:sz w:val="24"/>
          <w:szCs w:val="24"/>
          <w:highlight w:val="none"/>
          <w:lang w:val="zh-CN"/>
        </w:rPr>
        <w:t>情况</w:t>
      </w:r>
      <w:r>
        <w:rPr>
          <w:rFonts w:hint="eastAsia" w:ascii="仿宋" w:hAnsi="仿宋" w:eastAsia="仿宋" w:cs="仿宋"/>
          <w:b w:val="0"/>
          <w:bCs/>
          <w:sz w:val="24"/>
          <w:szCs w:val="24"/>
          <w:highlight w:val="none"/>
          <w:lang w:val="en-US" w:eastAsia="zh-CN"/>
        </w:rPr>
        <w:t>偏离表</w:t>
      </w:r>
      <w:bookmarkEnd w:id="269"/>
      <w:bookmarkEnd w:id="270"/>
    </w:p>
    <w:p w14:paraId="1BD905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招标文件</w:t>
      </w:r>
      <w:r>
        <w:rPr>
          <w:rFonts w:hint="eastAsia" w:ascii="方正小标宋简体" w:hAnsi="方正小标宋简体" w:eastAsia="方正小标宋简体" w:cs="方正小标宋简体"/>
          <w:b w:val="0"/>
          <w:bCs/>
          <w:sz w:val="44"/>
          <w:szCs w:val="44"/>
          <w:highlight w:val="none"/>
          <w:lang w:val="zh-CN"/>
        </w:rPr>
        <w:t>响应情况</w:t>
      </w:r>
      <w:r>
        <w:rPr>
          <w:rFonts w:hint="eastAsia" w:ascii="方正小标宋简体" w:hAnsi="方正小标宋简体" w:eastAsia="方正小标宋简体" w:cs="方正小标宋简体"/>
          <w:b w:val="0"/>
          <w:bCs/>
          <w:sz w:val="44"/>
          <w:szCs w:val="44"/>
          <w:highlight w:val="none"/>
          <w:lang w:val="en-US" w:eastAsia="zh-CN"/>
        </w:rPr>
        <w:t>偏离表</w:t>
      </w:r>
    </w:p>
    <w:p w14:paraId="6A0476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22"/>
          <w:szCs w:val="22"/>
          <w:highlight w:val="none"/>
          <w:lang w:val="en-US" w:eastAsia="zh-CN"/>
        </w:rPr>
      </w:pPr>
      <w:r>
        <w:rPr>
          <w:rFonts w:hint="eastAsia" w:ascii="仿宋_GB2312" w:hAnsi="仿宋_GB2312" w:eastAsia="仿宋_GB2312" w:cs="仿宋_GB2312"/>
          <w:b w:val="0"/>
          <w:bCs/>
          <w:sz w:val="22"/>
          <w:szCs w:val="22"/>
          <w:highlight w:val="none"/>
          <w:lang w:val="en-US" w:eastAsia="zh-CN"/>
        </w:rPr>
        <w:t>投标人：                                    招标编号：</w:t>
      </w:r>
    </w:p>
    <w:p w14:paraId="6E3C7045">
      <w:pPr>
        <w:rPr>
          <w:rFonts w:hint="eastAsia"/>
          <w:highlight w:val="none"/>
          <w:lang w:val="zh-CN"/>
        </w:rPr>
      </w:pPr>
    </w:p>
    <w:tbl>
      <w:tblPr>
        <w:tblStyle w:val="17"/>
        <w:tblpPr w:leftFromText="180" w:rightFromText="180" w:vertAnchor="text" w:horzAnchor="page" w:tblpXSpec="center" w:tblpY="-9"/>
        <w:tblOverlap w:val="never"/>
        <w:tblW w:w="88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19"/>
        <w:gridCol w:w="2395"/>
        <w:gridCol w:w="1440"/>
        <w:gridCol w:w="1616"/>
        <w:gridCol w:w="1490"/>
        <w:gridCol w:w="1339"/>
      </w:tblGrid>
      <w:tr w14:paraId="4FBE1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19" w:type="dxa"/>
            <w:tcBorders>
              <w:tl2br w:val="nil"/>
              <w:tr2bl w:val="nil"/>
            </w:tcBorders>
            <w:vAlign w:val="center"/>
          </w:tcPr>
          <w:p w14:paraId="44A8685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heme="minorEastAsia"/>
                <w:b w:val="0"/>
                <w:bCs/>
                <w:sz w:val="21"/>
                <w:szCs w:val="21"/>
                <w:highlight w:val="none"/>
              </w:rPr>
            </w:pPr>
            <w:r>
              <w:rPr>
                <w:rFonts w:hint="eastAsia" w:ascii="Times New Roman" w:hAnsi="Times New Roman" w:eastAsia="宋体" w:cstheme="minorEastAsia"/>
                <w:b w:val="0"/>
                <w:bCs/>
                <w:sz w:val="21"/>
                <w:szCs w:val="21"/>
                <w:highlight w:val="none"/>
              </w:rPr>
              <w:t>序号</w:t>
            </w:r>
          </w:p>
        </w:tc>
        <w:tc>
          <w:tcPr>
            <w:tcW w:w="2395" w:type="dxa"/>
            <w:tcBorders>
              <w:tl2br w:val="nil"/>
              <w:tr2bl w:val="nil"/>
            </w:tcBorders>
            <w:vAlign w:val="center"/>
          </w:tcPr>
          <w:p w14:paraId="61048413">
            <w:pPr>
              <w:keepNext w:val="0"/>
              <w:keepLines w:val="0"/>
              <w:widowControl/>
              <w:suppressLineNumbers w:val="0"/>
              <w:jc w:val="center"/>
              <w:textAlignment w:val="center"/>
              <w:rPr>
                <w:rFonts w:hint="eastAsia" w:ascii="Times New Roman" w:hAnsi="Times New Roman" w:eastAsia="宋体" w:cstheme="minorEastAsia"/>
                <w:b w:val="0"/>
                <w:bCs/>
                <w:sz w:val="21"/>
                <w:szCs w:val="21"/>
                <w:highlight w:val="none"/>
              </w:rPr>
            </w:pPr>
            <w:r>
              <w:rPr>
                <w:rFonts w:hint="eastAsia" w:ascii="Times New Roman" w:hAnsi="Times New Roman" w:eastAsia="宋体" w:cstheme="minorEastAsia"/>
                <w:b w:val="0"/>
                <w:bCs/>
                <w:i w:val="0"/>
                <w:iCs w:val="0"/>
                <w:color w:val="000000"/>
                <w:kern w:val="0"/>
                <w:sz w:val="21"/>
                <w:szCs w:val="21"/>
                <w:highlight w:val="none"/>
                <w:u w:val="none"/>
                <w:lang w:val="en-US" w:eastAsia="zh-CN" w:bidi="ar"/>
              </w:rPr>
              <w:t>内容</w:t>
            </w:r>
          </w:p>
        </w:tc>
        <w:tc>
          <w:tcPr>
            <w:tcW w:w="1440" w:type="dxa"/>
            <w:tcBorders>
              <w:tl2br w:val="nil"/>
              <w:tr2bl w:val="nil"/>
            </w:tcBorders>
            <w:vAlign w:val="center"/>
          </w:tcPr>
          <w:p w14:paraId="540EAD03">
            <w:pPr>
              <w:keepNext w:val="0"/>
              <w:keepLines w:val="0"/>
              <w:widowControl/>
              <w:suppressLineNumbers w:val="0"/>
              <w:jc w:val="center"/>
              <w:textAlignment w:val="center"/>
              <w:rPr>
                <w:rFonts w:hint="eastAsia" w:ascii="Times New Roman" w:hAnsi="Times New Roman" w:eastAsia="宋体" w:cstheme="minorEastAsia"/>
                <w:b w:val="0"/>
                <w:bCs/>
                <w:i w:val="0"/>
                <w:iCs w:val="0"/>
                <w:color w:val="000000"/>
                <w:kern w:val="0"/>
                <w:sz w:val="21"/>
                <w:szCs w:val="21"/>
                <w:highlight w:val="none"/>
                <w:u w:val="none"/>
                <w:lang w:val="en-US" w:eastAsia="zh-CN" w:bidi="ar"/>
              </w:rPr>
            </w:pPr>
            <w:r>
              <w:rPr>
                <w:rFonts w:hint="eastAsia" w:ascii="Times New Roman" w:hAnsi="Times New Roman" w:eastAsia="宋体" w:cstheme="minorEastAsia"/>
                <w:b w:val="0"/>
                <w:bCs/>
                <w:i w:val="0"/>
                <w:iCs w:val="0"/>
                <w:color w:val="000000"/>
                <w:kern w:val="0"/>
                <w:sz w:val="21"/>
                <w:szCs w:val="21"/>
                <w:highlight w:val="none"/>
                <w:u w:val="none"/>
                <w:lang w:val="en-US" w:eastAsia="zh-CN" w:bidi="ar"/>
              </w:rPr>
              <w:t>偏离性质</w:t>
            </w:r>
          </w:p>
          <w:p w14:paraId="72806D84">
            <w:pPr>
              <w:keepNext w:val="0"/>
              <w:keepLines w:val="0"/>
              <w:widowControl/>
              <w:suppressLineNumbers w:val="0"/>
              <w:jc w:val="center"/>
              <w:textAlignment w:val="center"/>
              <w:rPr>
                <w:rFonts w:hint="eastAsia" w:ascii="Times New Roman" w:hAnsi="Times New Roman" w:eastAsia="宋体" w:cstheme="minorEastAsia"/>
                <w:b w:val="0"/>
                <w:bCs/>
                <w:sz w:val="21"/>
                <w:szCs w:val="21"/>
                <w:highlight w:val="none"/>
              </w:rPr>
            </w:pPr>
            <w:r>
              <w:rPr>
                <w:rFonts w:hint="eastAsia" w:ascii="Times New Roman" w:hAnsi="Times New Roman" w:eastAsia="宋体" w:cstheme="minorEastAsia"/>
                <w:b w:val="0"/>
                <w:bCs/>
                <w:i w:val="0"/>
                <w:iCs w:val="0"/>
                <w:color w:val="000000"/>
                <w:kern w:val="0"/>
                <w:sz w:val="21"/>
                <w:szCs w:val="21"/>
                <w:highlight w:val="none"/>
                <w:u w:val="none"/>
                <w:lang w:val="en-US" w:eastAsia="zh-CN" w:bidi="ar"/>
              </w:rPr>
              <w:t>（选填正偏离、负偏离）</w:t>
            </w:r>
          </w:p>
        </w:tc>
        <w:tc>
          <w:tcPr>
            <w:tcW w:w="1616" w:type="dxa"/>
            <w:tcBorders>
              <w:tl2br w:val="nil"/>
              <w:tr2bl w:val="nil"/>
            </w:tcBorders>
            <w:vAlign w:val="center"/>
          </w:tcPr>
          <w:p w14:paraId="37BD81F5">
            <w:pPr>
              <w:keepNext w:val="0"/>
              <w:keepLines w:val="0"/>
              <w:widowControl/>
              <w:suppressLineNumbers w:val="0"/>
              <w:jc w:val="center"/>
              <w:textAlignment w:val="center"/>
              <w:rPr>
                <w:rFonts w:hint="eastAsia" w:ascii="Times New Roman" w:hAnsi="Times New Roman" w:eastAsia="宋体" w:cstheme="minorEastAsia"/>
                <w:b w:val="0"/>
                <w:bCs/>
                <w:sz w:val="21"/>
                <w:szCs w:val="21"/>
                <w:highlight w:val="none"/>
              </w:rPr>
            </w:pPr>
            <w:r>
              <w:rPr>
                <w:rFonts w:hint="eastAsia" w:ascii="Times New Roman" w:hAnsi="Times New Roman" w:eastAsia="宋体" w:cstheme="minorEastAsia"/>
                <w:b w:val="0"/>
                <w:bCs/>
                <w:i w:val="0"/>
                <w:iC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14:paraId="68400E8A">
            <w:pPr>
              <w:keepNext w:val="0"/>
              <w:keepLines w:val="0"/>
              <w:widowControl/>
              <w:suppressLineNumbers w:val="0"/>
              <w:jc w:val="center"/>
              <w:textAlignment w:val="center"/>
              <w:rPr>
                <w:rFonts w:hint="eastAsia" w:ascii="Times New Roman" w:hAnsi="Times New Roman" w:eastAsia="宋体" w:cstheme="minorEastAsia"/>
                <w:b w:val="0"/>
                <w:bCs/>
                <w:sz w:val="21"/>
                <w:szCs w:val="21"/>
                <w:highlight w:val="none"/>
              </w:rPr>
            </w:pPr>
            <w:r>
              <w:rPr>
                <w:rFonts w:hint="eastAsia" w:ascii="Times New Roman" w:hAnsi="Times New Roman" w:eastAsia="宋体" w:cstheme="minorEastAsia"/>
                <w:b w:val="0"/>
                <w:bCs/>
                <w:i w:val="0"/>
                <w:iCs w:val="0"/>
                <w:color w:val="000000"/>
                <w:kern w:val="0"/>
                <w:sz w:val="21"/>
                <w:szCs w:val="21"/>
                <w:highlight w:val="none"/>
                <w:u w:val="none"/>
                <w:lang w:val="en-US" w:eastAsia="zh-CN" w:bidi="ar"/>
              </w:rPr>
              <w:t>偏离情况对应投标文件页码</w:t>
            </w:r>
          </w:p>
        </w:tc>
        <w:tc>
          <w:tcPr>
            <w:tcW w:w="1339" w:type="dxa"/>
            <w:tcBorders>
              <w:tl2br w:val="nil"/>
              <w:tr2bl w:val="nil"/>
            </w:tcBorders>
            <w:vAlign w:val="center"/>
          </w:tcPr>
          <w:p w14:paraId="4CE3977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heme="minorEastAsia"/>
                <w:b w:val="0"/>
                <w:bCs/>
                <w:sz w:val="21"/>
                <w:szCs w:val="21"/>
                <w:highlight w:val="none"/>
              </w:rPr>
            </w:pPr>
            <w:r>
              <w:rPr>
                <w:rFonts w:hint="eastAsia" w:ascii="Times New Roman" w:hAnsi="Times New Roman" w:eastAsia="宋体" w:cstheme="minorEastAsia"/>
                <w:b w:val="0"/>
                <w:bCs/>
                <w:sz w:val="21"/>
                <w:szCs w:val="21"/>
                <w:highlight w:val="none"/>
              </w:rPr>
              <w:t>备注</w:t>
            </w:r>
          </w:p>
        </w:tc>
      </w:tr>
      <w:tr w14:paraId="4F8D7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19" w:type="dxa"/>
            <w:tcBorders>
              <w:tl2br w:val="nil"/>
              <w:tr2bl w:val="nil"/>
            </w:tcBorders>
            <w:vAlign w:val="center"/>
          </w:tcPr>
          <w:p w14:paraId="2F7D9FC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1</w:t>
            </w:r>
          </w:p>
        </w:tc>
        <w:tc>
          <w:tcPr>
            <w:tcW w:w="2395" w:type="dxa"/>
            <w:tcBorders>
              <w:tl2br w:val="nil"/>
              <w:tr2bl w:val="nil"/>
            </w:tcBorders>
            <w:vAlign w:val="center"/>
          </w:tcPr>
          <w:p w14:paraId="47C2D8D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1B782E9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6634A6C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1287DAE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4021E95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09AB7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19" w:type="dxa"/>
            <w:tcBorders>
              <w:tl2br w:val="nil"/>
              <w:tr2bl w:val="nil"/>
            </w:tcBorders>
            <w:vAlign w:val="center"/>
          </w:tcPr>
          <w:p w14:paraId="36708E6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2</w:t>
            </w:r>
          </w:p>
        </w:tc>
        <w:tc>
          <w:tcPr>
            <w:tcW w:w="2395" w:type="dxa"/>
            <w:tcBorders>
              <w:tl2br w:val="nil"/>
              <w:tr2bl w:val="nil"/>
            </w:tcBorders>
            <w:vAlign w:val="center"/>
          </w:tcPr>
          <w:p w14:paraId="6882B2F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73C7313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716925F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485437B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6836B1E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01394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14:paraId="641C133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3</w:t>
            </w:r>
          </w:p>
        </w:tc>
        <w:tc>
          <w:tcPr>
            <w:tcW w:w="2395" w:type="dxa"/>
            <w:tcBorders>
              <w:tl2br w:val="nil"/>
              <w:tr2bl w:val="nil"/>
            </w:tcBorders>
            <w:vAlign w:val="center"/>
          </w:tcPr>
          <w:p w14:paraId="34208F1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2137620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2E6AAEF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69CDEEA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34FAE66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032B9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14:paraId="4401212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4</w:t>
            </w:r>
          </w:p>
        </w:tc>
        <w:tc>
          <w:tcPr>
            <w:tcW w:w="2395" w:type="dxa"/>
            <w:tcBorders>
              <w:tl2br w:val="nil"/>
              <w:tr2bl w:val="nil"/>
            </w:tcBorders>
            <w:vAlign w:val="center"/>
          </w:tcPr>
          <w:p w14:paraId="21D868C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3C59A38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67931A2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42CECDE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1BB8BD3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3072B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84" w:hRule="atLeast"/>
          <w:jc w:val="center"/>
        </w:trPr>
        <w:tc>
          <w:tcPr>
            <w:tcW w:w="619" w:type="dxa"/>
            <w:tcBorders>
              <w:tl2br w:val="nil"/>
              <w:tr2bl w:val="nil"/>
            </w:tcBorders>
            <w:vAlign w:val="center"/>
          </w:tcPr>
          <w:p w14:paraId="4185D1D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p w14:paraId="160F276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5</w:t>
            </w:r>
          </w:p>
        </w:tc>
        <w:tc>
          <w:tcPr>
            <w:tcW w:w="2395" w:type="dxa"/>
            <w:tcBorders>
              <w:tl2br w:val="nil"/>
              <w:tr2bl w:val="nil"/>
            </w:tcBorders>
            <w:vAlign w:val="center"/>
          </w:tcPr>
          <w:p w14:paraId="3384F5A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45ACD7B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3A15B2F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5F0EE7E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0F0C2BF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75E28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24" w:hRule="atLeast"/>
          <w:jc w:val="center"/>
        </w:trPr>
        <w:tc>
          <w:tcPr>
            <w:tcW w:w="619" w:type="dxa"/>
            <w:tcBorders>
              <w:tl2br w:val="nil"/>
              <w:tr2bl w:val="nil"/>
            </w:tcBorders>
            <w:vAlign w:val="center"/>
          </w:tcPr>
          <w:p w14:paraId="6FE9584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6</w:t>
            </w:r>
          </w:p>
        </w:tc>
        <w:tc>
          <w:tcPr>
            <w:tcW w:w="2395" w:type="dxa"/>
            <w:tcBorders>
              <w:tl2br w:val="nil"/>
              <w:tr2bl w:val="nil"/>
            </w:tcBorders>
            <w:vAlign w:val="center"/>
          </w:tcPr>
          <w:p w14:paraId="0B35C8E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6A2816C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6F6D18C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5C24E23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4983747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42270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8" w:hRule="atLeast"/>
          <w:jc w:val="center"/>
        </w:trPr>
        <w:tc>
          <w:tcPr>
            <w:tcW w:w="619" w:type="dxa"/>
            <w:tcBorders>
              <w:tl2br w:val="nil"/>
              <w:tr2bl w:val="nil"/>
            </w:tcBorders>
            <w:vAlign w:val="center"/>
          </w:tcPr>
          <w:p w14:paraId="2483488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r>
              <w:rPr>
                <w:rFonts w:hint="eastAsia" w:ascii="Times New Roman" w:hAnsi="Times New Roman" w:eastAsia="宋体" w:cs="仿宋"/>
                <w:bCs/>
                <w:sz w:val="21"/>
                <w:szCs w:val="21"/>
                <w:highlight w:val="none"/>
              </w:rPr>
              <w:t>7</w:t>
            </w:r>
          </w:p>
        </w:tc>
        <w:tc>
          <w:tcPr>
            <w:tcW w:w="2395" w:type="dxa"/>
            <w:tcBorders>
              <w:tl2br w:val="nil"/>
              <w:tr2bl w:val="nil"/>
            </w:tcBorders>
            <w:vAlign w:val="center"/>
          </w:tcPr>
          <w:p w14:paraId="0E81B99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40" w:type="dxa"/>
            <w:tcBorders>
              <w:tl2br w:val="nil"/>
              <w:tr2bl w:val="nil"/>
            </w:tcBorders>
            <w:vAlign w:val="center"/>
          </w:tcPr>
          <w:p w14:paraId="5CD82D9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44EA8D3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6F48249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28C797A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r w14:paraId="58E05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619" w:type="dxa"/>
            <w:tcBorders>
              <w:tl2br w:val="nil"/>
              <w:tr2bl w:val="nil"/>
            </w:tcBorders>
            <w:vAlign w:val="center"/>
          </w:tcPr>
          <w:p w14:paraId="734108D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p w14:paraId="3864A17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2395" w:type="dxa"/>
            <w:tcBorders>
              <w:tl2br w:val="nil"/>
              <w:tr2bl w:val="nil"/>
            </w:tcBorders>
            <w:vAlign w:val="center"/>
          </w:tcPr>
          <w:p w14:paraId="56626D1C">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仿宋"/>
                <w:bCs/>
                <w:sz w:val="21"/>
                <w:szCs w:val="21"/>
                <w:highlight w:val="none"/>
                <w:lang w:val="en-US" w:eastAsia="zh-CN"/>
              </w:rPr>
            </w:pPr>
            <w:r>
              <w:rPr>
                <w:rFonts w:hint="eastAsia" w:ascii="Times New Roman" w:hAnsi="Times New Roman" w:eastAsia="宋体" w:cs="仿宋"/>
                <w:bCs/>
                <w:sz w:val="21"/>
                <w:szCs w:val="21"/>
                <w:highlight w:val="none"/>
                <w:lang w:val="en-US" w:eastAsia="zh-CN"/>
              </w:rPr>
              <w:t>.......</w:t>
            </w:r>
          </w:p>
        </w:tc>
        <w:tc>
          <w:tcPr>
            <w:tcW w:w="1440" w:type="dxa"/>
            <w:tcBorders>
              <w:tl2br w:val="nil"/>
              <w:tr2bl w:val="nil"/>
            </w:tcBorders>
            <w:vAlign w:val="center"/>
          </w:tcPr>
          <w:p w14:paraId="1272468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616" w:type="dxa"/>
            <w:tcBorders>
              <w:tl2br w:val="nil"/>
              <w:tr2bl w:val="nil"/>
            </w:tcBorders>
            <w:vAlign w:val="center"/>
          </w:tcPr>
          <w:p w14:paraId="5FB92F4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490" w:type="dxa"/>
            <w:tcBorders>
              <w:tl2br w:val="nil"/>
              <w:tr2bl w:val="nil"/>
            </w:tcBorders>
            <w:vAlign w:val="center"/>
          </w:tcPr>
          <w:p w14:paraId="78F2200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c>
          <w:tcPr>
            <w:tcW w:w="1339" w:type="dxa"/>
            <w:tcBorders>
              <w:tl2br w:val="nil"/>
              <w:tr2bl w:val="nil"/>
            </w:tcBorders>
            <w:vAlign w:val="center"/>
          </w:tcPr>
          <w:p w14:paraId="5E7D4F5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none"/>
              </w:rPr>
            </w:pPr>
          </w:p>
        </w:tc>
      </w:tr>
    </w:tbl>
    <w:p w14:paraId="1C1CD105">
      <w:pPr>
        <w:keepNext w:val="0"/>
        <w:keepLines w:val="0"/>
        <w:pageBreakBefore w:val="0"/>
        <w:widowControl/>
        <w:kinsoku/>
        <w:wordWrap/>
        <w:overflowPunct/>
        <w:topLinePunct w:val="0"/>
        <w:autoSpaceDE/>
        <w:autoSpaceDN/>
        <w:bidi w:val="0"/>
        <w:adjustRightInd/>
        <w:snapToGrid/>
        <w:spacing w:line="240" w:lineRule="exact"/>
        <w:ind w:firstLine="422" w:firstLineChars="200"/>
        <w:textAlignment w:val="auto"/>
        <w:rPr>
          <w:rFonts w:hint="eastAsia" w:ascii="Times New Roman" w:hAnsi="Times New Roman" w:eastAsia="仿宋_GB2312" w:cs="仿宋"/>
          <w:b/>
          <w:bCs/>
          <w:sz w:val="21"/>
          <w:szCs w:val="21"/>
          <w:highlight w:val="none"/>
        </w:rPr>
      </w:pPr>
      <w:r>
        <w:rPr>
          <w:rFonts w:hint="eastAsia" w:ascii="Times New Roman" w:hAnsi="Times New Roman" w:eastAsia="仿宋_GB2312" w:cs="仿宋"/>
          <w:b/>
          <w:bCs/>
          <w:sz w:val="21"/>
          <w:szCs w:val="21"/>
          <w:highlight w:val="none"/>
        </w:rPr>
        <w:t>说明：</w:t>
      </w:r>
    </w:p>
    <w:p w14:paraId="092B3D05">
      <w:pPr>
        <w:keepNext w:val="0"/>
        <w:keepLines w:val="0"/>
        <w:pageBreakBefore w:val="0"/>
        <w:widowControl/>
        <w:numPr>
          <w:ilvl w:val="0"/>
          <w:numId w:val="8"/>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仿宋_GB2312" w:cs="仿宋"/>
          <w:b w:val="0"/>
          <w:bCs w:val="0"/>
          <w:sz w:val="21"/>
          <w:szCs w:val="21"/>
          <w:highlight w:val="none"/>
          <w:lang w:val="en-US" w:eastAsia="zh-CN"/>
        </w:rPr>
      </w:pPr>
      <w:r>
        <w:rPr>
          <w:rFonts w:hint="eastAsia" w:ascii="Times New Roman" w:hAnsi="Times New Roman" w:eastAsia="仿宋_GB2312" w:cs="仿宋"/>
          <w:b w:val="0"/>
          <w:bCs w:val="0"/>
          <w:kern w:val="0"/>
          <w:sz w:val="21"/>
          <w:szCs w:val="21"/>
          <w:highlight w:val="none"/>
          <w:lang w:val="en-US" w:eastAsia="zh-CN"/>
        </w:rPr>
        <w:t>偏离性质以招标人列示招标文件为基准，作出对招标人有利修改的为正偏离，反之为负偏离。</w:t>
      </w:r>
    </w:p>
    <w:p w14:paraId="5F63FBA4">
      <w:pPr>
        <w:keepNext w:val="0"/>
        <w:keepLines w:val="0"/>
        <w:pageBreakBefore w:val="0"/>
        <w:widowControl w:val="0"/>
        <w:numPr>
          <w:ilvl w:val="0"/>
          <w:numId w:val="8"/>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仿宋_GB2312" w:cs="仿宋"/>
          <w:b w:val="0"/>
          <w:bCs w:val="0"/>
          <w:kern w:val="2"/>
          <w:sz w:val="21"/>
          <w:szCs w:val="21"/>
          <w:highlight w:val="none"/>
        </w:rPr>
      </w:pPr>
      <w:r>
        <w:rPr>
          <w:rFonts w:hint="eastAsia" w:ascii="Times New Roman" w:hAnsi="Times New Roman" w:eastAsia="仿宋_GB2312" w:cs="仿宋"/>
          <w:b w:val="0"/>
          <w:bCs w:val="0"/>
          <w:sz w:val="21"/>
          <w:szCs w:val="21"/>
          <w:highlight w:val="none"/>
        </w:rPr>
        <w:t>投标人应准确完整阅读</w:t>
      </w:r>
      <w:r>
        <w:rPr>
          <w:rFonts w:hint="eastAsia" w:ascii="Times New Roman" w:hAnsi="Times New Roman" w:eastAsia="仿宋_GB2312" w:cs="仿宋"/>
          <w:b w:val="0"/>
          <w:bCs w:val="0"/>
          <w:sz w:val="21"/>
          <w:szCs w:val="21"/>
          <w:highlight w:val="none"/>
          <w:lang w:val="en-US" w:eastAsia="zh-CN"/>
        </w:rPr>
        <w:t>招标</w:t>
      </w:r>
      <w:r>
        <w:rPr>
          <w:rFonts w:hint="eastAsia" w:ascii="Times New Roman" w:hAnsi="Times New Roman" w:eastAsia="仿宋_GB2312" w:cs="仿宋"/>
          <w:b w:val="0"/>
          <w:bCs w:val="0"/>
          <w:sz w:val="21"/>
          <w:szCs w:val="21"/>
          <w:highlight w:val="none"/>
        </w:rPr>
        <w:t>文件并就</w:t>
      </w:r>
      <w:r>
        <w:rPr>
          <w:rFonts w:hint="eastAsia" w:ascii="Times New Roman" w:hAnsi="Times New Roman" w:eastAsia="仿宋_GB2312" w:cs="仿宋"/>
          <w:b w:val="0"/>
          <w:bCs w:val="0"/>
          <w:sz w:val="21"/>
          <w:szCs w:val="21"/>
          <w:highlight w:val="none"/>
          <w:lang w:val="en-US" w:eastAsia="zh-CN"/>
        </w:rPr>
        <w:t>招标</w:t>
      </w:r>
      <w:r>
        <w:rPr>
          <w:rFonts w:hint="eastAsia" w:ascii="Times New Roman" w:hAnsi="Times New Roman" w:eastAsia="仿宋_GB2312" w:cs="仿宋"/>
          <w:b w:val="0"/>
          <w:bCs w:val="0"/>
          <w:sz w:val="21"/>
          <w:szCs w:val="21"/>
          <w:highlight w:val="none"/>
        </w:rPr>
        <w:t>文件内合同条款与投标人实际提供服务产生的偏离情况进行完整、准确说明</w:t>
      </w:r>
      <w:r>
        <w:rPr>
          <w:rFonts w:hint="eastAsia" w:ascii="Times New Roman" w:hAnsi="Times New Roman" w:eastAsia="仿宋_GB2312" w:cs="仿宋"/>
          <w:b w:val="0"/>
          <w:bCs w:val="0"/>
          <w:sz w:val="21"/>
          <w:szCs w:val="21"/>
          <w:highlight w:val="none"/>
          <w:lang w:eastAsia="zh-CN"/>
        </w:rPr>
        <w:t>，</w:t>
      </w:r>
      <w:r>
        <w:rPr>
          <w:rFonts w:hint="eastAsia" w:ascii="Times New Roman" w:hAnsi="Times New Roman" w:eastAsia="仿宋_GB2312" w:cs="仿宋"/>
          <w:b w:val="0"/>
          <w:bCs w:val="0"/>
          <w:sz w:val="21"/>
          <w:szCs w:val="21"/>
          <w:highlight w:val="none"/>
          <w:lang w:val="en-US" w:eastAsia="zh-CN"/>
        </w:rPr>
        <w:t>投标人未予列示的，默认为无偏离承诺</w:t>
      </w:r>
      <w:r>
        <w:rPr>
          <w:rFonts w:hint="eastAsia" w:ascii="Times New Roman" w:hAnsi="Times New Roman" w:eastAsia="仿宋_GB2312" w:cs="仿宋"/>
          <w:b w:val="0"/>
          <w:bCs w:val="0"/>
          <w:sz w:val="21"/>
          <w:szCs w:val="21"/>
          <w:highlight w:val="none"/>
        </w:rPr>
        <w:t>。投标人未在本表中示明，但在服务方案中存在偏离的情况，</w:t>
      </w:r>
      <w:r>
        <w:rPr>
          <w:rFonts w:hint="eastAsia" w:ascii="Times New Roman" w:hAnsi="Times New Roman" w:eastAsia="仿宋_GB2312" w:cs="仿宋"/>
          <w:b w:val="0"/>
          <w:bCs w:val="0"/>
          <w:sz w:val="21"/>
          <w:szCs w:val="21"/>
          <w:highlight w:val="none"/>
          <w:lang w:val="en-US" w:eastAsia="zh-CN"/>
        </w:rPr>
        <w:t>招标</w:t>
      </w:r>
      <w:r>
        <w:rPr>
          <w:rFonts w:hint="eastAsia" w:ascii="Times New Roman" w:hAnsi="Times New Roman" w:eastAsia="仿宋_GB2312" w:cs="仿宋"/>
          <w:b w:val="0"/>
          <w:bCs w:val="0"/>
          <w:sz w:val="21"/>
          <w:szCs w:val="21"/>
          <w:highlight w:val="none"/>
        </w:rPr>
        <w:t>人有权判定为废标。</w:t>
      </w:r>
    </w:p>
    <w:p w14:paraId="30AE98D4">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highlight w:val="none"/>
        </w:rPr>
      </w:pPr>
    </w:p>
    <w:p w14:paraId="392E7D7B">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highlight w:val="none"/>
        </w:rPr>
      </w:pPr>
    </w:p>
    <w:p w14:paraId="41321458">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lang w:eastAsia="zh-CN"/>
        </w:rPr>
        <w:t>投标人</w:t>
      </w:r>
      <w:r>
        <w:rPr>
          <w:rFonts w:hint="eastAsia" w:ascii="仿宋_GB2312" w:hAnsi="仿宋_GB2312" w:eastAsia="仿宋_GB2312" w:cs="仿宋_GB2312"/>
          <w:b w:val="0"/>
          <w:bCs/>
          <w:kern w:val="0"/>
          <w:sz w:val="24"/>
          <w:szCs w:val="24"/>
          <w:highlight w:val="none"/>
        </w:rPr>
        <w:t>名称（公章）：</w:t>
      </w:r>
    </w:p>
    <w:p w14:paraId="34CD6514">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法定代表人（法定授权代表人）签名：</w:t>
      </w:r>
    </w:p>
    <w:p w14:paraId="5C77CB33">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sz w:val="24"/>
          <w:szCs w:val="24"/>
          <w:highlight w:val="none"/>
        </w:rPr>
        <w:sectPr>
          <w:headerReference r:id="rId7" w:type="default"/>
          <w:footerReference r:id="rId8" w:type="default"/>
          <w:pgSz w:w="11906" w:h="16838"/>
          <w:pgMar w:top="2098" w:right="1474" w:bottom="1984" w:left="1587" w:header="1417" w:footer="1134" w:gutter="0"/>
          <w:pgBorders>
            <w:top w:val="none" w:sz="0" w:space="0"/>
            <w:left w:val="none" w:sz="0" w:space="0"/>
            <w:bottom w:val="none" w:sz="0" w:space="0"/>
            <w:right w:val="none" w:sz="0" w:space="0"/>
          </w:pgBorders>
          <w:pgNumType w:fmt="decimal"/>
          <w:cols w:space="425" w:num="1"/>
          <w:docGrid w:linePitch="312" w:charSpace="0"/>
        </w:sectPr>
      </w:pPr>
      <w:r>
        <w:rPr>
          <w:rFonts w:hint="eastAsia" w:ascii="仿宋_GB2312" w:hAnsi="仿宋_GB2312" w:eastAsia="仿宋_GB2312" w:cs="仿宋_GB2312"/>
          <w:b w:val="0"/>
          <w:bCs/>
          <w:kern w:val="0"/>
          <w:sz w:val="24"/>
          <w:szCs w:val="24"/>
          <w:highlight w:val="none"/>
        </w:rPr>
        <w:t>日期：</w:t>
      </w:r>
      <w:r>
        <w:rPr>
          <w:rFonts w:hint="eastAsia" w:ascii="仿宋" w:hAnsi="仿宋" w:eastAsia="仿宋" w:cs="仿宋"/>
          <w:bCs/>
          <w:kern w:val="0"/>
          <w:sz w:val="24"/>
          <w:szCs w:val="24"/>
          <w:highlight w:val="none"/>
        </w:rPr>
        <w:br w:type="page"/>
      </w:r>
    </w:p>
    <w:p w14:paraId="0AFE6428">
      <w:pPr>
        <w:pStyle w:val="4"/>
        <w:spacing w:line="560" w:lineRule="exact"/>
        <w:jc w:val="left"/>
        <w:outlineLvl w:val="0"/>
        <w:rPr>
          <w:rFonts w:hint="eastAsia" w:ascii="仿宋" w:hAnsi="仿宋" w:eastAsia="仿宋" w:cs="仿宋"/>
          <w:b w:val="0"/>
          <w:bCs/>
          <w:sz w:val="24"/>
          <w:szCs w:val="24"/>
          <w:highlight w:val="none"/>
          <w:lang w:val="en-US" w:eastAsia="zh-CN"/>
        </w:rPr>
      </w:pPr>
      <w:bookmarkStart w:id="271" w:name="_Toc20796"/>
      <w:bookmarkStart w:id="272" w:name="_Toc30149"/>
      <w:bookmarkStart w:id="273" w:name="_Toc16158"/>
      <w:r>
        <w:rPr>
          <w:rFonts w:hint="eastAsia" w:ascii="仿宋" w:hAnsi="仿宋" w:eastAsia="仿宋" w:cs="仿宋"/>
          <w:b w:val="0"/>
          <w:bCs/>
          <w:sz w:val="24"/>
          <w:szCs w:val="24"/>
          <w:highlight w:val="none"/>
          <w:lang w:val="en-US" w:eastAsia="zh-CN"/>
        </w:rPr>
        <w:t>格式7</w:t>
      </w:r>
      <w:r>
        <w:rPr>
          <w:rFonts w:hint="eastAsia" w:ascii="仿宋" w:hAnsi="仿宋" w:eastAsia="仿宋" w:cs="仿宋"/>
          <w:b w:val="0"/>
          <w:bCs/>
          <w:sz w:val="24"/>
          <w:szCs w:val="24"/>
          <w:highlight w:val="none"/>
          <w:lang w:val="zh-CN"/>
        </w:rPr>
        <w:t>：</w:t>
      </w:r>
      <w:r>
        <w:rPr>
          <w:rFonts w:hint="eastAsia" w:ascii="仿宋" w:hAnsi="仿宋" w:eastAsia="仿宋" w:cs="仿宋"/>
          <w:b w:val="0"/>
          <w:bCs/>
          <w:sz w:val="24"/>
          <w:szCs w:val="24"/>
          <w:highlight w:val="none"/>
          <w:lang w:val="en-US" w:eastAsia="zh-CN"/>
        </w:rPr>
        <w:t>服务项目报价单</w:t>
      </w:r>
      <w:bookmarkEnd w:id="271"/>
      <w:bookmarkEnd w:id="272"/>
    </w:p>
    <w:p w14:paraId="01949E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服务项目报价单</w:t>
      </w:r>
    </w:p>
    <w:p w14:paraId="5511FB88">
      <w:pPr>
        <w:autoSpaceDE w:val="0"/>
        <w:autoSpaceDN w:val="0"/>
        <w:adjustRightInd w:val="0"/>
        <w:snapToGrid w:val="0"/>
        <w:spacing w:line="360" w:lineRule="auto"/>
        <w:ind w:firstLine="420" w:firstLineChars="200"/>
        <w:jc w:val="left"/>
        <w:rPr>
          <w:rFonts w:hint="eastAsia" w:ascii="宋体" w:hAnsi="宋体" w:eastAsia="宋体" w:cs="Times New Roman"/>
          <w:szCs w:val="21"/>
          <w:highlight w:val="none"/>
        </w:rPr>
      </w:pPr>
    </w:p>
    <w:p w14:paraId="1D4EBD25">
      <w:pPr>
        <w:autoSpaceDE w:val="0"/>
        <w:autoSpaceDN w:val="0"/>
        <w:adjustRightInd w:val="0"/>
        <w:snapToGrid w:val="0"/>
        <w:spacing w:line="360" w:lineRule="auto"/>
        <w:ind w:firstLine="420" w:firstLineChars="200"/>
        <w:jc w:val="left"/>
        <w:rPr>
          <w:rFonts w:hint="eastAsia" w:ascii="宋体" w:hAnsi="宋体" w:eastAsia="宋体" w:cs="Times New Roman"/>
          <w:szCs w:val="21"/>
          <w:highlight w:val="none"/>
          <w:u w:val="single"/>
        </w:rPr>
      </w:pPr>
      <w:r>
        <w:rPr>
          <w:rFonts w:hint="eastAsia" w:ascii="宋体" w:hAnsi="宋体" w:eastAsia="宋体" w:cs="Times New Roman"/>
          <w:szCs w:val="21"/>
          <w:highlight w:val="none"/>
        </w:rPr>
        <w:t>项目名称：</w:t>
      </w:r>
      <w:r>
        <w:rPr>
          <w:rFonts w:hint="eastAsia" w:ascii="宋体" w:hAnsi="宋体" w:eastAsia="宋体" w:cs="Times New Roman"/>
          <w:szCs w:val="21"/>
          <w:highlight w:val="none"/>
          <w:u w:val="single"/>
        </w:rPr>
        <w:t xml:space="preserve">                        </w:t>
      </w:r>
    </w:p>
    <w:p w14:paraId="5155BB0C">
      <w:pPr>
        <w:autoSpaceDE w:val="0"/>
        <w:autoSpaceDN w:val="0"/>
        <w:adjustRightInd w:val="0"/>
        <w:snapToGrid w:val="0"/>
        <w:spacing w:line="360" w:lineRule="auto"/>
        <w:ind w:firstLine="420" w:firstLineChars="200"/>
        <w:jc w:val="left"/>
        <w:rPr>
          <w:rFonts w:hint="eastAsia" w:ascii="宋体" w:hAnsi="宋体" w:eastAsia="宋体" w:cs="Times New Roman"/>
          <w:szCs w:val="21"/>
          <w:highlight w:val="none"/>
          <w:u w:val="single"/>
        </w:rPr>
      </w:pPr>
      <w:r>
        <w:rPr>
          <w:rFonts w:hint="eastAsia" w:ascii="宋体" w:hAnsi="宋体" w:eastAsia="宋体" w:cs="Times New Roman"/>
          <w:szCs w:val="21"/>
          <w:highlight w:val="none"/>
        </w:rPr>
        <w:t>项目编号：</w:t>
      </w:r>
      <w:r>
        <w:rPr>
          <w:rFonts w:hint="eastAsia" w:ascii="宋体" w:hAnsi="宋体" w:eastAsia="宋体" w:cs="Times New Roman"/>
          <w:szCs w:val="21"/>
          <w:highlight w:val="none"/>
          <w:u w:val="single"/>
        </w:rPr>
        <w:t xml:space="preserve">                        </w:t>
      </w:r>
    </w:p>
    <w:p w14:paraId="686997DB">
      <w:pPr>
        <w:widowControl/>
        <w:adjustRightInd w:val="0"/>
        <w:snapToGrid w:val="0"/>
        <w:spacing w:line="288"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人民币：元</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2751"/>
        <w:gridCol w:w="1717"/>
      </w:tblGrid>
      <w:tr w14:paraId="09913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632" w:type="dxa"/>
            <w:tcBorders>
              <w:tl2br w:val="nil"/>
              <w:tr2bl w:val="nil"/>
            </w:tcBorders>
            <w:vAlign w:val="center"/>
          </w:tcPr>
          <w:p w14:paraId="67768AB3">
            <w:pPr>
              <w:widowControl w:val="0"/>
              <w:adjustRightInd w:val="0"/>
              <w:snapToGrid w:val="0"/>
              <w:spacing w:line="288" w:lineRule="auto"/>
              <w:jc w:val="center"/>
              <w:rPr>
                <w:rFonts w:hint="default"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岗位名称</w:t>
            </w:r>
          </w:p>
        </w:tc>
        <w:tc>
          <w:tcPr>
            <w:tcW w:w="2751" w:type="dxa"/>
            <w:tcBorders>
              <w:tl2br w:val="nil"/>
              <w:tr2bl w:val="nil"/>
            </w:tcBorders>
            <w:vAlign w:val="center"/>
          </w:tcPr>
          <w:p w14:paraId="0EDFB833">
            <w:pPr>
              <w:widowControl w:val="0"/>
              <w:adjustRightInd w:val="0"/>
              <w:snapToGrid w:val="0"/>
              <w:spacing w:line="288" w:lineRule="auto"/>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每候选人服务费</w:t>
            </w:r>
          </w:p>
          <w:p w14:paraId="64812951">
            <w:pPr>
              <w:widowControl w:val="0"/>
              <w:adjustRightInd w:val="0"/>
              <w:snapToGrid w:val="0"/>
              <w:spacing w:line="288" w:lineRule="auto"/>
              <w:jc w:val="center"/>
              <w:rPr>
                <w:rFonts w:hint="default"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含增值税报价（元）</w:t>
            </w:r>
          </w:p>
        </w:tc>
        <w:tc>
          <w:tcPr>
            <w:tcW w:w="1717" w:type="dxa"/>
            <w:tcBorders>
              <w:tl2br w:val="nil"/>
              <w:tr2bl w:val="nil"/>
            </w:tcBorders>
            <w:vAlign w:val="center"/>
          </w:tcPr>
          <w:p w14:paraId="4D6BC109">
            <w:pPr>
              <w:widowControl w:val="0"/>
              <w:adjustRightInd w:val="0"/>
              <w:snapToGrid w:val="0"/>
              <w:spacing w:line="288" w:lineRule="auto"/>
              <w:jc w:val="center"/>
              <w:rPr>
                <w:rFonts w:hint="eastAsia" w:ascii="宋体" w:hAnsi="宋体" w:eastAsia="宋体" w:cs="宋体"/>
                <w:b/>
                <w:bCs/>
                <w:szCs w:val="21"/>
                <w:highlight w:val="none"/>
                <w:vertAlign w:val="baseline"/>
                <w:lang w:val="en-US" w:eastAsia="zh-CN"/>
              </w:rPr>
            </w:pPr>
            <w:r>
              <w:rPr>
                <w:rFonts w:hint="eastAsia" w:ascii="宋体" w:hAnsi="宋体" w:eastAsia="宋体" w:cs="宋体"/>
                <w:b/>
                <w:bCs/>
                <w:szCs w:val="21"/>
                <w:highlight w:val="none"/>
                <w:vertAlign w:val="baseline"/>
                <w:lang w:val="en-US" w:eastAsia="zh-CN"/>
              </w:rPr>
              <w:t>备注</w:t>
            </w:r>
          </w:p>
        </w:tc>
      </w:tr>
      <w:tr w14:paraId="067D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2632" w:type="dxa"/>
            <w:tcBorders>
              <w:tl2br w:val="nil"/>
              <w:tr2bl w:val="nil"/>
            </w:tcBorders>
            <w:vAlign w:val="center"/>
          </w:tcPr>
          <w:p w14:paraId="397E563D">
            <w:pPr>
              <w:widowControl w:val="0"/>
              <w:adjustRightInd w:val="0"/>
              <w:snapToGrid w:val="0"/>
              <w:spacing w:line="288" w:lineRule="auto"/>
              <w:jc w:val="center"/>
              <w:rPr>
                <w:rFonts w:hint="eastAsia" w:ascii="宋体" w:hAnsi="宋体" w:eastAsia="宋体" w:cs="宋体"/>
                <w:szCs w:val="21"/>
                <w:highlight w:val="none"/>
                <w:vertAlign w:val="baseline"/>
              </w:rPr>
            </w:pPr>
            <w:r>
              <w:rPr>
                <w:rFonts w:hint="eastAsia" w:ascii="宋体" w:hAnsi="宋体" w:eastAsia="宋体" w:cs="宋体"/>
                <w:szCs w:val="21"/>
                <w:highlight w:val="none"/>
                <w:vertAlign w:val="baseline"/>
                <w:lang w:val="en-US" w:eastAsia="zh-CN"/>
              </w:rPr>
              <w:t>客户服务岗、风险审核岗、贷后催收岗、外呼岗及中后台支持（数据分析）岗等</w:t>
            </w:r>
          </w:p>
        </w:tc>
        <w:tc>
          <w:tcPr>
            <w:tcW w:w="2751" w:type="dxa"/>
            <w:tcBorders>
              <w:tl2br w:val="nil"/>
              <w:tr2bl w:val="nil"/>
            </w:tcBorders>
            <w:vAlign w:val="center"/>
          </w:tcPr>
          <w:p w14:paraId="30D4F133">
            <w:pPr>
              <w:widowControl w:val="0"/>
              <w:adjustRightInd w:val="0"/>
              <w:snapToGrid w:val="0"/>
              <w:spacing w:line="288" w:lineRule="auto"/>
              <w:jc w:val="center"/>
              <w:rPr>
                <w:rFonts w:hint="eastAsia" w:ascii="宋体" w:hAnsi="宋体" w:eastAsia="宋体" w:cs="宋体"/>
                <w:szCs w:val="21"/>
                <w:highlight w:val="none"/>
                <w:vertAlign w:val="baseline"/>
              </w:rPr>
            </w:pPr>
          </w:p>
        </w:tc>
        <w:tc>
          <w:tcPr>
            <w:tcW w:w="1717" w:type="dxa"/>
            <w:tcBorders>
              <w:tl2br w:val="nil"/>
              <w:tr2bl w:val="nil"/>
            </w:tcBorders>
            <w:vAlign w:val="center"/>
          </w:tcPr>
          <w:p w14:paraId="769A2593">
            <w:pPr>
              <w:widowControl w:val="0"/>
              <w:adjustRightInd w:val="0"/>
              <w:snapToGrid w:val="0"/>
              <w:spacing w:line="288" w:lineRule="auto"/>
              <w:jc w:val="center"/>
              <w:rPr>
                <w:rFonts w:hint="eastAsia" w:ascii="宋体" w:hAnsi="宋体" w:eastAsia="宋体" w:cs="宋体"/>
                <w:szCs w:val="21"/>
                <w:highlight w:val="none"/>
                <w:vertAlign w:val="baseline"/>
              </w:rPr>
            </w:pPr>
          </w:p>
        </w:tc>
      </w:tr>
    </w:tbl>
    <w:p w14:paraId="1C8ABF6F">
      <w:pPr>
        <w:pageBreakBefore w:val="0"/>
        <w:kinsoku/>
        <w:overflowPunct/>
        <w:topLinePunct w:val="0"/>
        <w:autoSpaceDE/>
        <w:autoSpaceDN/>
        <w:bidi w:val="0"/>
        <w:spacing w:line="560" w:lineRule="exact"/>
        <w:ind w:firstLine="422" w:firstLineChars="200"/>
        <w:rPr>
          <w:rFonts w:hint="eastAsia" w:ascii="Times New Roman" w:hAnsi="Times New Roman" w:eastAsia="仿宋" w:cs="仿宋"/>
          <w:b/>
          <w:bCs/>
          <w:smallCaps w:val="0"/>
          <w:sz w:val="21"/>
          <w:szCs w:val="21"/>
          <w:highlight w:val="none"/>
        </w:rPr>
      </w:pPr>
    </w:p>
    <w:p w14:paraId="5544E7A8">
      <w:pPr>
        <w:pageBreakBefore w:val="0"/>
        <w:kinsoku/>
        <w:overflowPunct/>
        <w:topLinePunct w:val="0"/>
        <w:autoSpaceDE/>
        <w:autoSpaceDN/>
        <w:bidi w:val="0"/>
        <w:spacing w:line="560" w:lineRule="exact"/>
        <w:ind w:firstLine="422" w:firstLineChars="200"/>
        <w:rPr>
          <w:rFonts w:hint="eastAsia" w:ascii="Times New Roman" w:hAnsi="Times New Roman" w:eastAsia="仿宋" w:cs="仿宋"/>
          <w:b/>
          <w:bCs/>
          <w:smallCaps w:val="0"/>
          <w:sz w:val="21"/>
          <w:szCs w:val="21"/>
          <w:highlight w:val="none"/>
        </w:rPr>
      </w:pPr>
    </w:p>
    <w:p w14:paraId="5CC6A9C4">
      <w:pPr>
        <w:pageBreakBefore w:val="0"/>
        <w:kinsoku/>
        <w:overflowPunct/>
        <w:topLinePunct w:val="0"/>
        <w:autoSpaceDE/>
        <w:autoSpaceDN/>
        <w:bidi w:val="0"/>
        <w:spacing w:line="560" w:lineRule="exact"/>
        <w:ind w:firstLine="422" w:firstLineChars="200"/>
        <w:rPr>
          <w:rFonts w:hint="eastAsia" w:ascii="Times New Roman" w:hAnsi="Times New Roman" w:eastAsia="仿宋" w:cs="仿宋"/>
          <w:b/>
          <w:bCs/>
          <w:smallCaps w:val="0"/>
          <w:sz w:val="21"/>
          <w:szCs w:val="21"/>
          <w:highlight w:val="none"/>
        </w:rPr>
      </w:pPr>
      <w:r>
        <w:rPr>
          <w:rFonts w:hint="eastAsia" w:ascii="Times New Roman" w:hAnsi="Times New Roman" w:eastAsia="仿宋" w:cs="仿宋"/>
          <w:b/>
          <w:bCs/>
          <w:smallCaps w:val="0"/>
          <w:sz w:val="21"/>
          <w:szCs w:val="21"/>
          <w:highlight w:val="none"/>
        </w:rPr>
        <w:t xml:space="preserve">报价要求： </w:t>
      </w:r>
    </w:p>
    <w:p w14:paraId="71E67C2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rPr>
      </w:pPr>
      <w:r>
        <w:rPr>
          <w:rFonts w:hint="eastAsia" w:ascii="仿宋_GB2312" w:hAnsi="仿宋_GB2312" w:eastAsia="仿宋_GB2312" w:cs="仿宋_GB2312"/>
          <w:bCs/>
          <w:smallCaps w:val="0"/>
          <w:sz w:val="21"/>
          <w:szCs w:val="21"/>
          <w:highlight w:val="none"/>
        </w:rPr>
        <w:t>投标人应按表格如实准确填列，不可缺项、漏项、错项，否则可能导致废标；</w:t>
      </w:r>
    </w:p>
    <w:p w14:paraId="3222B64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rPr>
      </w:pPr>
      <w:r>
        <w:rPr>
          <w:rFonts w:hint="eastAsia" w:ascii="仿宋_GB2312" w:hAnsi="仿宋_GB2312" w:eastAsia="仿宋_GB2312" w:cs="仿宋_GB2312"/>
          <w:bCs/>
          <w:smallCaps w:val="0"/>
          <w:sz w:val="21"/>
          <w:szCs w:val="21"/>
          <w:highlight w:val="none"/>
        </w:rPr>
        <w:t>投标金额大小写不一致的以大写为准。电子文档与纸质文档不一致的以纸质文档为准。正本与副本不一致的以正本为准。总价填列与计算结果不一致的以最终计算与修正结果为准</w:t>
      </w:r>
      <w:r>
        <w:rPr>
          <w:rFonts w:hint="eastAsia" w:ascii="仿宋_GB2312" w:hAnsi="仿宋_GB2312" w:eastAsia="仿宋_GB2312" w:cs="仿宋_GB2312"/>
          <w:bCs/>
          <w:smallCaps w:val="0"/>
          <w:sz w:val="21"/>
          <w:szCs w:val="21"/>
          <w:highlight w:val="none"/>
          <w:lang w:eastAsia="zh-CN"/>
        </w:rPr>
        <w:t>；</w:t>
      </w:r>
    </w:p>
    <w:p w14:paraId="5FE118E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lang w:val="en-US" w:eastAsia="zh-CN"/>
        </w:rPr>
      </w:pPr>
      <w:bookmarkStart w:id="274" w:name="_Toc22763"/>
      <w:bookmarkStart w:id="275" w:name="_Toc14380"/>
      <w:bookmarkStart w:id="276" w:name="_Toc4684"/>
      <w:r>
        <w:rPr>
          <w:rFonts w:hint="eastAsia" w:ascii="仿宋_GB2312" w:hAnsi="仿宋_GB2312" w:eastAsia="仿宋_GB2312" w:cs="仿宋_GB2312"/>
          <w:bCs/>
          <w:smallCaps w:val="0"/>
          <w:sz w:val="21"/>
          <w:szCs w:val="21"/>
          <w:highlight w:val="none"/>
          <w:lang w:val="en-US" w:eastAsia="zh-CN"/>
        </w:rPr>
        <w:t>投标人可以随附其他投标人认为需要对本报价表做出必要补充说明的文件；</w:t>
      </w:r>
      <w:bookmarkEnd w:id="274"/>
      <w:bookmarkEnd w:id="275"/>
      <w:bookmarkEnd w:id="276"/>
    </w:p>
    <w:p w14:paraId="05EEEA55">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lang w:val="en-US" w:eastAsia="zh-CN"/>
        </w:rPr>
      </w:pPr>
      <w:r>
        <w:rPr>
          <w:rFonts w:hint="eastAsia" w:ascii="仿宋_GB2312" w:hAnsi="仿宋_GB2312" w:eastAsia="仿宋_GB2312" w:cs="仿宋_GB2312"/>
          <w:bCs/>
          <w:smallCaps w:val="0"/>
          <w:sz w:val="21"/>
          <w:szCs w:val="21"/>
          <w:highlight w:val="none"/>
          <w:lang w:val="en-US" w:eastAsia="zh-CN"/>
        </w:rPr>
        <w:t>此表应经法定代表人或授权代表人签名，并加盖投标人单位公章，否则无效，作废标处理。</w:t>
      </w:r>
    </w:p>
    <w:p w14:paraId="4F2EC1B6">
      <w:pPr>
        <w:rPr>
          <w:rFonts w:hint="eastAsia" w:ascii="Times New Roman" w:hAnsi="Times New Roman"/>
          <w:smallCaps w:val="0"/>
          <w:highlight w:val="none"/>
          <w:lang w:val="en-US" w:eastAsia="zh-CN"/>
        </w:rPr>
      </w:pPr>
    </w:p>
    <w:p w14:paraId="4B3CEE7D">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lang w:val="en-US" w:eastAsia="zh-CN"/>
        </w:rPr>
      </w:pPr>
    </w:p>
    <w:p w14:paraId="3FA5D06C">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lang w:eastAsia="zh-CN"/>
        </w:rPr>
      </w:pPr>
      <w:r>
        <w:rPr>
          <w:rFonts w:hint="eastAsia" w:ascii="仿宋_GB2312" w:hAnsi="仿宋_GB2312" w:eastAsia="仿宋_GB2312" w:cs="仿宋_GB2312"/>
          <w:b/>
          <w:smallCaps w:val="0"/>
          <w:kern w:val="0"/>
          <w:sz w:val="21"/>
          <w:szCs w:val="21"/>
          <w:highlight w:val="none"/>
          <w:lang w:eastAsia="zh-CN"/>
        </w:rPr>
        <w:t>投标人名称（公章）：</w:t>
      </w:r>
    </w:p>
    <w:p w14:paraId="0105C4ED">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smallCaps w:val="0"/>
          <w:kern w:val="0"/>
          <w:sz w:val="21"/>
          <w:szCs w:val="21"/>
          <w:highlight w:val="none"/>
          <w:lang w:eastAsia="zh-CN"/>
        </w:rPr>
      </w:pPr>
      <w:r>
        <w:rPr>
          <w:rFonts w:hint="eastAsia" w:ascii="仿宋_GB2312" w:hAnsi="仿宋_GB2312" w:eastAsia="仿宋_GB2312" w:cs="仿宋_GB2312"/>
          <w:b/>
          <w:smallCaps w:val="0"/>
          <w:kern w:val="0"/>
          <w:sz w:val="21"/>
          <w:szCs w:val="21"/>
          <w:highlight w:val="none"/>
          <w:lang w:eastAsia="zh-CN"/>
        </w:rPr>
        <w:t>法定代表人（法定授权代表人）签名：</w:t>
      </w:r>
    </w:p>
    <w:p w14:paraId="27F77339">
      <w:pPr>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smallCaps w:val="0"/>
          <w:kern w:val="0"/>
          <w:sz w:val="21"/>
          <w:szCs w:val="21"/>
          <w:highlight w:val="none"/>
          <w:lang w:val="en-US" w:eastAsia="zh-CN"/>
        </w:rPr>
      </w:pPr>
      <w:bookmarkStart w:id="277" w:name="_Toc11411"/>
      <w:bookmarkStart w:id="278" w:name="_Toc5679"/>
      <w:bookmarkStart w:id="279" w:name="_Toc26065"/>
      <w:r>
        <w:rPr>
          <w:rFonts w:hint="eastAsia" w:ascii="仿宋_GB2312" w:hAnsi="仿宋_GB2312" w:eastAsia="仿宋_GB2312" w:cs="仿宋_GB2312"/>
          <w:b/>
          <w:smallCaps w:val="0"/>
          <w:kern w:val="0"/>
          <w:sz w:val="21"/>
          <w:szCs w:val="21"/>
          <w:highlight w:val="none"/>
          <w:lang w:eastAsia="zh-CN"/>
        </w:rPr>
        <w:t>日期：</w:t>
      </w:r>
      <w:bookmarkEnd w:id="277"/>
      <w:bookmarkEnd w:id="278"/>
      <w:bookmarkEnd w:id="279"/>
    </w:p>
    <w:p w14:paraId="269FD975">
      <w:pPr>
        <w:pStyle w:val="8"/>
        <w:rPr>
          <w:rFonts w:hint="default"/>
          <w:highlight w:val="none"/>
          <w:lang w:val="en-US" w:eastAsia="zh-CN"/>
        </w:rPr>
      </w:pPr>
    </w:p>
    <w:p w14:paraId="014ACE95">
      <w:pPr>
        <w:rPr>
          <w:rFonts w:hint="default"/>
          <w:highlight w:val="none"/>
          <w:lang w:val="en-US" w:eastAsia="zh-CN"/>
        </w:rPr>
      </w:pPr>
    </w:p>
    <w:p w14:paraId="3702CBC4">
      <w:pPr>
        <w:pStyle w:val="8"/>
        <w:rPr>
          <w:rFonts w:hint="default"/>
          <w:highlight w:val="none"/>
          <w:lang w:val="en-US" w:eastAsia="zh-CN"/>
        </w:rPr>
      </w:pPr>
    </w:p>
    <w:p w14:paraId="57300E2F">
      <w:pPr>
        <w:rPr>
          <w:rFonts w:hint="default"/>
          <w:highlight w:val="none"/>
          <w:lang w:val="en-US" w:eastAsia="zh-CN"/>
        </w:rPr>
      </w:pPr>
    </w:p>
    <w:p w14:paraId="2AB5405E">
      <w:pPr>
        <w:pStyle w:val="8"/>
        <w:rPr>
          <w:rFonts w:hint="default"/>
          <w:highlight w:val="none"/>
          <w:lang w:val="en-US" w:eastAsia="zh-CN"/>
        </w:rPr>
      </w:pPr>
    </w:p>
    <w:p w14:paraId="72698FAD">
      <w:pPr>
        <w:rPr>
          <w:rFonts w:hint="default"/>
          <w:highlight w:val="none"/>
          <w:lang w:val="en-US" w:eastAsia="zh-CN"/>
        </w:rPr>
      </w:pPr>
    </w:p>
    <w:p w14:paraId="7093A2EB">
      <w:pPr>
        <w:pStyle w:val="8"/>
        <w:rPr>
          <w:rFonts w:hint="default"/>
          <w:highlight w:val="none"/>
          <w:lang w:val="en-US" w:eastAsia="zh-CN"/>
        </w:rPr>
      </w:pPr>
    </w:p>
    <w:p w14:paraId="544B1F37">
      <w:pPr>
        <w:rPr>
          <w:rFonts w:hint="default"/>
          <w:highlight w:val="none"/>
          <w:lang w:val="en-US" w:eastAsia="zh-CN"/>
        </w:rPr>
      </w:pPr>
    </w:p>
    <w:p w14:paraId="1D52A8AF">
      <w:pPr>
        <w:pStyle w:val="8"/>
        <w:rPr>
          <w:rFonts w:hint="default"/>
          <w:highlight w:val="none"/>
          <w:lang w:val="en-US" w:eastAsia="zh-CN"/>
        </w:rPr>
      </w:pPr>
    </w:p>
    <w:p w14:paraId="72665ADE">
      <w:pPr>
        <w:rPr>
          <w:rFonts w:hint="default"/>
          <w:highlight w:val="none"/>
          <w:lang w:val="en-US" w:eastAsia="zh-CN"/>
        </w:rPr>
      </w:pPr>
    </w:p>
    <w:p w14:paraId="43597B13">
      <w:pPr>
        <w:pStyle w:val="8"/>
        <w:rPr>
          <w:rFonts w:hint="default"/>
          <w:highlight w:val="none"/>
          <w:lang w:val="en-US" w:eastAsia="zh-CN"/>
        </w:rPr>
      </w:pPr>
    </w:p>
    <w:p w14:paraId="7F98E7CC">
      <w:pPr>
        <w:rPr>
          <w:rFonts w:hint="default"/>
          <w:highlight w:val="none"/>
          <w:lang w:val="en-US" w:eastAsia="zh-CN"/>
        </w:rPr>
      </w:pPr>
      <w:r>
        <w:rPr>
          <w:rFonts w:hint="default"/>
          <w:highlight w:val="none"/>
          <w:lang w:val="en-US" w:eastAsia="zh-CN"/>
        </w:rPr>
        <w:br w:type="page"/>
      </w:r>
    </w:p>
    <w:p w14:paraId="1FDD2C15">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outlineLvl w:val="0"/>
        <w:rPr>
          <w:rFonts w:hint="eastAsia" w:ascii="仿宋" w:hAnsi="仿宋" w:eastAsia="仿宋" w:cs="仿宋"/>
          <w:b w:val="0"/>
          <w:bCs/>
          <w:sz w:val="24"/>
          <w:szCs w:val="24"/>
          <w:highlight w:val="none"/>
          <w:lang w:val="zh-CN"/>
        </w:rPr>
      </w:pPr>
      <w:bookmarkStart w:id="280" w:name="_Toc13719"/>
      <w:bookmarkStart w:id="281" w:name="_Toc12396"/>
      <w:r>
        <w:rPr>
          <w:rFonts w:hint="eastAsia" w:ascii="仿宋" w:hAnsi="仿宋" w:eastAsia="仿宋" w:cs="仿宋"/>
          <w:b w:val="0"/>
          <w:bCs/>
          <w:sz w:val="24"/>
          <w:szCs w:val="24"/>
          <w:highlight w:val="none"/>
          <w:lang w:val="en-US" w:eastAsia="zh-CN"/>
        </w:rPr>
        <w:t>格式8</w:t>
      </w:r>
      <w:r>
        <w:rPr>
          <w:rFonts w:hint="eastAsia" w:ascii="仿宋" w:hAnsi="仿宋" w:eastAsia="仿宋" w:cs="仿宋"/>
          <w:b w:val="0"/>
          <w:bCs/>
          <w:sz w:val="24"/>
          <w:szCs w:val="24"/>
          <w:highlight w:val="none"/>
          <w:lang w:val="zh-CN"/>
        </w:rPr>
        <w:t>：</w:t>
      </w:r>
      <w:r>
        <w:rPr>
          <w:rFonts w:hint="eastAsia" w:ascii="仿宋" w:hAnsi="仿宋" w:eastAsia="仿宋" w:cs="仿宋"/>
          <w:b w:val="0"/>
          <w:bCs/>
          <w:sz w:val="24"/>
          <w:szCs w:val="24"/>
          <w:highlight w:val="none"/>
          <w:lang w:val="en-US" w:eastAsia="zh-CN"/>
        </w:rPr>
        <w:t>廉洁</w:t>
      </w:r>
      <w:r>
        <w:rPr>
          <w:rFonts w:hint="eastAsia" w:ascii="仿宋" w:hAnsi="仿宋" w:eastAsia="仿宋" w:cs="仿宋"/>
          <w:b w:val="0"/>
          <w:bCs/>
          <w:sz w:val="24"/>
          <w:szCs w:val="24"/>
          <w:highlight w:val="none"/>
          <w:lang w:val="zh-CN"/>
        </w:rPr>
        <w:t>承诺函</w:t>
      </w:r>
      <w:bookmarkEnd w:id="260"/>
      <w:bookmarkEnd w:id="273"/>
      <w:bookmarkEnd w:id="280"/>
      <w:bookmarkEnd w:id="281"/>
    </w:p>
    <w:p w14:paraId="02FA32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廉洁</w:t>
      </w:r>
      <w:r>
        <w:rPr>
          <w:rFonts w:hint="eastAsia" w:ascii="方正小标宋简体" w:hAnsi="方正小标宋简体" w:eastAsia="方正小标宋简体" w:cs="方正小标宋简体"/>
          <w:b w:val="0"/>
          <w:bCs/>
          <w:sz w:val="44"/>
          <w:szCs w:val="44"/>
          <w:highlight w:val="none"/>
        </w:rPr>
        <w:t>承诺函</w:t>
      </w:r>
    </w:p>
    <w:p w14:paraId="5D07CCC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致 深圳市鹏劳人力资源管理有限公司：</w:t>
      </w:r>
    </w:p>
    <w:p w14:paraId="5E09975D">
      <w:pPr>
        <w:keepNext w:val="0"/>
        <w:keepLines w:val="0"/>
        <w:pageBreakBefore w:val="0"/>
        <w:widowControl/>
        <w:kinsoku/>
        <w:wordWrap w:val="0"/>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我司有意参与贵司【</w:t>
      </w:r>
      <w:r>
        <w:rPr>
          <w:rFonts w:hint="eastAsia" w:ascii="仿宋_GB2312" w:hAnsi="仿宋_GB2312" w:eastAsia="仿宋_GB2312" w:cs="仿宋_GB2312"/>
          <w:b w:val="0"/>
          <w:bCs/>
          <w:sz w:val="24"/>
          <w:szCs w:val="24"/>
          <w:highlight w:val="none"/>
          <w:lang w:val="en-US" w:eastAsia="zh-CN"/>
        </w:rPr>
        <w:t>2026-2028年度某互联网银行外包项目招聘服务项目</w:t>
      </w:r>
      <w:r>
        <w:rPr>
          <w:rFonts w:hint="eastAsia" w:ascii="Times New Roman" w:hAnsi="Times New Roman" w:eastAsia="仿宋_GB2312" w:cs="仿宋_GB2312"/>
          <w:b w:val="0"/>
          <w:bCs/>
          <w:sz w:val="24"/>
          <w:szCs w:val="24"/>
          <w:highlight w:val="none"/>
        </w:rPr>
        <w:t>】</w:t>
      </w:r>
      <w:r>
        <w:rPr>
          <w:rFonts w:hint="eastAsia" w:ascii="Times New Roman" w:hAnsi="Times New Roman" w:eastAsia="仿宋_GB2312" w:cs="仿宋_GB2312"/>
          <w:b w:val="0"/>
          <w:bCs/>
          <w:sz w:val="24"/>
          <w:szCs w:val="24"/>
          <w:highlight w:val="none"/>
          <w:lang w:eastAsia="zh-CN"/>
        </w:rPr>
        <w:t>（项目编号</w:t>
      </w:r>
      <w:r>
        <w:rPr>
          <w:rFonts w:hint="eastAsia" w:ascii="Times New Roman" w:hAnsi="Times New Roman" w:eastAsia="仿宋_GB2312" w:cs="仿宋_GB2312"/>
          <w:b w:val="0"/>
          <w:bCs/>
          <w:sz w:val="24"/>
          <w:szCs w:val="24"/>
          <w:highlight w:val="none"/>
          <w:lang w:val="en-US" w:eastAsia="zh-CN"/>
        </w:rPr>
        <w:t>PLHR-ZB-FW-202603</w:t>
      </w:r>
      <w:r>
        <w:rPr>
          <w:rFonts w:hint="eastAsia" w:ascii="Times New Roman" w:hAnsi="Times New Roman"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投标，为保证招投标工作的公平公正及充分竞争，在此，我司郑重承诺如下：</w:t>
      </w:r>
    </w:p>
    <w:p w14:paraId="5C074F2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一、我司承诺在投标过程中对于如下行为坚决抵制并向贵司及时通报：</w:t>
      </w:r>
    </w:p>
    <w:p w14:paraId="155F9F4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1.招标人或招标相关单位人员利用职务上的便利，自行或通过他人向我司推荐供应商（分包商）；</w:t>
      </w:r>
    </w:p>
    <w:p w14:paraId="1E42E31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2.其他投标参与方自行或委托他人私下与我司联系串通投标事宜；</w:t>
      </w:r>
    </w:p>
    <w:p w14:paraId="6130235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3.招标人及招标相关单位的人员在招标投标过程中，人为设置障碍，索要或暗示索要现金、股票、股权、各种有价证券、支付凭证或贵重物品等。</w:t>
      </w:r>
    </w:p>
    <w:p w14:paraId="025F9D0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二、我司承诺依法合规参与本项目竞争，严格本公司投标代表及相关员工管理，具体内容如下：</w:t>
      </w:r>
    </w:p>
    <w:p w14:paraId="6248A3F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1.我司不会以任何理由任何方式进行串通投标等不正当竞争的违法违规行为；</w:t>
      </w:r>
    </w:p>
    <w:p w14:paraId="3889CEA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2.我司或我司员工不以任何理由任何方式，向贵司及招标相关单位的人员赠送现金、股票、股权、各种有价证券、支付凭证或贵重物品等；</w:t>
      </w:r>
    </w:p>
    <w:p w14:paraId="1ED6A4AE">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3.我司或我司员工不以任何理由任何方式，向贵司及招标相关单位的人员发出健身、娱乐活动的邀请，或对贵司及招标相关单位的人员进行超标准接待；</w:t>
      </w:r>
    </w:p>
    <w:p w14:paraId="789359A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4.参与贵司项目投标及与投标相关的交流调研过程中，我司保证向贵司所提供信息的真实性和准确性，且不会将拟投标项目进行任何形式的转包或挂靠。</w:t>
      </w:r>
    </w:p>
    <w:p w14:paraId="2FEB7A2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14:paraId="07FF57F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6.我司及我司派出的投标代表及工作人员授权贵司对本项目下我司投标工作进行监督，在贵司办公场所内合理使用包括录音录像、派员监督等手段开展监督工作。</w:t>
      </w:r>
    </w:p>
    <w:p w14:paraId="480110A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7.如果我司中标，将严格遵照本项目招标文件需求、投标承诺及合同约定做到诚信履约，为贵司提供最优服务；</w:t>
      </w:r>
    </w:p>
    <w:p w14:paraId="77F501D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8.我司已认真核实了投标文件的全部资料，所有资料均为真实资料。我公司对投标文件中全部投标资料的真实性负责。</w:t>
      </w:r>
    </w:p>
    <w:p w14:paraId="755D96E4">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以上承诺，如有违反，我司将配合贵司进行调查和严肃处理，并自行承担不能参与本项目投标或承包本项目的资格</w:t>
      </w:r>
      <w:r>
        <w:rPr>
          <w:rFonts w:hint="eastAsia" w:ascii="仿宋_GB2312" w:hAnsi="仿宋_GB2312" w:eastAsia="仿宋_GB2312" w:cs="仿宋_GB2312"/>
          <w:b w:val="0"/>
          <w:bCs/>
          <w:sz w:val="24"/>
          <w:szCs w:val="24"/>
          <w:highlight w:val="none"/>
          <w:lang w:eastAsia="zh-CN"/>
        </w:rPr>
        <w:t>，以及</w:t>
      </w:r>
      <w:r>
        <w:rPr>
          <w:rFonts w:hint="eastAsia" w:ascii="仿宋_GB2312" w:hAnsi="仿宋_GB2312" w:eastAsia="仿宋_GB2312" w:cs="仿宋_GB2312"/>
          <w:b w:val="0"/>
          <w:bCs/>
          <w:sz w:val="24"/>
          <w:szCs w:val="24"/>
          <w:highlight w:val="none"/>
        </w:rPr>
        <w:t>今后可能不能参加贵司其他项目的投标、无法进入贵司供应商库等一切不利后果，并承担由此给贵司带来的损失。</w:t>
      </w:r>
    </w:p>
    <w:p w14:paraId="64FDC3E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68D9787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6802F21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3BABA08A">
      <w:pPr>
        <w:keepNext w:val="0"/>
        <w:keepLines w:val="0"/>
        <w:pageBreakBefore w:val="0"/>
        <w:widowControl/>
        <w:kinsoku/>
        <w:wordWrap/>
        <w:overflowPunct/>
        <w:topLinePunct w:val="0"/>
        <w:autoSpaceDE/>
        <w:autoSpaceDN/>
        <w:bidi w:val="0"/>
        <w:adjustRightInd/>
        <w:snapToGrid/>
        <w:spacing w:line="56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0E169E34">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投标</w:t>
      </w:r>
      <w:r>
        <w:rPr>
          <w:rFonts w:hint="eastAsia" w:ascii="仿宋_GB2312" w:hAnsi="仿宋_GB2312" w:eastAsia="仿宋_GB2312" w:cs="仿宋_GB2312"/>
          <w:b/>
          <w:bCs w:val="0"/>
          <w:kern w:val="0"/>
          <w:sz w:val="21"/>
          <w:szCs w:val="21"/>
          <w:highlight w:val="none"/>
          <w:lang w:eastAsia="zh-CN"/>
        </w:rPr>
        <w:t>人</w:t>
      </w:r>
      <w:r>
        <w:rPr>
          <w:rFonts w:hint="eastAsia" w:ascii="仿宋_GB2312" w:hAnsi="仿宋_GB2312" w:eastAsia="仿宋_GB2312" w:cs="仿宋_GB2312"/>
          <w:b/>
          <w:bCs w:val="0"/>
          <w:kern w:val="0"/>
          <w:sz w:val="21"/>
          <w:szCs w:val="21"/>
          <w:highlight w:val="none"/>
        </w:rPr>
        <w:t>（公章）：</w:t>
      </w:r>
    </w:p>
    <w:p w14:paraId="3AE328A6">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法定代表人（法定授权代表人）签名：</w:t>
      </w:r>
    </w:p>
    <w:p w14:paraId="03D8DB83">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kern w:val="0"/>
          <w:sz w:val="21"/>
          <w:szCs w:val="21"/>
          <w:highlight w:val="none"/>
        </w:rPr>
      </w:pPr>
      <w:r>
        <w:rPr>
          <w:rFonts w:hint="eastAsia" w:ascii="仿宋_GB2312" w:hAnsi="仿宋_GB2312" w:eastAsia="仿宋_GB2312" w:cs="仿宋_GB2312"/>
          <w:b/>
          <w:bCs w:val="0"/>
          <w:kern w:val="0"/>
          <w:sz w:val="21"/>
          <w:szCs w:val="21"/>
          <w:highlight w:val="none"/>
        </w:rPr>
        <w:t>日期：</w:t>
      </w:r>
    </w:p>
    <w:p w14:paraId="305E5651">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p>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C55D">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437AA">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D7437AA">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A221">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B58811">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3FB58811">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D1E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EDF2E9">
                          <w:pPr>
                            <w:pStyle w:val="12"/>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DEDF2E9">
                    <w:pPr>
                      <w:pStyle w:val="12"/>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C511">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669B02">
                          <w:pPr>
                            <w:pStyle w:val="12"/>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0669B02">
                    <w:pPr>
                      <w:pStyle w:val="12"/>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22F1">
    <w:pPr>
      <w:pStyle w:val="13"/>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3719">
    <w:pPr>
      <w:pStyle w:val="13"/>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cs="宋体"/>
        <w:b/>
        <w:bCs/>
        <w:lang w:val="en-US" w:eastAsia="zh-CN"/>
      </w:rPr>
      <w:t>PLHR-ZB-FW-202603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23CA1">
    <w:pPr>
      <w:pStyle w:val="13"/>
      <w:tabs>
        <w:tab w:val="left" w:pos="323"/>
      </w:tabs>
      <w:jc w:val="right"/>
      <w:rPr>
        <w:rFonts w:hint="eastAsia" w:asciiTheme="minorEastAsia" w:hAnsiTheme="minorEastAsia" w:eastAsiaTheme="minorEastAsia"/>
        <w:b/>
        <w:lang w:val="en-US" w:eastAsia="zh-CN"/>
      </w:rPr>
    </w:pPr>
    <w:r>
      <w:rPr>
        <w:rFonts w:ascii="宋体" w:hAnsi="宋体"/>
      </w:rPr>
      <w:drawing>
        <wp:anchor distT="0" distB="0" distL="114300" distR="114300" simplePos="0" relativeHeight="251662336" behindDoc="0" locked="0" layoutInCell="1" allowOverlap="1">
          <wp:simplePos x="0" y="0"/>
          <wp:positionH relativeFrom="column">
            <wp:posOffset>52070</wp:posOffset>
          </wp:positionH>
          <wp:positionV relativeFrom="paragraph">
            <wp:posOffset>-121285</wp:posOffset>
          </wp:positionV>
          <wp:extent cx="1701800" cy="202565"/>
          <wp:effectExtent l="0" t="0" r="5080" b="1079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lang w:eastAsia="zh-CN"/>
      </w:rPr>
      <w:t>PLHR-ZB-FW-202603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972A">
    <w:pPr>
      <w:pStyle w:val="13"/>
      <w:tabs>
        <w:tab w:val="left" w:pos="323"/>
      </w:tabs>
      <w:jc w:val="right"/>
      <w:rPr>
        <w:rFonts w:hint="eastAsia" w:asciiTheme="minorEastAsia" w:hAnsiTheme="minorEastAsia" w:eastAsiaTheme="minorEastAsia"/>
        <w:b/>
        <w:lang w:val="en-US" w:eastAsia="zh-CN"/>
      </w:rPr>
    </w:pPr>
    <w:r>
      <w:rPr>
        <w:rFonts w:ascii="宋体" w:hAnsi="宋体"/>
      </w:rPr>
      <w:drawing>
        <wp:anchor distT="0" distB="0" distL="114300" distR="114300" simplePos="0" relativeHeight="251662336"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lang w:eastAsia="zh-CN"/>
      </w:rPr>
      <w:t>PLHR-ZB-FW-202603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99962"/>
    <w:multiLevelType w:val="singleLevel"/>
    <w:tmpl w:val="A2A99962"/>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
    <w:nsid w:val="B09103A6"/>
    <w:multiLevelType w:val="singleLevel"/>
    <w:tmpl w:val="B09103A6"/>
    <w:lvl w:ilvl="0" w:tentative="0">
      <w:start w:val="1"/>
      <w:numFmt w:val="decimal"/>
      <w:suff w:val="nothing"/>
      <w:lvlText w:val="%1."/>
      <w:lvlJc w:val="left"/>
      <w:rPr>
        <w:rFonts w:hint="default" w:ascii="仿宋" w:hAnsi="仿宋" w:eastAsia="仿宋" w:cs="仿宋"/>
        <w:sz w:val="21"/>
        <w:szCs w:val="21"/>
      </w:rPr>
    </w:lvl>
  </w:abstractNum>
  <w:abstractNum w:abstractNumId="2">
    <w:nsid w:val="DAA79E7F"/>
    <w:multiLevelType w:val="singleLevel"/>
    <w:tmpl w:val="DAA79E7F"/>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3">
    <w:nsid w:val="EF63AE51"/>
    <w:multiLevelType w:val="singleLevel"/>
    <w:tmpl w:val="EF63AE51"/>
    <w:lvl w:ilvl="0" w:tentative="0">
      <w:start w:val="1"/>
      <w:numFmt w:val="chineseCounting"/>
      <w:suff w:val="nothing"/>
      <w:lvlText w:val="%1、"/>
      <w:lvlJc w:val="left"/>
      <w:pPr>
        <w:ind w:left="0" w:firstLine="420"/>
      </w:pPr>
      <w:rPr>
        <w:rFonts w:hint="eastAsia"/>
      </w:rPr>
    </w:lvl>
  </w:abstractNum>
  <w:abstractNum w:abstractNumId="4">
    <w:nsid w:val="1E761372"/>
    <w:multiLevelType w:val="singleLevel"/>
    <w:tmpl w:val="1E761372"/>
    <w:lvl w:ilvl="0" w:tentative="0">
      <w:start w:val="1"/>
      <w:numFmt w:val="decimal"/>
      <w:suff w:val="nothing"/>
      <w:lvlText w:val="%1."/>
      <w:lvlJc w:val="left"/>
    </w:lvl>
  </w:abstractNum>
  <w:abstractNum w:abstractNumId="5">
    <w:nsid w:val="1F44EF15"/>
    <w:multiLevelType w:val="singleLevel"/>
    <w:tmpl w:val="1F44EF15"/>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6">
    <w:nsid w:val="3F365E95"/>
    <w:multiLevelType w:val="singleLevel"/>
    <w:tmpl w:val="3F365E95"/>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abstractNum w:abstractNumId="7">
    <w:nsid w:val="658CD543"/>
    <w:multiLevelType w:val="singleLevel"/>
    <w:tmpl w:val="658CD543"/>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8">
    <w:nsid w:val="67754BEE"/>
    <w:multiLevelType w:val="singleLevel"/>
    <w:tmpl w:val="67754BEE"/>
    <w:lvl w:ilvl="0" w:tentative="0">
      <w:start w:val="1"/>
      <w:numFmt w:val="chineseCounting"/>
      <w:suff w:val="nothing"/>
      <w:lvlText w:val="%1、"/>
      <w:lvlJc w:val="left"/>
      <w:pPr>
        <w:ind w:left="0" w:firstLine="420"/>
      </w:pPr>
      <w:rPr>
        <w:rFonts w:hint="eastAsia"/>
      </w:rPr>
    </w:lvl>
  </w:abstractNum>
  <w:num w:numId="1">
    <w:abstractNumId w:val="1"/>
  </w:num>
  <w:num w:numId="2">
    <w:abstractNumId w:val="7"/>
  </w:num>
  <w:num w:numId="3">
    <w:abstractNumId w:val="0"/>
  </w:num>
  <w:num w:numId="4">
    <w:abstractNumId w:val="6"/>
  </w:num>
  <w:num w:numId="5">
    <w:abstractNumId w:val="3"/>
  </w:num>
  <w:num w:numId="6">
    <w:abstractNumId w:val="8"/>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13E6387"/>
    <w:rsid w:val="01BE2D3A"/>
    <w:rsid w:val="01E76357"/>
    <w:rsid w:val="02796667"/>
    <w:rsid w:val="02796C38"/>
    <w:rsid w:val="028D4356"/>
    <w:rsid w:val="02C25069"/>
    <w:rsid w:val="03AB0B5E"/>
    <w:rsid w:val="043064BE"/>
    <w:rsid w:val="044F0706"/>
    <w:rsid w:val="05542C19"/>
    <w:rsid w:val="05B42F17"/>
    <w:rsid w:val="062D1159"/>
    <w:rsid w:val="064E72CB"/>
    <w:rsid w:val="07420EFB"/>
    <w:rsid w:val="085E31B3"/>
    <w:rsid w:val="08743E10"/>
    <w:rsid w:val="08C004F9"/>
    <w:rsid w:val="0966500F"/>
    <w:rsid w:val="0A1D4DDB"/>
    <w:rsid w:val="0AA43652"/>
    <w:rsid w:val="0B071D3B"/>
    <w:rsid w:val="0B230CC9"/>
    <w:rsid w:val="0B2C3E39"/>
    <w:rsid w:val="0B574C3D"/>
    <w:rsid w:val="0BD87910"/>
    <w:rsid w:val="0BF56037"/>
    <w:rsid w:val="0C1817EE"/>
    <w:rsid w:val="0CD53EF2"/>
    <w:rsid w:val="0D7B27B4"/>
    <w:rsid w:val="0E33493E"/>
    <w:rsid w:val="0EA224A6"/>
    <w:rsid w:val="0EE46EDC"/>
    <w:rsid w:val="0EF46860"/>
    <w:rsid w:val="108607A4"/>
    <w:rsid w:val="11FB5E9B"/>
    <w:rsid w:val="129B3361"/>
    <w:rsid w:val="12F301FC"/>
    <w:rsid w:val="131342D8"/>
    <w:rsid w:val="13B22D96"/>
    <w:rsid w:val="147C1514"/>
    <w:rsid w:val="14BD572E"/>
    <w:rsid w:val="14ED1B84"/>
    <w:rsid w:val="15004E24"/>
    <w:rsid w:val="168C6693"/>
    <w:rsid w:val="18695096"/>
    <w:rsid w:val="19FC062E"/>
    <w:rsid w:val="1BA35871"/>
    <w:rsid w:val="1D932605"/>
    <w:rsid w:val="1DA84351"/>
    <w:rsid w:val="1DE72710"/>
    <w:rsid w:val="1F3A1D86"/>
    <w:rsid w:val="1F685A8C"/>
    <w:rsid w:val="1F8B28FD"/>
    <w:rsid w:val="1FFD3960"/>
    <w:rsid w:val="21533FA5"/>
    <w:rsid w:val="216806DC"/>
    <w:rsid w:val="217369AA"/>
    <w:rsid w:val="2239141C"/>
    <w:rsid w:val="24997443"/>
    <w:rsid w:val="24E57241"/>
    <w:rsid w:val="25205E55"/>
    <w:rsid w:val="25245062"/>
    <w:rsid w:val="255E4015"/>
    <w:rsid w:val="25933990"/>
    <w:rsid w:val="26FB67A0"/>
    <w:rsid w:val="275A6547"/>
    <w:rsid w:val="27D1591C"/>
    <w:rsid w:val="27EF167A"/>
    <w:rsid w:val="27F17340"/>
    <w:rsid w:val="28037CAD"/>
    <w:rsid w:val="28C10B35"/>
    <w:rsid w:val="296D37AE"/>
    <w:rsid w:val="2A091DAE"/>
    <w:rsid w:val="2A191AFE"/>
    <w:rsid w:val="2AAE49A7"/>
    <w:rsid w:val="2AC360BC"/>
    <w:rsid w:val="2AFB1659"/>
    <w:rsid w:val="2B4B1A6A"/>
    <w:rsid w:val="2BD730B9"/>
    <w:rsid w:val="2C8C2CFD"/>
    <w:rsid w:val="2CBD7E51"/>
    <w:rsid w:val="2CEA52EC"/>
    <w:rsid w:val="2D8F15A8"/>
    <w:rsid w:val="2DBB7AE0"/>
    <w:rsid w:val="2E294A91"/>
    <w:rsid w:val="2EBE07DF"/>
    <w:rsid w:val="2EC91786"/>
    <w:rsid w:val="31753530"/>
    <w:rsid w:val="331F4BF5"/>
    <w:rsid w:val="337234DE"/>
    <w:rsid w:val="33BE59CB"/>
    <w:rsid w:val="33C55700"/>
    <w:rsid w:val="3432440C"/>
    <w:rsid w:val="351E5DF2"/>
    <w:rsid w:val="370F3B17"/>
    <w:rsid w:val="376D5FE8"/>
    <w:rsid w:val="3982033E"/>
    <w:rsid w:val="3A125089"/>
    <w:rsid w:val="3A793D27"/>
    <w:rsid w:val="3ADA6F7F"/>
    <w:rsid w:val="3ADD2D66"/>
    <w:rsid w:val="3B09611B"/>
    <w:rsid w:val="3B2253B3"/>
    <w:rsid w:val="3B885799"/>
    <w:rsid w:val="3C2D1CCA"/>
    <w:rsid w:val="3E093008"/>
    <w:rsid w:val="3EAA6D4C"/>
    <w:rsid w:val="3EE200BE"/>
    <w:rsid w:val="3F993ED1"/>
    <w:rsid w:val="409560A1"/>
    <w:rsid w:val="40B84367"/>
    <w:rsid w:val="41F4042C"/>
    <w:rsid w:val="4315253F"/>
    <w:rsid w:val="441445A5"/>
    <w:rsid w:val="44F83D3F"/>
    <w:rsid w:val="45004A76"/>
    <w:rsid w:val="4541644A"/>
    <w:rsid w:val="45BB0389"/>
    <w:rsid w:val="45C66315"/>
    <w:rsid w:val="45C93A36"/>
    <w:rsid w:val="461C195B"/>
    <w:rsid w:val="46CC00B3"/>
    <w:rsid w:val="48677399"/>
    <w:rsid w:val="494D65CE"/>
    <w:rsid w:val="49EA3854"/>
    <w:rsid w:val="4A0C76A8"/>
    <w:rsid w:val="4A387393"/>
    <w:rsid w:val="4B461F8B"/>
    <w:rsid w:val="4C5222CE"/>
    <w:rsid w:val="4CD50D05"/>
    <w:rsid w:val="4CEC3B57"/>
    <w:rsid w:val="4D8B3615"/>
    <w:rsid w:val="4DF304AA"/>
    <w:rsid w:val="4FDE2637"/>
    <w:rsid w:val="51B53A19"/>
    <w:rsid w:val="533B3C42"/>
    <w:rsid w:val="540248C2"/>
    <w:rsid w:val="549C36B3"/>
    <w:rsid w:val="54D5111E"/>
    <w:rsid w:val="55002A03"/>
    <w:rsid w:val="559E7982"/>
    <w:rsid w:val="57125615"/>
    <w:rsid w:val="57E570B8"/>
    <w:rsid w:val="5852060C"/>
    <w:rsid w:val="58917CB1"/>
    <w:rsid w:val="58E66C0D"/>
    <w:rsid w:val="5B047F0A"/>
    <w:rsid w:val="5C6869A5"/>
    <w:rsid w:val="5CF72754"/>
    <w:rsid w:val="5D857EC0"/>
    <w:rsid w:val="5E1614EB"/>
    <w:rsid w:val="5E746CF5"/>
    <w:rsid w:val="5E8E6C8B"/>
    <w:rsid w:val="5EB33D53"/>
    <w:rsid w:val="5F9B218C"/>
    <w:rsid w:val="5FC84046"/>
    <w:rsid w:val="60B06CD0"/>
    <w:rsid w:val="613B7DD9"/>
    <w:rsid w:val="61827A74"/>
    <w:rsid w:val="626F619A"/>
    <w:rsid w:val="639D4431"/>
    <w:rsid w:val="63A212F2"/>
    <w:rsid w:val="63AE76AA"/>
    <w:rsid w:val="6414183A"/>
    <w:rsid w:val="64282DDB"/>
    <w:rsid w:val="647C5E68"/>
    <w:rsid w:val="64F007CB"/>
    <w:rsid w:val="651B2134"/>
    <w:rsid w:val="65F21201"/>
    <w:rsid w:val="662A1B70"/>
    <w:rsid w:val="66D86F20"/>
    <w:rsid w:val="672F4C7D"/>
    <w:rsid w:val="684A72DA"/>
    <w:rsid w:val="68694610"/>
    <w:rsid w:val="686B28E3"/>
    <w:rsid w:val="68E20344"/>
    <w:rsid w:val="68F1651C"/>
    <w:rsid w:val="69804A02"/>
    <w:rsid w:val="6A146F17"/>
    <w:rsid w:val="6B543B20"/>
    <w:rsid w:val="6C0B5F9A"/>
    <w:rsid w:val="6D07335C"/>
    <w:rsid w:val="6D4E7199"/>
    <w:rsid w:val="6E5102B2"/>
    <w:rsid w:val="6EDE525E"/>
    <w:rsid w:val="6FCB4BA5"/>
    <w:rsid w:val="70247D58"/>
    <w:rsid w:val="70511590"/>
    <w:rsid w:val="70CE364A"/>
    <w:rsid w:val="713C715A"/>
    <w:rsid w:val="72EE4600"/>
    <w:rsid w:val="73872CBC"/>
    <w:rsid w:val="73D36EF9"/>
    <w:rsid w:val="73F3494A"/>
    <w:rsid w:val="74F03968"/>
    <w:rsid w:val="752F291E"/>
    <w:rsid w:val="76F03300"/>
    <w:rsid w:val="77281D83"/>
    <w:rsid w:val="7772105E"/>
    <w:rsid w:val="78B05D3C"/>
    <w:rsid w:val="78D36201"/>
    <w:rsid w:val="79BE23B3"/>
    <w:rsid w:val="7B1D0A2E"/>
    <w:rsid w:val="7C2707B8"/>
    <w:rsid w:val="7C6D04EB"/>
    <w:rsid w:val="7D3923AB"/>
    <w:rsid w:val="7D400FFE"/>
    <w:rsid w:val="7D5F181E"/>
    <w:rsid w:val="7E1F3218"/>
    <w:rsid w:val="7E5C4446"/>
    <w:rsid w:val="7F1B7E56"/>
    <w:rsid w:val="7FBF4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toc 3"/>
    <w:basedOn w:val="1"/>
    <w:next w:val="1"/>
    <w:qFormat/>
    <w:uiPriority w:val="39"/>
    <w:pPr>
      <w:ind w:left="840" w:leftChars="400"/>
    </w:pPr>
  </w:style>
  <w:style w:type="paragraph" w:styleId="10">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11">
    <w:name w:val="Balloon Text"/>
    <w:basedOn w:val="1"/>
    <w:link w:val="33"/>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4">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5">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6">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19"/>
    <w:qFormat/>
    <w:uiPriority w:val="0"/>
    <w:rPr>
      <w:color w:val="0000FF"/>
      <w:u w:val="single"/>
    </w:rPr>
  </w:style>
  <w:style w:type="paragraph" w:styleId="23">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4">
    <w:name w:val="标题1"/>
    <w:qFormat/>
    <w:uiPriority w:val="0"/>
  </w:style>
  <w:style w:type="paragraph" w:customStyle="1" w:styleId="25">
    <w:name w:val="1"/>
    <w:basedOn w:val="1"/>
    <w:qFormat/>
    <w:uiPriority w:val="0"/>
    <w:pPr>
      <w:spacing w:beforeLines="50" w:afterLines="50"/>
    </w:pPr>
    <w:rPr>
      <w:rFonts w:ascii="微软雅黑" w:hAnsi="微软雅黑" w:eastAsia="微软雅黑"/>
      <w:b/>
      <w:sz w:val="18"/>
      <w:szCs w:val="18"/>
    </w:rPr>
  </w:style>
  <w:style w:type="paragraph" w:customStyle="1" w:styleId="26">
    <w:name w:val="Default Text"/>
    <w:basedOn w:val="1"/>
    <w:qFormat/>
    <w:uiPriority w:val="0"/>
    <w:pPr>
      <w:autoSpaceDE w:val="0"/>
      <w:autoSpaceDN w:val="0"/>
      <w:adjustRightInd w:val="0"/>
      <w:jc w:val="left"/>
    </w:pPr>
    <w:rPr>
      <w:kern w:val="0"/>
      <w:sz w:val="24"/>
      <w:szCs w:val="24"/>
    </w:rPr>
  </w:style>
  <w:style w:type="character" w:customStyle="1" w:styleId="27">
    <w:name w:val="font21"/>
    <w:basedOn w:val="19"/>
    <w:qFormat/>
    <w:uiPriority w:val="0"/>
    <w:rPr>
      <w:rFonts w:hint="default" w:ascii="Arial" w:hAnsi="Arial" w:cs="Arial"/>
      <w:color w:val="000000"/>
      <w:sz w:val="18"/>
      <w:szCs w:val="18"/>
      <w:u w:val="none"/>
    </w:rPr>
  </w:style>
  <w:style w:type="character" w:customStyle="1" w:styleId="28">
    <w:name w:val="font41"/>
    <w:basedOn w:val="19"/>
    <w:qFormat/>
    <w:uiPriority w:val="0"/>
    <w:rPr>
      <w:rFonts w:hint="eastAsia" w:ascii="宋体" w:hAnsi="宋体" w:eastAsia="宋体" w:cs="宋体"/>
      <w:color w:val="000000"/>
      <w:sz w:val="18"/>
      <w:szCs w:val="18"/>
      <w:u w:val="none"/>
    </w:rPr>
  </w:style>
  <w:style w:type="character" w:customStyle="1" w:styleId="29">
    <w:name w:val="font11"/>
    <w:basedOn w:val="19"/>
    <w:qFormat/>
    <w:uiPriority w:val="0"/>
    <w:rPr>
      <w:rFonts w:ascii="Arial" w:hAnsi="Arial" w:cs="Arial"/>
      <w:color w:val="000000"/>
      <w:sz w:val="18"/>
      <w:szCs w:val="18"/>
      <w:u w:val="none"/>
    </w:rPr>
  </w:style>
  <w:style w:type="character" w:customStyle="1" w:styleId="30">
    <w:name w:val="font31"/>
    <w:basedOn w:val="19"/>
    <w:qFormat/>
    <w:uiPriority w:val="0"/>
    <w:rPr>
      <w:rFonts w:hint="eastAsia" w:ascii="宋体" w:hAnsi="宋体" w:eastAsia="宋体" w:cs="宋体"/>
      <w:color w:val="000000"/>
      <w:sz w:val="18"/>
      <w:szCs w:val="18"/>
      <w:u w:val="none"/>
    </w:rPr>
  </w:style>
  <w:style w:type="character" w:customStyle="1" w:styleId="31">
    <w:name w:val="font51"/>
    <w:basedOn w:val="19"/>
    <w:qFormat/>
    <w:uiPriority w:val="0"/>
    <w:rPr>
      <w:rFonts w:hint="default" w:ascii="Times New Roman" w:hAnsi="Times New Roman" w:cs="Times New Roman"/>
      <w:color w:val="000000"/>
      <w:sz w:val="20"/>
      <w:szCs w:val="20"/>
      <w:u w:val="none"/>
    </w:rPr>
  </w:style>
  <w:style w:type="character" w:customStyle="1" w:styleId="32">
    <w:name w:val="font01"/>
    <w:basedOn w:val="19"/>
    <w:qFormat/>
    <w:uiPriority w:val="0"/>
    <w:rPr>
      <w:rFonts w:hint="eastAsia" w:ascii="宋体" w:hAnsi="宋体" w:eastAsia="宋体" w:cs="宋体"/>
      <w:color w:val="000000"/>
      <w:sz w:val="20"/>
      <w:szCs w:val="20"/>
      <w:u w:val="none"/>
    </w:rPr>
  </w:style>
  <w:style w:type="character" w:customStyle="1" w:styleId="33">
    <w:name w:val="批注框文本 Char"/>
    <w:basedOn w:val="19"/>
    <w:link w:val="11"/>
    <w:qFormat/>
    <w:uiPriority w:val="0"/>
    <w:rPr>
      <w:rFonts w:asciiTheme="minorHAnsi" w:hAnsiTheme="minorHAnsi" w:eastAsiaTheme="minorEastAsia" w:cstheme="minorBidi"/>
      <w:kern w:val="2"/>
      <w:sz w:val="18"/>
      <w:szCs w:val="18"/>
    </w:rPr>
  </w:style>
  <w:style w:type="paragraph" w:customStyle="1" w:styleId="34">
    <w:name w:val="列出段落1"/>
    <w:basedOn w:val="1"/>
    <w:qFormat/>
    <w:uiPriority w:val="0"/>
    <w:pPr>
      <w:spacing w:beforeLines="50" w:after="156" w:line="240" w:lineRule="atLeast"/>
      <w:ind w:left="425"/>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0262fac8-8089-47a6-b96b-64d32c9e96fb</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 356FC5E</paraID>
      <start>80</start>
      <end>81</end>
      <status>unmodified</status>
      <modifiedWord/>
      <trackRevisions>false</trackRevisions>
    </reviewItem>
    <reviewItem>
      <errorID>3a1b50c9-bff4-4124-8d65-7a4729e27881</errorID>
      <errorWord>-</errorWord>
      <group>L1_Format</group>
      <groupName>格式问题</groupName>
      <ability>L2_HalfPunc</ability>
      <abilityName>全半角检查</abilityName>
      <candidateList>
        <item>－</item>
      </candidateList>
      <explain>文本全半角错误。</explain>
      <paraID>62E5748B</paraID>
      <start>73</start>
      <end>74</end>
      <status>unmodified</status>
      <modifiedWord/>
      <trackRevisions>false</trackRevisions>
    </reviewItem>
    <reviewItem>
      <errorID>4084b0e4-db43-4731-8f16-f9bb504d8999</errorID>
      <errorWord>提出质疑</errorWord>
      <group>L1_Grammar</group>
      <groupName>语法问题</groupName>
      <ability>L2_Grammar</ability>
      <abilityName>语法错误</abilityName>
      <candidateList>
        <item>质疑</item>
      </candidateList>
      <explain>〈动〉提出疑问：～问难。</explain>
      <paraID>6BCD544B</paraID>
      <start>60</start>
      <end>64</end>
      <status>unmodified</status>
      <modifiedWord/>
      <trackRevisions>false</trackRevisions>
    </reviewItem>
    <reviewItem>
      <errorID>8c79df47-f662-4411-97ce-a25aee6ec962</errorID>
      <errorWord>作必要</errorWord>
      <group>L1_Word</group>
      <groupName>字词问题</groupName>
      <ability>L2_Typo</ability>
      <abilityName>字词错误</abilityName>
      <candidateList>
        <item>做必要</item>
      </candidateList>
      <explain/>
      <paraID>553CCC97</paraID>
      <start>60</start>
      <end>63</end>
      <status>unmodified</status>
      <modifiedWord/>
      <trackRevisions>false</trackRevisions>
    </reviewItem>
    <reviewItem>
      <errorID>7445e50a-3f02-48a8-922d-edff2a0a8340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66739BB3</paraID>
      <start>85</start>
      <end>86</end>
      <status>unmodified</status>
      <modifiedWord/>
      <trackRevisions>false</trackRevisions>
    </reviewItem>
    <reviewItem>
      <errorID>aaecb635-f9a3-49a3-8422-566318814b48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66739BB3</paraID>
      <start>96</start>
      <end>97</end>
      <status>unmodified</status>
      <modifiedWord/>
      <trackRevisions>false</trackRevisions>
    </reviewItem>
    <reviewItem>
      <errorID>c7f70a67-3fc1-42f3-be7c-5e07040c7082</errorID>
      <errorWord>需</errorWord>
      <group>L1_Word</group>
      <groupName>字词问题</groupName>
      <ability>L2_Typo</ability>
      <abilityName>字词错误</abilityName>
      <candidateList>
        <item>须</item>
      </candidateList>
      <explain>存在发音相同字词的误用。</explain>
      <paraID>5DBA76DA</paraID>
      <start>14</start>
      <end>15</end>
      <status>unmodified</status>
      <modifiedWord/>
      <trackRevisions>false</trackRevisions>
    </reviewItem>
    <reviewItem>
      <errorID>0be391b6-d303-4120-9df8-6de909a7431a</errorID>
      <errorWord>需具备</errorWord>
      <group>L1_Word</group>
      <groupName>字词问题</groupName>
      <ability>L2_Typo</ability>
      <abilityName>字词错误</abilityName>
      <candidateList>
        <item>须具备</item>
      </candidateList>
      <explain/>
      <paraID>35F5BD55</paraID>
      <start>8</start>
      <end>11</end>
      <status>unmodified</status>
      <modifiedWord/>
      <trackRevisions>false</trackRevisions>
    </reviewItem>
    <reviewItem>
      <errorID>837f62b2-f724-4ccb-bafc-06786916b404</errorID>
      <errorWord>肆份</errorWord>
      <group>L1_Word</group>
      <groupName>字词问题</groupName>
      <ability>L2_Typo</ability>
      <abilityName>字词错误</abilityName>
      <candidateList>
        <item>四份</item>
      </candidateList>
      <explain>存在发音相同字词的误用。</explain>
      <paraID>542C6179</paraID>
      <start>8</start>
      <end>10</end>
      <status>unmodified</status>
      <modifiedWord/>
      <trackRevisions>false</trackRevisions>
    </reviewItem>
    <reviewItem>
      <errorID>2f14a2c7-dde0-41b7-a6e0-2d37393e5d6b</errorID>
      <errorWord>泄露</errorWord>
      <group>L1_Word</group>
      <groupName>字词问题</groupName>
      <ability>L2_Typo</ability>
      <abilityName>字词错误</abilityName>
      <candidateList>
        <item>泄漏</item>
      </candidateList>
      <explain/>
      <paraID>67682A5E</paraID>
      <start>45</start>
      <end>47</end>
      <status>unmodified</status>
      <modifiedWord/>
      <trackRevisions>false</trackRevisions>
    </reviewItem>
    <reviewItem>
      <errorID>24d32ab9-6ec1-472e-a3f9-d0101153da46</errorID>
      <errorWord>人</errorWord>
      <group>L1_Word</group>
      <groupName>字词问题</groupName>
      <ability>L2_Typo</ability>
      <abilityName>字词错误</abilityName>
      <candidateList>
        <item>人在</item>
      </candidateList>
      <explain/>
      <paraID>5770BF6E</paraID>
      <start>21</start>
      <end>22</end>
      <status>unmodified</status>
      <modifiedWord/>
      <trackRevisions>false</trackRevisions>
    </reviewItem>
    <reviewItem>
      <errorID>8fe821b8-c8ad-4368-868b-3800c6b3c56a</errorID>
      <errorWord>（</errorWord>
      <group>L1_Punc</group>
      <groupName>标点问题</groupName>
      <ability>L2_Punc</ability>
      <abilityName>标点符号检查</abilityName>
      <candidateList/>
      <explain>同一形式括号套用。</explain>
      <paraID>3E50DF4F</paraID>
      <start>18</start>
      <end>19</end>
      <status>unmodified</status>
      <modifiedWord/>
      <trackRevisions>false</trackRevisions>
    </reviewItem>
    <reviewItem>
      <errorID>ec553e51-5998-4cd5-9a8f-e339fe43e3d8</errorID>
      <errorWord>）</errorWord>
      <group>L1_Punc</group>
      <groupName>标点问题</groupName>
      <ability>L2_Punc</ability>
      <abilityName>标点符号检查</abilityName>
      <candidateList/>
      <explain>同一形式括号套用。</explain>
      <paraID>3E50DF4F</paraID>
      <start>26</start>
      <end>27</end>
      <status>unmodified</status>
      <modifiedWord/>
      <trackRevisions>false</trackRevisions>
    </reviewItem>
    <reviewItem>
      <errorID>5d86fb30-910a-462e-b528-94a335cb2d8d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5C074F29</paraID>
      <start>12</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900f3-5513-461b-bfae-2d346f9340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3659</Words>
  <Characters>4070</Characters>
  <Lines>180</Lines>
  <Paragraphs>50</Paragraphs>
  <TotalTime>275</TotalTime>
  <ScaleCrop>false</ScaleCrop>
  <LinksUpToDate>false</LinksUpToDate>
  <CharactersWithSpaces>4251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运营部-xj</cp:lastModifiedBy>
  <cp:lastPrinted>2026-01-19T05:48:00Z</cp:lastPrinted>
  <dcterms:modified xsi:type="dcterms:W3CDTF">2026-03-16T05:38:48Z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16ED97F5F79E408E947E8999FFE9F587_13</vt:lpwstr>
  </property>
  <property fmtid="{D5CDD505-2E9C-101B-9397-08002B2CF9AE}" pid="4" name="KSOTemplateDocerSaveRecord">
    <vt:lpwstr>eyJoZGlkIjoiNDgxM2FhMDM0M2U5OGQ2ODA4NWZmYmM5MzU0ZjJmNjMiLCJ1c2VySWQiOiIyNDM2ODYzNCJ9</vt:lpwstr>
  </property>
</Properties>
</file>