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B887C1">
      <w:pPr>
        <w:spacing w:beforeLines="30"/>
        <w:rPr>
          <w:rFonts w:ascii="宋体" w:hAnsi="宋体"/>
          <w:b/>
          <w:sz w:val="28"/>
          <w:szCs w:val="32"/>
          <w:highlight w:val="none"/>
        </w:rPr>
      </w:pPr>
    </w:p>
    <w:p w14:paraId="3C3B5219">
      <w:pPr>
        <w:spacing w:beforeLines="30"/>
        <w:rPr>
          <w:rFonts w:ascii="宋体" w:hAnsi="宋体"/>
          <w:b/>
          <w:highlight w:val="none"/>
        </w:rPr>
      </w:pPr>
    </w:p>
    <w:p w14:paraId="2B49B7B8">
      <w:pPr>
        <w:spacing w:beforeLines="30" w:line="360" w:lineRule="auto"/>
        <w:jc w:val="center"/>
        <w:rPr>
          <w:rFonts w:ascii="黑体" w:hAnsi="黑体" w:eastAsia="黑体" w:cs="黑体"/>
          <w:b/>
          <w:sz w:val="48"/>
          <w:szCs w:val="52"/>
          <w:highlight w:val="none"/>
        </w:rPr>
      </w:pPr>
    </w:p>
    <w:p w14:paraId="13DED0D6">
      <w:pPr>
        <w:spacing w:beforeLines="30" w:line="360" w:lineRule="auto"/>
        <w:jc w:val="center"/>
        <w:rPr>
          <w:rFonts w:ascii="黑体" w:hAnsi="黑体" w:eastAsia="黑体" w:cs="黑体"/>
          <w:b/>
          <w:sz w:val="48"/>
          <w:szCs w:val="52"/>
          <w:highlight w:val="none"/>
        </w:rPr>
      </w:pPr>
    </w:p>
    <w:p w14:paraId="3206CDFE">
      <w:pPr>
        <w:spacing w:beforeLines="30" w:line="360" w:lineRule="auto"/>
        <w:jc w:val="center"/>
        <w:rPr>
          <w:rFonts w:ascii="黑体" w:hAnsi="黑体" w:eastAsia="黑体" w:cs="黑体"/>
          <w:b/>
          <w:sz w:val="48"/>
          <w:szCs w:val="52"/>
          <w:highlight w:val="none"/>
        </w:rPr>
      </w:pPr>
    </w:p>
    <w:p w14:paraId="56518356">
      <w:pPr>
        <w:keepNext w:val="0"/>
        <w:keepLines w:val="0"/>
        <w:pageBreakBefore w:val="0"/>
        <w:widowControl w:val="0"/>
        <w:kinsoku/>
        <w:wordWrap/>
        <w:overflowPunct/>
        <w:topLinePunct w:val="0"/>
        <w:autoSpaceDE/>
        <w:autoSpaceDN/>
        <w:bidi w:val="0"/>
        <w:adjustRightInd/>
        <w:snapToGrid/>
        <w:spacing w:beforeLines="30" w:line="600" w:lineRule="exact"/>
        <w:jc w:val="center"/>
        <w:textAlignment w:val="auto"/>
        <w:rPr>
          <w:rFonts w:hint="eastAsia" w:ascii="Times New Roman" w:hAnsi="Times New Roman" w:eastAsia="方正小标宋简体" w:cs="方正小标宋简体"/>
          <w:b w:val="0"/>
          <w:bCs/>
          <w:sz w:val="48"/>
          <w:szCs w:val="52"/>
          <w:highlight w:val="none"/>
        </w:rPr>
      </w:pPr>
      <w:r>
        <w:rPr>
          <w:rFonts w:hint="eastAsia" w:ascii="Times New Roman" w:hAnsi="Times New Roman" w:eastAsia="方正小标宋简体" w:cs="方正小标宋简体"/>
          <w:b w:val="0"/>
          <w:bCs/>
          <w:sz w:val="48"/>
          <w:szCs w:val="52"/>
          <w:highlight w:val="none"/>
        </w:rPr>
        <w:t>深圳市鹏劳人力资源管理有限公司</w:t>
      </w:r>
    </w:p>
    <w:p w14:paraId="49566D0E">
      <w:pPr>
        <w:keepNext w:val="0"/>
        <w:keepLines w:val="0"/>
        <w:pageBreakBefore w:val="0"/>
        <w:widowControl w:val="0"/>
        <w:kinsoku/>
        <w:wordWrap/>
        <w:overflowPunct/>
        <w:topLinePunct w:val="0"/>
        <w:autoSpaceDE/>
        <w:autoSpaceDN/>
        <w:bidi w:val="0"/>
        <w:adjustRightInd/>
        <w:snapToGrid/>
        <w:spacing w:beforeLines="30" w:line="600" w:lineRule="exact"/>
        <w:jc w:val="center"/>
        <w:textAlignment w:val="auto"/>
        <w:rPr>
          <w:rFonts w:hint="eastAsia" w:ascii="Times New Roman" w:hAnsi="Times New Roman" w:eastAsia="方正小标宋简体" w:cs="方正小标宋简体"/>
          <w:b w:val="0"/>
          <w:bCs/>
          <w:sz w:val="48"/>
          <w:szCs w:val="52"/>
          <w:highlight w:val="none"/>
          <w:lang w:val="en-US" w:eastAsia="zh-CN"/>
        </w:rPr>
      </w:pPr>
      <w:r>
        <w:rPr>
          <w:rFonts w:hint="eastAsia" w:ascii="Times New Roman" w:hAnsi="Times New Roman" w:eastAsia="方正小标宋简体" w:cs="方正小标宋简体"/>
          <w:b w:val="0"/>
          <w:bCs/>
          <w:color w:val="000000"/>
          <w:sz w:val="48"/>
          <w:szCs w:val="52"/>
          <w:highlight w:val="none"/>
          <w:lang w:val="en-US" w:eastAsia="zh-CN"/>
        </w:rPr>
        <w:t>2026</w:t>
      </w:r>
      <w:r>
        <w:rPr>
          <w:rFonts w:hint="eastAsia" w:ascii="Times New Roman" w:hAnsi="Times New Roman" w:eastAsia="方正小标宋简体" w:cs="方正小标宋简体"/>
          <w:b w:val="0"/>
          <w:bCs/>
          <w:sz w:val="48"/>
          <w:szCs w:val="52"/>
          <w:highlight w:val="none"/>
          <w:lang w:val="en-US" w:eastAsia="zh-CN"/>
        </w:rPr>
        <w:t>年外派员工健康体检项目</w:t>
      </w:r>
    </w:p>
    <w:p w14:paraId="24E82D96">
      <w:pPr>
        <w:keepNext w:val="0"/>
        <w:keepLines w:val="0"/>
        <w:pageBreakBefore w:val="0"/>
        <w:widowControl w:val="0"/>
        <w:kinsoku/>
        <w:wordWrap/>
        <w:overflowPunct/>
        <w:topLinePunct w:val="0"/>
        <w:autoSpaceDE/>
        <w:autoSpaceDN/>
        <w:bidi w:val="0"/>
        <w:adjustRightInd/>
        <w:snapToGrid/>
        <w:spacing w:beforeLines="30" w:line="600" w:lineRule="exact"/>
        <w:jc w:val="center"/>
        <w:textAlignment w:val="auto"/>
        <w:rPr>
          <w:rFonts w:hint="eastAsia" w:ascii="Times New Roman" w:hAnsi="Times New Roman" w:eastAsia="方正小标宋简体" w:cs="方正小标宋简体"/>
          <w:b w:val="0"/>
          <w:bCs/>
          <w:sz w:val="48"/>
          <w:szCs w:val="52"/>
          <w:highlight w:val="none"/>
        </w:rPr>
      </w:pPr>
      <w:r>
        <w:rPr>
          <w:rFonts w:hint="eastAsia" w:ascii="Times New Roman" w:hAnsi="Times New Roman" w:eastAsia="方正小标宋简体" w:cs="方正小标宋简体"/>
          <w:b w:val="0"/>
          <w:bCs/>
          <w:sz w:val="48"/>
          <w:szCs w:val="52"/>
          <w:highlight w:val="none"/>
        </w:rPr>
        <w:t>招标文件</w:t>
      </w:r>
    </w:p>
    <w:p w14:paraId="5B72D262">
      <w:pPr>
        <w:spacing w:beforeLines="30" w:line="360" w:lineRule="auto"/>
        <w:jc w:val="center"/>
        <w:rPr>
          <w:rFonts w:ascii="Times New Roman" w:hAnsi="Times New Roman"/>
          <w:b w:val="0"/>
          <w:bCs/>
          <w:sz w:val="48"/>
          <w:szCs w:val="52"/>
          <w:highlight w:val="none"/>
        </w:rPr>
      </w:pPr>
    </w:p>
    <w:p w14:paraId="7958D118">
      <w:pPr>
        <w:spacing w:beforeLines="30"/>
        <w:jc w:val="center"/>
        <w:rPr>
          <w:rFonts w:ascii="Times New Roman" w:hAnsi="Times New Roman" w:eastAsia="黑体" w:cs="黑体"/>
          <w:b w:val="0"/>
          <w:bCs/>
          <w:sz w:val="40"/>
          <w:szCs w:val="40"/>
          <w:highlight w:val="none"/>
        </w:rPr>
      </w:pPr>
      <w:r>
        <w:rPr>
          <w:rFonts w:hint="eastAsia" w:ascii="Times New Roman" w:hAnsi="Times New Roman" w:eastAsia="黑体" w:cs="黑体"/>
          <w:b w:val="0"/>
          <w:bCs/>
          <w:sz w:val="40"/>
          <w:szCs w:val="40"/>
          <w:highlight w:val="none"/>
        </w:rPr>
        <w:t>采购类别:服务采购</w:t>
      </w:r>
    </w:p>
    <w:p w14:paraId="427DDC9F">
      <w:pPr>
        <w:spacing w:beforeLines="30"/>
        <w:jc w:val="center"/>
        <w:rPr>
          <w:rFonts w:hint="default" w:ascii="Times New Roman" w:hAnsi="Times New Roman" w:eastAsia="黑体" w:cs="黑体"/>
          <w:b w:val="0"/>
          <w:bCs/>
          <w:sz w:val="40"/>
          <w:szCs w:val="40"/>
          <w:highlight w:val="none"/>
          <w:lang w:val="en-US" w:eastAsia="zh-CN"/>
        </w:rPr>
      </w:pPr>
      <w:r>
        <w:rPr>
          <w:rFonts w:hint="eastAsia" w:ascii="Times New Roman" w:hAnsi="Times New Roman" w:eastAsia="黑体" w:cs="黑体"/>
          <w:b w:val="0"/>
          <w:bCs/>
          <w:sz w:val="40"/>
          <w:szCs w:val="40"/>
          <w:highlight w:val="none"/>
        </w:rPr>
        <w:t>招标编号：</w:t>
      </w:r>
      <w:r>
        <w:rPr>
          <w:rFonts w:hint="eastAsia" w:ascii="Times New Roman" w:hAnsi="Times New Roman" w:eastAsia="黑体" w:cs="黑体"/>
          <w:b w:val="0"/>
          <w:bCs/>
          <w:color w:val="000000"/>
          <w:sz w:val="40"/>
          <w:szCs w:val="40"/>
          <w:highlight w:val="none"/>
        </w:rPr>
        <w:t>PLHR-ZB-FW-202607</w:t>
      </w:r>
    </w:p>
    <w:p w14:paraId="4C2E207A">
      <w:pPr>
        <w:spacing w:beforeLines="30" w:line="360" w:lineRule="auto"/>
        <w:jc w:val="center"/>
        <w:rPr>
          <w:rFonts w:ascii="黑体" w:hAnsi="黑体" w:eastAsia="黑体" w:cs="黑体"/>
          <w:b w:val="0"/>
          <w:bCs/>
          <w:sz w:val="24"/>
          <w:szCs w:val="24"/>
          <w:highlight w:val="none"/>
        </w:rPr>
      </w:pPr>
    </w:p>
    <w:p w14:paraId="400D5391">
      <w:pPr>
        <w:spacing w:beforeLines="30" w:line="360" w:lineRule="auto"/>
        <w:jc w:val="center"/>
        <w:rPr>
          <w:rFonts w:ascii="宋体" w:hAnsi="宋体"/>
          <w:b w:val="0"/>
          <w:bCs/>
          <w:sz w:val="30"/>
          <w:szCs w:val="32"/>
          <w:highlight w:val="none"/>
        </w:rPr>
      </w:pPr>
    </w:p>
    <w:p w14:paraId="40CB6C84">
      <w:pPr>
        <w:spacing w:beforeLines="30" w:line="360" w:lineRule="auto"/>
        <w:rPr>
          <w:rFonts w:ascii="宋体" w:hAnsi="宋体"/>
          <w:b w:val="0"/>
          <w:bCs/>
          <w:sz w:val="34"/>
          <w:szCs w:val="36"/>
          <w:highlight w:val="none"/>
        </w:rPr>
      </w:pPr>
    </w:p>
    <w:p w14:paraId="4A30571D">
      <w:pPr>
        <w:spacing w:beforeLines="30" w:line="360" w:lineRule="auto"/>
        <w:rPr>
          <w:rFonts w:ascii="宋体" w:hAnsi="宋体"/>
          <w:b w:val="0"/>
          <w:bCs/>
          <w:sz w:val="34"/>
          <w:szCs w:val="36"/>
          <w:highlight w:val="none"/>
        </w:rPr>
      </w:pPr>
    </w:p>
    <w:p w14:paraId="39428C7C">
      <w:pPr>
        <w:spacing w:beforeLines="30" w:line="360" w:lineRule="auto"/>
        <w:jc w:val="center"/>
        <w:rPr>
          <w:rFonts w:ascii="黑体" w:hAnsi="黑体" w:eastAsia="黑体" w:cs="黑体"/>
          <w:b w:val="0"/>
          <w:bCs/>
          <w:sz w:val="34"/>
          <w:szCs w:val="36"/>
          <w:highlight w:val="none"/>
        </w:rPr>
      </w:pPr>
      <w:r>
        <w:rPr>
          <w:rFonts w:hint="eastAsia" w:ascii="黑体" w:hAnsi="黑体" w:eastAsia="黑体" w:cs="黑体"/>
          <w:b w:val="0"/>
          <w:bCs/>
          <w:sz w:val="34"/>
          <w:szCs w:val="36"/>
          <w:highlight w:val="none"/>
        </w:rPr>
        <w:t>深圳市鹏劳人力资源管理有限公司</w:t>
      </w:r>
    </w:p>
    <w:p w14:paraId="7D95D9C7">
      <w:pPr>
        <w:spacing w:beforeLines="30" w:line="360" w:lineRule="auto"/>
        <w:jc w:val="center"/>
        <w:rPr>
          <w:rFonts w:ascii="黑体" w:hAnsi="黑体" w:eastAsia="黑体" w:cs="黑体"/>
          <w:b w:val="0"/>
          <w:bCs/>
          <w:sz w:val="34"/>
          <w:szCs w:val="36"/>
          <w:highlight w:val="none"/>
        </w:rPr>
      </w:pPr>
      <w:r>
        <w:rPr>
          <w:rFonts w:hint="eastAsia" w:ascii="黑体" w:hAnsi="黑体" w:eastAsia="黑体" w:cs="黑体"/>
          <w:b w:val="0"/>
          <w:bCs/>
          <w:color w:val="000000"/>
          <w:sz w:val="34"/>
          <w:szCs w:val="36"/>
          <w:highlight w:val="none"/>
        </w:rPr>
        <w:t>二〇二六年十月</w:t>
      </w:r>
    </w:p>
    <w:p w14:paraId="2530622E">
      <w:pPr>
        <w:pStyle w:val="13"/>
        <w:spacing w:before="0" w:after="0"/>
        <w:ind w:firstLine="0" w:firstLineChars="0"/>
        <w:outlineLvl w:val="3"/>
        <w:rPr>
          <w:rFonts w:ascii="宋体" w:hAnsi="宋体"/>
          <w:b w:val="0"/>
          <w:bCs/>
          <w:sz w:val="36"/>
          <w:szCs w:val="30"/>
          <w:highlight w:val="none"/>
        </w:rPr>
        <w:sectPr>
          <w:headerReference r:id="rId6" w:type="first"/>
          <w:headerReference r:id="rId5" w:type="default"/>
          <w:pgSz w:w="11907" w:h="16840"/>
          <w:pgMar w:top="2098" w:right="1474" w:bottom="1984" w:left="1587" w:header="1417" w:footer="603" w:gutter="0"/>
          <w:pgBorders>
            <w:top w:val="none" w:sz="0" w:space="0"/>
            <w:left w:val="none" w:sz="0" w:space="0"/>
            <w:bottom w:val="none" w:sz="0" w:space="0"/>
            <w:right w:val="none" w:sz="0" w:space="0"/>
          </w:pgBorders>
          <w:cols w:space="720" w:num="1"/>
          <w:titlePg/>
          <w:docGrid w:linePitch="462" w:charSpace="0"/>
        </w:sectPr>
      </w:pPr>
      <w:bookmarkStart w:id="0" w:name="_Toc2190"/>
    </w:p>
    <w:p w14:paraId="6C169175">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sz w:val="44"/>
          <w:szCs w:val="44"/>
          <w:highlight w:val="none"/>
        </w:rPr>
      </w:pPr>
      <w:bookmarkStart w:id="1" w:name="_Toc11413"/>
      <w:bookmarkStart w:id="2" w:name="_Toc21460"/>
      <w:r>
        <w:rPr>
          <w:rFonts w:hint="eastAsia" w:ascii="方正小标宋简体" w:hAnsi="方正小标宋简体" w:eastAsia="方正小标宋简体" w:cs="方正小标宋简体"/>
          <w:b w:val="0"/>
          <w:bCs/>
          <w:sz w:val="44"/>
          <w:szCs w:val="44"/>
          <w:highlight w:val="none"/>
        </w:rPr>
        <w:t>目 录</w:t>
      </w:r>
      <w:bookmarkEnd w:id="0"/>
      <w:bookmarkEnd w:id="1"/>
      <w:bookmarkEnd w:id="2"/>
      <w:bookmarkStart w:id="3" w:name="_Toc11256885"/>
      <w:bookmarkStart w:id="4" w:name="_Toc27690_WPSOffice_Level1"/>
      <w:bookmarkStart w:id="5" w:name="_Toc10743"/>
    </w:p>
    <w:sdt>
      <w:sdtPr>
        <w:rPr>
          <w:rFonts w:ascii="宋体" w:hAnsi="宋体" w:eastAsia="宋体" w:cs="Times New Roman"/>
          <w:b/>
          <w:kern w:val="28"/>
          <w:sz w:val="32"/>
          <w:szCs w:val="32"/>
          <w:highlight w:val="none"/>
        </w:rPr>
        <w:id w:val="147481365"/>
        <w:docPartObj>
          <w:docPartGallery w:val="Table of Contents"/>
          <w:docPartUnique/>
        </w:docPartObj>
      </w:sdtPr>
      <w:sdtEndPr>
        <w:rPr>
          <w:rFonts w:hint="eastAsia" w:ascii="宋体" w:hAnsi="宋体" w:eastAsia="宋体" w:cs="宋体"/>
          <w:b/>
          <w:kern w:val="28"/>
          <w:sz w:val="24"/>
          <w:szCs w:val="24"/>
          <w:highlight w:val="none"/>
        </w:rPr>
      </w:sdtEndPr>
      <w:sdtContent>
        <w:p w14:paraId="23F5776C">
          <w:pPr>
            <w:jc w:val="center"/>
            <w:rPr>
              <w:b/>
              <w:highlight w:val="none"/>
            </w:rPr>
          </w:pPr>
        </w:p>
        <w:p w14:paraId="7EA4DF9B">
          <w:pPr>
            <w:pStyle w:val="12"/>
            <w:keepNext w:val="0"/>
            <w:keepLines w:val="0"/>
            <w:pageBreakBefore w:val="0"/>
            <w:widowControl w:val="0"/>
            <w:tabs>
              <w:tab w:val="right" w:leader="dot" w:pos="9214"/>
              <w:tab w:val="clear" w:pos="8295"/>
            </w:tabs>
            <w:kinsoku/>
            <w:wordWrap/>
            <w:overflowPunct/>
            <w:topLinePunct w:val="0"/>
            <w:autoSpaceDE/>
            <w:autoSpaceDN/>
            <w:bidi w:val="0"/>
            <w:adjustRightInd/>
            <w:snapToGrid/>
            <w:spacing w:before="0" w:after="0" w:line="300" w:lineRule="exact"/>
            <w:ind w:left="0" w:leftChars="0" w:firstLine="0" w:firstLineChars="0"/>
            <w:textAlignment w:val="auto"/>
            <w:rPr>
              <w:rFonts w:ascii="Times New Roman" w:hAnsi="Times New Roman" w:eastAsia="黑体"/>
              <w:caps w:val="0"/>
              <w:smallCaps w:val="0"/>
            </w:rPr>
          </w:pPr>
          <w:r>
            <w:rPr>
              <w:rFonts w:hint="eastAsia" w:ascii="Times New Roman" w:hAnsi="Times New Roman" w:eastAsia="黑体" w:cs="黑体"/>
              <w:b w:val="0"/>
              <w:bCs/>
              <w:caps w:val="0"/>
              <w:smallCaps w:val="0"/>
              <w:sz w:val="24"/>
              <w:szCs w:val="24"/>
              <w:highlight w:val="none"/>
            </w:rPr>
            <w:fldChar w:fldCharType="begin"/>
          </w:r>
          <w:r>
            <w:rPr>
              <w:rFonts w:hint="eastAsia" w:ascii="Times New Roman" w:hAnsi="Times New Roman" w:eastAsia="黑体" w:cs="黑体"/>
              <w:b w:val="0"/>
              <w:bCs/>
              <w:caps w:val="0"/>
              <w:smallCaps w:val="0"/>
              <w:sz w:val="24"/>
              <w:szCs w:val="24"/>
              <w:highlight w:val="none"/>
            </w:rPr>
            <w:instrText xml:space="preserve">TOC \o "1-3" \h \u </w:instrText>
          </w:r>
          <w:r>
            <w:rPr>
              <w:rFonts w:hint="eastAsia" w:ascii="Times New Roman" w:hAnsi="Times New Roman" w:eastAsia="黑体" w:cs="黑体"/>
              <w:b w:val="0"/>
              <w:bCs/>
              <w:caps w:val="0"/>
              <w:smallCaps w:val="0"/>
              <w:sz w:val="24"/>
              <w:szCs w:val="24"/>
              <w:highlight w:val="none"/>
            </w:rPr>
            <w:fldChar w:fldCharType="separate"/>
          </w: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_Toc24596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bCs/>
              <w:caps w:val="0"/>
              <w:smallCaps w:val="0"/>
              <w:szCs w:val="32"/>
              <w:highlight w:val="none"/>
            </w:rPr>
            <w:t xml:space="preserve">第一部分 </w:t>
          </w:r>
          <w:r>
            <w:rPr>
              <w:rFonts w:hint="eastAsia" w:ascii="Times New Roman" w:hAnsi="Times New Roman" w:eastAsia="黑体" w:cs="黑体"/>
              <w:bCs/>
              <w:caps w:val="0"/>
              <w:smallCaps w:val="0"/>
              <w:szCs w:val="32"/>
              <w:highlight w:val="none"/>
              <w:lang w:val="en-US" w:eastAsia="zh-CN"/>
            </w:rPr>
            <w:t>招标公告</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_Toc24596 \h </w:instrText>
          </w:r>
          <w:r>
            <w:rPr>
              <w:rFonts w:ascii="Times New Roman" w:hAnsi="Times New Roman" w:eastAsia="黑体"/>
              <w:caps w:val="0"/>
              <w:smallCaps w:val="0"/>
            </w:rPr>
            <w:fldChar w:fldCharType="separate"/>
          </w:r>
          <w:r>
            <w:rPr>
              <w:rFonts w:ascii="Times New Roman" w:hAnsi="Times New Roman" w:eastAsia="黑体"/>
              <w:caps w:val="0"/>
              <w:smallCaps w:val="0"/>
            </w:rPr>
            <w:t>1</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7AF2D55E">
          <w:pPr>
            <w:pStyle w:val="14"/>
            <w:keepNext w:val="0"/>
            <w:keepLines w:val="0"/>
            <w:pageBreakBefore w:val="0"/>
            <w:widowControl w:val="0"/>
            <w:tabs>
              <w:tab w:val="right" w:leader="dot" w:pos="9214"/>
              <w:tab w:val="clear" w:pos="8295"/>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b w:val="0"/>
              <w:bCs w:val="0"/>
              <w:caps w:val="0"/>
              <w:smallCaps w:val="0"/>
            </w:rPr>
          </w:pPr>
          <w:r>
            <w:rPr>
              <w:rFonts w:hint="eastAsia" w:ascii="Times New Roman" w:hAnsi="Times New Roman" w:eastAsia="黑体" w:cs="黑体"/>
              <w:b w:val="0"/>
              <w:bCs w:val="0"/>
              <w:caps w:val="0"/>
              <w:smallCaps w:val="0"/>
              <w:szCs w:val="24"/>
              <w:highlight w:val="none"/>
            </w:rPr>
            <w:fldChar w:fldCharType="begin"/>
          </w:r>
          <w:r>
            <w:rPr>
              <w:rFonts w:hint="eastAsia" w:ascii="Times New Roman" w:hAnsi="Times New Roman" w:eastAsia="黑体" w:cs="黑体"/>
              <w:b w:val="0"/>
              <w:bCs w:val="0"/>
              <w:caps w:val="0"/>
              <w:smallCaps w:val="0"/>
              <w:szCs w:val="24"/>
              <w:highlight w:val="none"/>
            </w:rPr>
            <w:instrText xml:space="preserve"> HYPERLINK \l _Toc21499 </w:instrText>
          </w:r>
          <w:r>
            <w:rPr>
              <w:rFonts w:hint="eastAsia" w:ascii="Times New Roman" w:hAnsi="Times New Roman" w:eastAsia="黑体" w:cs="黑体"/>
              <w:b w:val="0"/>
              <w:bCs w:val="0"/>
              <w:caps w:val="0"/>
              <w:smallCaps w:val="0"/>
              <w:szCs w:val="24"/>
              <w:highlight w:val="none"/>
            </w:rPr>
            <w:fldChar w:fldCharType="separate"/>
          </w:r>
          <w:r>
            <w:rPr>
              <w:rFonts w:hint="eastAsia" w:ascii="Times New Roman" w:hAnsi="Times New Roman" w:eastAsia="黑体"/>
              <w:b w:val="0"/>
              <w:bCs w:val="0"/>
              <w:caps w:val="0"/>
              <w:smallCaps w:val="0"/>
              <w:szCs w:val="36"/>
              <w:highlight w:val="none"/>
              <w:lang w:val="en-US" w:eastAsia="zh-CN"/>
            </w:rPr>
            <w:t>深圳市鹏劳人力资源管理有限公司采购招标</w:t>
          </w:r>
          <w:r>
            <w:rPr>
              <w:rFonts w:hint="eastAsia" w:ascii="Times New Roman" w:hAnsi="Times New Roman" w:eastAsia="黑体"/>
              <w:b w:val="0"/>
              <w:bCs w:val="0"/>
              <w:caps w:val="0"/>
              <w:smallCaps w:val="0"/>
              <w:szCs w:val="36"/>
              <w:highlight w:val="none"/>
            </w:rPr>
            <w:t>报名表</w:t>
          </w:r>
          <w:r>
            <w:rPr>
              <w:rFonts w:ascii="Times New Roman" w:hAnsi="Times New Roman" w:eastAsia="黑体"/>
              <w:b w:val="0"/>
              <w:bCs w:val="0"/>
              <w:caps w:val="0"/>
              <w:smallCaps w:val="0"/>
            </w:rPr>
            <w:tab/>
          </w:r>
          <w:r>
            <w:rPr>
              <w:rFonts w:ascii="Times New Roman" w:hAnsi="Times New Roman" w:eastAsia="黑体"/>
              <w:b w:val="0"/>
              <w:bCs w:val="0"/>
              <w:caps w:val="0"/>
              <w:smallCaps w:val="0"/>
            </w:rPr>
            <w:fldChar w:fldCharType="begin"/>
          </w:r>
          <w:r>
            <w:rPr>
              <w:rFonts w:ascii="Times New Roman" w:hAnsi="Times New Roman" w:eastAsia="黑体"/>
              <w:b w:val="0"/>
              <w:bCs w:val="0"/>
              <w:caps w:val="0"/>
              <w:smallCaps w:val="0"/>
            </w:rPr>
            <w:instrText xml:space="preserve"> PAGEREF _Toc21499 \h </w:instrText>
          </w:r>
          <w:r>
            <w:rPr>
              <w:rFonts w:ascii="Times New Roman" w:hAnsi="Times New Roman" w:eastAsia="黑体"/>
              <w:b w:val="0"/>
              <w:bCs w:val="0"/>
              <w:caps w:val="0"/>
              <w:smallCaps w:val="0"/>
            </w:rPr>
            <w:fldChar w:fldCharType="separate"/>
          </w:r>
          <w:r>
            <w:rPr>
              <w:rFonts w:ascii="Times New Roman" w:hAnsi="Times New Roman" w:eastAsia="黑体"/>
              <w:b w:val="0"/>
              <w:bCs w:val="0"/>
              <w:caps w:val="0"/>
              <w:smallCaps w:val="0"/>
            </w:rPr>
            <w:t>7</w:t>
          </w:r>
          <w:r>
            <w:rPr>
              <w:rFonts w:ascii="Times New Roman" w:hAnsi="Times New Roman" w:eastAsia="黑体"/>
              <w:b w:val="0"/>
              <w:bCs w:val="0"/>
              <w:caps w:val="0"/>
              <w:smallCaps w:val="0"/>
            </w:rPr>
            <w:fldChar w:fldCharType="end"/>
          </w:r>
          <w:r>
            <w:rPr>
              <w:rFonts w:hint="eastAsia" w:ascii="Times New Roman" w:hAnsi="Times New Roman" w:eastAsia="黑体" w:cs="黑体"/>
              <w:b w:val="0"/>
              <w:bCs w:val="0"/>
              <w:caps w:val="0"/>
              <w:smallCaps w:val="0"/>
              <w:szCs w:val="24"/>
              <w:highlight w:val="none"/>
            </w:rPr>
            <w:fldChar w:fldCharType="end"/>
          </w:r>
        </w:p>
        <w:p w14:paraId="018D36AD">
          <w:pPr>
            <w:pStyle w:val="12"/>
            <w:keepNext w:val="0"/>
            <w:keepLines w:val="0"/>
            <w:pageBreakBefore w:val="0"/>
            <w:widowControl w:val="0"/>
            <w:tabs>
              <w:tab w:val="right" w:leader="dot" w:pos="9214"/>
              <w:tab w:val="clear" w:pos="8295"/>
            </w:tabs>
            <w:kinsoku/>
            <w:wordWrap/>
            <w:overflowPunct/>
            <w:topLinePunct w:val="0"/>
            <w:autoSpaceDE/>
            <w:autoSpaceDN/>
            <w:bidi w:val="0"/>
            <w:adjustRightInd/>
            <w:snapToGrid/>
            <w:spacing w:before="0" w:after="0" w:line="300" w:lineRule="exact"/>
            <w:ind w:left="0" w:leftChars="0" w:firstLine="0" w:firstLine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_Toc9871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bCs/>
              <w:caps w:val="0"/>
              <w:smallCaps w:val="0"/>
              <w:szCs w:val="32"/>
              <w:highlight w:val="none"/>
            </w:rPr>
            <w:t>第二部分 招标文件</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_Toc9871 \h </w:instrText>
          </w:r>
          <w:r>
            <w:rPr>
              <w:rFonts w:ascii="Times New Roman" w:hAnsi="Times New Roman" w:eastAsia="黑体"/>
              <w:caps w:val="0"/>
              <w:smallCaps w:val="0"/>
            </w:rPr>
            <w:fldChar w:fldCharType="separate"/>
          </w:r>
          <w:r>
            <w:rPr>
              <w:rFonts w:ascii="Times New Roman" w:hAnsi="Times New Roman" w:eastAsia="黑体"/>
              <w:caps w:val="0"/>
              <w:smallCaps w:val="0"/>
            </w:rPr>
            <w:t>8</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3D6BD299">
          <w:pPr>
            <w:pStyle w:val="14"/>
            <w:keepNext w:val="0"/>
            <w:keepLines w:val="0"/>
            <w:pageBreakBefore w:val="0"/>
            <w:widowControl w:val="0"/>
            <w:tabs>
              <w:tab w:val="right" w:leader="dot" w:pos="9214"/>
              <w:tab w:val="clear" w:pos="8295"/>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_Toc13245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bCs/>
              <w:caps w:val="0"/>
              <w:smallCaps w:val="0"/>
              <w:szCs w:val="32"/>
              <w:highlight w:val="none"/>
            </w:rPr>
            <w:t>第一章 项目概况及招标程序</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_Toc13245 \h </w:instrText>
          </w:r>
          <w:r>
            <w:rPr>
              <w:rFonts w:ascii="Times New Roman" w:hAnsi="Times New Roman" w:eastAsia="黑体"/>
              <w:caps w:val="0"/>
              <w:smallCaps w:val="0"/>
            </w:rPr>
            <w:fldChar w:fldCharType="separate"/>
          </w:r>
          <w:r>
            <w:rPr>
              <w:rFonts w:ascii="Times New Roman" w:hAnsi="Times New Roman" w:eastAsia="黑体"/>
              <w:caps w:val="0"/>
              <w:smallCaps w:val="0"/>
            </w:rPr>
            <w:t>8</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2C66DDCD">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_Toc10276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caps w:val="0"/>
              <w:smallCaps w:val="0"/>
              <w:szCs w:val="32"/>
              <w:highlight w:val="none"/>
              <w:lang w:val="zh-CN"/>
            </w:rPr>
            <w:t>一、项目名称</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_Toc10276 \h </w:instrText>
          </w:r>
          <w:r>
            <w:rPr>
              <w:rFonts w:ascii="Times New Roman" w:hAnsi="Times New Roman" w:eastAsia="黑体"/>
              <w:caps w:val="0"/>
              <w:smallCaps w:val="0"/>
            </w:rPr>
            <w:fldChar w:fldCharType="separate"/>
          </w:r>
          <w:r>
            <w:rPr>
              <w:rFonts w:ascii="Times New Roman" w:hAnsi="Times New Roman" w:eastAsia="黑体"/>
              <w:caps w:val="0"/>
              <w:smallCaps w:val="0"/>
            </w:rPr>
            <w:t>8</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566A779D">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_Toc14096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caps w:val="0"/>
              <w:smallCaps w:val="0"/>
              <w:szCs w:val="32"/>
              <w:highlight w:val="none"/>
              <w:lang w:val="zh-CN"/>
            </w:rPr>
            <w:t>二、招标编号</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_Toc14096 \h </w:instrText>
          </w:r>
          <w:r>
            <w:rPr>
              <w:rFonts w:ascii="Times New Roman" w:hAnsi="Times New Roman" w:eastAsia="黑体"/>
              <w:caps w:val="0"/>
              <w:smallCaps w:val="0"/>
            </w:rPr>
            <w:fldChar w:fldCharType="separate"/>
          </w:r>
          <w:r>
            <w:rPr>
              <w:rFonts w:ascii="Times New Roman" w:hAnsi="Times New Roman" w:eastAsia="黑体"/>
              <w:caps w:val="0"/>
              <w:smallCaps w:val="0"/>
            </w:rPr>
            <w:t>8</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7525E852">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_Toc17939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caps w:val="0"/>
              <w:smallCaps w:val="0"/>
              <w:szCs w:val="32"/>
              <w:highlight w:val="none"/>
            </w:rPr>
            <w:t>三、投标人资质要求</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_Toc17939 \h </w:instrText>
          </w:r>
          <w:r>
            <w:rPr>
              <w:rFonts w:ascii="Times New Roman" w:hAnsi="Times New Roman" w:eastAsia="黑体"/>
              <w:caps w:val="0"/>
              <w:smallCaps w:val="0"/>
            </w:rPr>
            <w:fldChar w:fldCharType="separate"/>
          </w:r>
          <w:r>
            <w:rPr>
              <w:rFonts w:ascii="Times New Roman" w:hAnsi="Times New Roman" w:eastAsia="黑体"/>
              <w:caps w:val="0"/>
              <w:smallCaps w:val="0"/>
            </w:rPr>
            <w:t>8</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53719014">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_Toc9504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caps w:val="0"/>
              <w:smallCaps w:val="0"/>
              <w:szCs w:val="32"/>
              <w:highlight w:val="none"/>
              <w:lang w:val="en-US" w:eastAsia="zh-CN"/>
            </w:rPr>
            <w:t>四、项目概况及服务需求</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_Toc9504 \h </w:instrText>
          </w:r>
          <w:r>
            <w:rPr>
              <w:rFonts w:ascii="Times New Roman" w:hAnsi="Times New Roman" w:eastAsia="黑体"/>
              <w:caps w:val="0"/>
              <w:smallCaps w:val="0"/>
            </w:rPr>
            <w:fldChar w:fldCharType="separate"/>
          </w:r>
          <w:r>
            <w:rPr>
              <w:rFonts w:ascii="Times New Roman" w:hAnsi="Times New Roman" w:eastAsia="黑体"/>
              <w:caps w:val="0"/>
              <w:smallCaps w:val="0"/>
            </w:rPr>
            <w:t>9</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30A516AE">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_Toc25965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caps w:val="0"/>
              <w:smallCaps w:val="0"/>
              <w:szCs w:val="32"/>
              <w:highlight w:val="none"/>
              <w:lang w:val="en-US" w:eastAsia="zh-CN"/>
            </w:rPr>
            <w:t>五</w:t>
          </w:r>
          <w:r>
            <w:rPr>
              <w:rFonts w:hint="eastAsia" w:ascii="Times New Roman" w:hAnsi="Times New Roman" w:eastAsia="黑体" w:cs="黑体"/>
              <w:caps w:val="0"/>
              <w:smallCaps w:val="0"/>
              <w:szCs w:val="32"/>
              <w:highlight w:val="none"/>
            </w:rPr>
            <w:t>、投标文件要求</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_Toc25965 \h </w:instrText>
          </w:r>
          <w:r>
            <w:rPr>
              <w:rFonts w:ascii="Times New Roman" w:hAnsi="Times New Roman" w:eastAsia="黑体"/>
              <w:caps w:val="0"/>
              <w:smallCaps w:val="0"/>
            </w:rPr>
            <w:fldChar w:fldCharType="separate"/>
          </w:r>
          <w:r>
            <w:rPr>
              <w:rFonts w:ascii="Times New Roman" w:hAnsi="Times New Roman" w:eastAsia="黑体"/>
              <w:caps w:val="0"/>
              <w:smallCaps w:val="0"/>
            </w:rPr>
            <w:t>13</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57D27187">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_Toc18208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caps w:val="0"/>
              <w:smallCaps w:val="0"/>
              <w:szCs w:val="32"/>
              <w:highlight w:val="none"/>
              <w:lang w:val="en-US" w:eastAsia="zh-CN"/>
            </w:rPr>
            <w:t>六</w:t>
          </w:r>
          <w:r>
            <w:rPr>
              <w:rFonts w:hint="eastAsia" w:ascii="Times New Roman" w:hAnsi="Times New Roman" w:eastAsia="黑体" w:cs="黑体"/>
              <w:caps w:val="0"/>
              <w:smallCaps w:val="0"/>
              <w:szCs w:val="32"/>
              <w:highlight w:val="none"/>
            </w:rPr>
            <w:t>、投标人须知</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_Toc18208 \h </w:instrText>
          </w:r>
          <w:r>
            <w:rPr>
              <w:rFonts w:ascii="Times New Roman" w:hAnsi="Times New Roman" w:eastAsia="黑体"/>
              <w:caps w:val="0"/>
              <w:smallCaps w:val="0"/>
            </w:rPr>
            <w:fldChar w:fldCharType="separate"/>
          </w:r>
          <w:r>
            <w:rPr>
              <w:rFonts w:ascii="Times New Roman" w:hAnsi="Times New Roman" w:eastAsia="黑体"/>
              <w:caps w:val="0"/>
              <w:smallCaps w:val="0"/>
            </w:rPr>
            <w:t>17</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69AA4550">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_Toc18792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caps w:val="0"/>
              <w:smallCaps w:val="0"/>
              <w:szCs w:val="32"/>
              <w:highlight w:val="none"/>
              <w:lang w:val="en-US" w:eastAsia="zh-CN"/>
            </w:rPr>
            <w:t>七</w:t>
          </w:r>
          <w:r>
            <w:rPr>
              <w:rFonts w:hint="eastAsia" w:ascii="Times New Roman" w:hAnsi="Times New Roman" w:eastAsia="黑体" w:cs="黑体"/>
              <w:caps w:val="0"/>
              <w:smallCaps w:val="0"/>
              <w:szCs w:val="32"/>
              <w:highlight w:val="none"/>
            </w:rPr>
            <w:t>、投标文件作废</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_Toc18792 \h </w:instrText>
          </w:r>
          <w:r>
            <w:rPr>
              <w:rFonts w:ascii="Times New Roman" w:hAnsi="Times New Roman" w:eastAsia="黑体"/>
              <w:caps w:val="0"/>
              <w:smallCaps w:val="0"/>
            </w:rPr>
            <w:fldChar w:fldCharType="separate"/>
          </w:r>
          <w:r>
            <w:rPr>
              <w:rFonts w:ascii="Times New Roman" w:hAnsi="Times New Roman" w:eastAsia="黑体"/>
              <w:caps w:val="0"/>
              <w:smallCaps w:val="0"/>
            </w:rPr>
            <w:t>19</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25D0ED70">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_Toc24283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caps w:val="0"/>
              <w:smallCaps w:val="0"/>
              <w:szCs w:val="32"/>
              <w:highlight w:val="none"/>
              <w:lang w:val="en-US" w:eastAsia="zh-CN"/>
            </w:rPr>
            <w:t>八</w:t>
          </w:r>
          <w:r>
            <w:rPr>
              <w:rFonts w:hint="eastAsia" w:ascii="Times New Roman" w:hAnsi="Times New Roman" w:eastAsia="黑体" w:cs="黑体"/>
              <w:caps w:val="0"/>
              <w:smallCaps w:val="0"/>
              <w:szCs w:val="32"/>
              <w:highlight w:val="none"/>
            </w:rPr>
            <w:t>、其他要求</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_Toc24283 \h </w:instrText>
          </w:r>
          <w:r>
            <w:rPr>
              <w:rFonts w:ascii="Times New Roman" w:hAnsi="Times New Roman" w:eastAsia="黑体"/>
              <w:caps w:val="0"/>
              <w:smallCaps w:val="0"/>
            </w:rPr>
            <w:fldChar w:fldCharType="separate"/>
          </w:r>
          <w:r>
            <w:rPr>
              <w:rFonts w:ascii="Times New Roman" w:hAnsi="Times New Roman" w:eastAsia="黑体"/>
              <w:caps w:val="0"/>
              <w:smallCaps w:val="0"/>
            </w:rPr>
            <w:t>19</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5F9603FF">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_Toc21075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caps w:val="0"/>
              <w:smallCaps w:val="0"/>
              <w:szCs w:val="32"/>
              <w:highlight w:val="none"/>
              <w:lang w:val="en-US" w:eastAsia="zh-CN"/>
            </w:rPr>
            <w:t>九</w:t>
          </w:r>
          <w:r>
            <w:rPr>
              <w:rFonts w:hint="eastAsia" w:ascii="Times New Roman" w:hAnsi="Times New Roman" w:eastAsia="黑体" w:cs="黑体"/>
              <w:caps w:val="0"/>
              <w:smallCaps w:val="0"/>
              <w:szCs w:val="32"/>
              <w:highlight w:val="none"/>
            </w:rPr>
            <w:t>、投标文件递交</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_Toc21075 \h </w:instrText>
          </w:r>
          <w:r>
            <w:rPr>
              <w:rFonts w:ascii="Times New Roman" w:hAnsi="Times New Roman" w:eastAsia="黑体"/>
              <w:caps w:val="0"/>
              <w:smallCaps w:val="0"/>
            </w:rPr>
            <w:fldChar w:fldCharType="separate"/>
          </w:r>
          <w:r>
            <w:rPr>
              <w:rFonts w:ascii="Times New Roman" w:hAnsi="Times New Roman" w:eastAsia="黑体"/>
              <w:caps w:val="0"/>
              <w:smallCaps w:val="0"/>
            </w:rPr>
            <w:t>20</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3C87C0FA">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_Toc616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bCs/>
              <w:caps w:val="0"/>
              <w:smallCaps w:val="0"/>
              <w:szCs w:val="32"/>
              <w:highlight w:val="none"/>
            </w:rPr>
            <w:t>十、开标</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_Toc616 \h </w:instrText>
          </w:r>
          <w:r>
            <w:rPr>
              <w:rFonts w:ascii="Times New Roman" w:hAnsi="Times New Roman" w:eastAsia="黑体"/>
              <w:caps w:val="0"/>
              <w:smallCaps w:val="0"/>
            </w:rPr>
            <w:fldChar w:fldCharType="separate"/>
          </w:r>
          <w:r>
            <w:rPr>
              <w:rFonts w:ascii="Times New Roman" w:hAnsi="Times New Roman" w:eastAsia="黑体"/>
              <w:caps w:val="0"/>
              <w:smallCaps w:val="0"/>
            </w:rPr>
            <w:t>21</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6D649F25">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_Toc8414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bCs/>
              <w:caps w:val="0"/>
              <w:smallCaps w:val="0"/>
              <w:szCs w:val="32"/>
              <w:highlight w:val="none"/>
            </w:rPr>
            <w:t>十</w:t>
          </w:r>
          <w:r>
            <w:rPr>
              <w:rFonts w:hint="eastAsia" w:ascii="Times New Roman" w:hAnsi="Times New Roman" w:eastAsia="黑体" w:cs="黑体"/>
              <w:bCs/>
              <w:caps w:val="0"/>
              <w:smallCaps w:val="0"/>
              <w:szCs w:val="32"/>
              <w:highlight w:val="none"/>
              <w:lang w:val="en-US" w:eastAsia="zh-CN"/>
            </w:rPr>
            <w:t>一</w:t>
          </w:r>
          <w:r>
            <w:rPr>
              <w:rFonts w:hint="eastAsia" w:ascii="Times New Roman" w:hAnsi="Times New Roman" w:eastAsia="黑体" w:cs="黑体"/>
              <w:bCs/>
              <w:caps w:val="0"/>
              <w:smallCaps w:val="0"/>
              <w:szCs w:val="32"/>
              <w:highlight w:val="none"/>
            </w:rPr>
            <w:t>、评标</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_Toc8414 \h </w:instrText>
          </w:r>
          <w:r>
            <w:rPr>
              <w:rFonts w:ascii="Times New Roman" w:hAnsi="Times New Roman" w:eastAsia="黑体"/>
              <w:caps w:val="0"/>
              <w:smallCaps w:val="0"/>
            </w:rPr>
            <w:fldChar w:fldCharType="separate"/>
          </w:r>
          <w:r>
            <w:rPr>
              <w:rFonts w:ascii="Times New Roman" w:hAnsi="Times New Roman" w:eastAsia="黑体"/>
              <w:caps w:val="0"/>
              <w:smallCaps w:val="0"/>
            </w:rPr>
            <w:t>22</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47957DDD">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_Toc3785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bCs/>
              <w:caps w:val="0"/>
              <w:smallCaps w:val="0"/>
              <w:szCs w:val="32"/>
              <w:highlight w:val="none"/>
            </w:rPr>
            <w:t>十</w:t>
          </w:r>
          <w:r>
            <w:rPr>
              <w:rFonts w:hint="eastAsia" w:ascii="Times New Roman" w:hAnsi="Times New Roman" w:eastAsia="黑体" w:cs="黑体"/>
              <w:bCs/>
              <w:caps w:val="0"/>
              <w:smallCaps w:val="0"/>
              <w:szCs w:val="32"/>
              <w:highlight w:val="none"/>
              <w:lang w:val="en-US" w:eastAsia="zh-CN"/>
            </w:rPr>
            <w:t>二</w:t>
          </w:r>
          <w:r>
            <w:rPr>
              <w:rFonts w:hint="eastAsia" w:ascii="Times New Roman" w:hAnsi="Times New Roman" w:eastAsia="黑体" w:cs="黑体"/>
              <w:bCs/>
              <w:caps w:val="0"/>
              <w:smallCaps w:val="0"/>
              <w:szCs w:val="32"/>
              <w:highlight w:val="none"/>
            </w:rPr>
            <w:t>、定标</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_Toc3785 \h </w:instrText>
          </w:r>
          <w:r>
            <w:rPr>
              <w:rFonts w:ascii="Times New Roman" w:hAnsi="Times New Roman" w:eastAsia="黑体"/>
              <w:caps w:val="0"/>
              <w:smallCaps w:val="0"/>
            </w:rPr>
            <w:fldChar w:fldCharType="separate"/>
          </w:r>
          <w:r>
            <w:rPr>
              <w:rFonts w:ascii="Times New Roman" w:hAnsi="Times New Roman" w:eastAsia="黑体"/>
              <w:caps w:val="0"/>
              <w:smallCaps w:val="0"/>
            </w:rPr>
            <w:t>22</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749BF735">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_Toc10451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bCs/>
              <w:caps w:val="0"/>
              <w:smallCaps w:val="0"/>
              <w:szCs w:val="32"/>
              <w:highlight w:val="none"/>
            </w:rPr>
            <w:t>十</w:t>
          </w:r>
          <w:r>
            <w:rPr>
              <w:rFonts w:hint="eastAsia" w:ascii="Times New Roman" w:hAnsi="Times New Roman" w:eastAsia="黑体" w:cs="黑体"/>
              <w:bCs/>
              <w:caps w:val="0"/>
              <w:smallCaps w:val="0"/>
              <w:szCs w:val="32"/>
              <w:highlight w:val="none"/>
              <w:lang w:val="en-US" w:eastAsia="zh-CN"/>
            </w:rPr>
            <w:t>三</w:t>
          </w:r>
          <w:r>
            <w:rPr>
              <w:rFonts w:hint="eastAsia" w:ascii="Times New Roman" w:hAnsi="Times New Roman" w:eastAsia="黑体" w:cs="黑体"/>
              <w:bCs/>
              <w:caps w:val="0"/>
              <w:smallCaps w:val="0"/>
              <w:szCs w:val="32"/>
              <w:highlight w:val="none"/>
            </w:rPr>
            <w:t>、结算方式</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_Toc10451 \h </w:instrText>
          </w:r>
          <w:r>
            <w:rPr>
              <w:rFonts w:ascii="Times New Roman" w:hAnsi="Times New Roman" w:eastAsia="黑体"/>
              <w:caps w:val="0"/>
              <w:smallCaps w:val="0"/>
            </w:rPr>
            <w:fldChar w:fldCharType="separate"/>
          </w:r>
          <w:r>
            <w:rPr>
              <w:rFonts w:ascii="Times New Roman" w:hAnsi="Times New Roman" w:eastAsia="黑体"/>
              <w:caps w:val="0"/>
              <w:smallCaps w:val="0"/>
            </w:rPr>
            <w:t>22</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3B94ACB1">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_Toc12355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bCs/>
              <w:caps w:val="0"/>
              <w:smallCaps w:val="0"/>
              <w:szCs w:val="32"/>
              <w:highlight w:val="none"/>
            </w:rPr>
            <w:t>十</w:t>
          </w:r>
          <w:r>
            <w:rPr>
              <w:rFonts w:hint="eastAsia" w:ascii="Times New Roman" w:hAnsi="Times New Roman" w:eastAsia="黑体" w:cs="黑体"/>
              <w:bCs/>
              <w:caps w:val="0"/>
              <w:smallCaps w:val="0"/>
              <w:szCs w:val="32"/>
              <w:highlight w:val="none"/>
              <w:lang w:val="en-US" w:eastAsia="zh-CN"/>
            </w:rPr>
            <w:t>四</w:t>
          </w:r>
          <w:r>
            <w:rPr>
              <w:rFonts w:hint="eastAsia" w:ascii="Times New Roman" w:hAnsi="Times New Roman" w:eastAsia="黑体" w:cs="黑体"/>
              <w:bCs/>
              <w:caps w:val="0"/>
              <w:smallCaps w:val="0"/>
              <w:szCs w:val="32"/>
              <w:highlight w:val="none"/>
            </w:rPr>
            <w:t>、解释权</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_Toc12355 \h </w:instrText>
          </w:r>
          <w:r>
            <w:rPr>
              <w:rFonts w:ascii="Times New Roman" w:hAnsi="Times New Roman" w:eastAsia="黑体"/>
              <w:caps w:val="0"/>
              <w:smallCaps w:val="0"/>
            </w:rPr>
            <w:fldChar w:fldCharType="separate"/>
          </w:r>
          <w:r>
            <w:rPr>
              <w:rFonts w:ascii="Times New Roman" w:hAnsi="Times New Roman" w:eastAsia="黑体"/>
              <w:caps w:val="0"/>
              <w:smallCaps w:val="0"/>
            </w:rPr>
            <w:t>22</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2BA192D0">
          <w:pPr>
            <w:pStyle w:val="14"/>
            <w:keepNext w:val="0"/>
            <w:keepLines w:val="0"/>
            <w:pageBreakBefore w:val="0"/>
            <w:widowControl w:val="0"/>
            <w:tabs>
              <w:tab w:val="right" w:leader="dot" w:pos="9214"/>
              <w:tab w:val="clear" w:pos="8295"/>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_Toc22140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bCs/>
              <w:caps w:val="0"/>
              <w:smallCaps w:val="0"/>
              <w:szCs w:val="32"/>
              <w:highlight w:val="none"/>
            </w:rPr>
            <w:t>第二章 评标程序及标准</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_Toc22140 \h </w:instrText>
          </w:r>
          <w:r>
            <w:rPr>
              <w:rFonts w:ascii="Times New Roman" w:hAnsi="Times New Roman" w:eastAsia="黑体"/>
              <w:caps w:val="0"/>
              <w:smallCaps w:val="0"/>
            </w:rPr>
            <w:fldChar w:fldCharType="separate"/>
          </w:r>
          <w:r>
            <w:rPr>
              <w:rFonts w:ascii="Times New Roman" w:hAnsi="Times New Roman" w:eastAsia="黑体"/>
              <w:caps w:val="0"/>
              <w:smallCaps w:val="0"/>
            </w:rPr>
            <w:t>23</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21FBBA73">
          <w:pPr>
            <w:pStyle w:val="14"/>
            <w:keepNext w:val="0"/>
            <w:keepLines w:val="0"/>
            <w:pageBreakBefore w:val="0"/>
            <w:widowControl w:val="0"/>
            <w:tabs>
              <w:tab w:val="right" w:leader="dot" w:pos="9214"/>
              <w:tab w:val="clear" w:pos="8295"/>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_Toc13994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bCs/>
              <w:caps w:val="0"/>
              <w:smallCaps w:val="0"/>
              <w:szCs w:val="32"/>
              <w:highlight w:val="none"/>
            </w:rPr>
            <w:t>第三章 合同条款</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_Toc13994 \h </w:instrText>
          </w:r>
          <w:r>
            <w:rPr>
              <w:rFonts w:ascii="Times New Roman" w:hAnsi="Times New Roman" w:eastAsia="黑体"/>
              <w:caps w:val="0"/>
              <w:smallCaps w:val="0"/>
            </w:rPr>
            <w:fldChar w:fldCharType="separate"/>
          </w:r>
          <w:r>
            <w:rPr>
              <w:rFonts w:ascii="Times New Roman" w:hAnsi="Times New Roman" w:eastAsia="黑体"/>
              <w:caps w:val="0"/>
              <w:smallCaps w:val="0"/>
            </w:rPr>
            <w:t>30</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0BBA63DF">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_Toc17473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仿宋"/>
              <w:bCs w:val="0"/>
              <w:caps w:val="0"/>
              <w:smallCaps w:val="0"/>
              <w:szCs w:val="22"/>
              <w:highlight w:val="none"/>
              <w:lang w:val="zh-CN" w:eastAsia="zh-CN"/>
            </w:rPr>
            <w:t>采购</w:t>
          </w:r>
          <w:r>
            <w:rPr>
              <w:rFonts w:hint="eastAsia" w:ascii="Times New Roman" w:hAnsi="Times New Roman" w:eastAsia="黑体" w:cs="仿宋"/>
              <w:bCs w:val="0"/>
              <w:caps w:val="0"/>
              <w:smallCaps w:val="0"/>
              <w:szCs w:val="22"/>
              <w:highlight w:val="none"/>
              <w:lang w:val="zh-CN"/>
            </w:rPr>
            <w:t>合同附件1：供需双方廉洁互保协议</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_Toc17473 \h </w:instrText>
          </w:r>
          <w:r>
            <w:rPr>
              <w:rFonts w:ascii="Times New Roman" w:hAnsi="Times New Roman" w:eastAsia="黑体"/>
              <w:caps w:val="0"/>
              <w:smallCaps w:val="0"/>
            </w:rPr>
            <w:fldChar w:fldCharType="separate"/>
          </w:r>
          <w:r>
            <w:rPr>
              <w:rFonts w:ascii="Times New Roman" w:hAnsi="Times New Roman" w:eastAsia="黑体"/>
              <w:caps w:val="0"/>
              <w:smallCaps w:val="0"/>
            </w:rPr>
            <w:t>37</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15D0F869">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_Toc23813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仿宋"/>
              <w:bCs w:val="0"/>
              <w:caps w:val="0"/>
              <w:smallCaps w:val="0"/>
              <w:szCs w:val="22"/>
              <w:highlight w:val="none"/>
              <w:lang w:val="zh-CN"/>
            </w:rPr>
            <w:t>采购合同附件2：供应商环境及职业健康安全体系符合性承诺书</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_Toc23813 \h </w:instrText>
          </w:r>
          <w:r>
            <w:rPr>
              <w:rFonts w:ascii="Times New Roman" w:hAnsi="Times New Roman" w:eastAsia="黑体"/>
              <w:caps w:val="0"/>
              <w:smallCaps w:val="0"/>
            </w:rPr>
            <w:fldChar w:fldCharType="separate"/>
          </w:r>
          <w:r>
            <w:rPr>
              <w:rFonts w:ascii="Times New Roman" w:hAnsi="Times New Roman" w:eastAsia="黑体"/>
              <w:caps w:val="0"/>
              <w:smallCaps w:val="0"/>
            </w:rPr>
            <w:t>39</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24918B2A">
          <w:pPr>
            <w:pStyle w:val="14"/>
            <w:keepNext w:val="0"/>
            <w:keepLines w:val="0"/>
            <w:pageBreakBefore w:val="0"/>
            <w:widowControl w:val="0"/>
            <w:tabs>
              <w:tab w:val="right" w:leader="dot" w:pos="9214"/>
              <w:tab w:val="clear" w:pos="8295"/>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_Toc10831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bCs/>
              <w:caps w:val="0"/>
              <w:smallCaps w:val="0"/>
              <w:szCs w:val="32"/>
              <w:highlight w:val="none"/>
            </w:rPr>
            <w:t>第四章 投标文件格式</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_Toc10831 \h </w:instrText>
          </w:r>
          <w:r>
            <w:rPr>
              <w:rFonts w:ascii="Times New Roman" w:hAnsi="Times New Roman" w:eastAsia="黑体"/>
              <w:caps w:val="0"/>
              <w:smallCaps w:val="0"/>
            </w:rPr>
            <w:fldChar w:fldCharType="separate"/>
          </w:r>
          <w:r>
            <w:rPr>
              <w:rFonts w:ascii="Times New Roman" w:hAnsi="Times New Roman" w:eastAsia="黑体"/>
              <w:caps w:val="0"/>
              <w:smallCaps w:val="0"/>
            </w:rPr>
            <w:t>40</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7C849AE6">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_Toc10020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bCs/>
              <w:caps w:val="0"/>
              <w:smallCaps w:val="0"/>
              <w:szCs w:val="28"/>
              <w:highlight w:val="none"/>
            </w:rPr>
            <w:t>格式1：《唱标信封》</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_Toc10020 \h </w:instrText>
          </w:r>
          <w:r>
            <w:rPr>
              <w:rFonts w:ascii="Times New Roman" w:hAnsi="Times New Roman" w:eastAsia="黑体"/>
              <w:caps w:val="0"/>
              <w:smallCaps w:val="0"/>
            </w:rPr>
            <w:fldChar w:fldCharType="separate"/>
          </w:r>
          <w:r>
            <w:rPr>
              <w:rFonts w:ascii="Times New Roman" w:hAnsi="Times New Roman" w:eastAsia="黑体"/>
              <w:caps w:val="0"/>
              <w:smallCaps w:val="0"/>
            </w:rPr>
            <w:t>40</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7DE648D5">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_Toc16443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bCs/>
              <w:caps w:val="0"/>
              <w:smallCaps w:val="0"/>
              <w:szCs w:val="28"/>
              <w:highlight w:val="none"/>
            </w:rPr>
            <w:t>格式2：开标一览表</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_Toc16443 \h </w:instrText>
          </w:r>
          <w:r>
            <w:rPr>
              <w:rFonts w:ascii="Times New Roman" w:hAnsi="Times New Roman" w:eastAsia="黑体"/>
              <w:caps w:val="0"/>
              <w:smallCaps w:val="0"/>
            </w:rPr>
            <w:fldChar w:fldCharType="separate"/>
          </w:r>
          <w:r>
            <w:rPr>
              <w:rFonts w:ascii="Times New Roman" w:hAnsi="Times New Roman" w:eastAsia="黑体"/>
              <w:caps w:val="0"/>
              <w:smallCaps w:val="0"/>
            </w:rPr>
            <w:t>41</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0077C9F2">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_Toc19750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bCs/>
              <w:caps w:val="0"/>
              <w:smallCaps w:val="0"/>
              <w:szCs w:val="28"/>
              <w:highlight w:val="none"/>
            </w:rPr>
            <w:t>格式</w:t>
          </w:r>
          <w:r>
            <w:rPr>
              <w:rFonts w:hint="eastAsia" w:ascii="Times New Roman" w:hAnsi="Times New Roman" w:eastAsia="黑体" w:cs="黑体"/>
              <w:bCs/>
              <w:caps w:val="0"/>
              <w:smallCaps w:val="0"/>
              <w:szCs w:val="28"/>
              <w:highlight w:val="none"/>
              <w:lang w:val="en-US" w:eastAsia="zh-CN"/>
            </w:rPr>
            <w:t>3</w:t>
          </w:r>
          <w:r>
            <w:rPr>
              <w:rFonts w:hint="eastAsia" w:ascii="Times New Roman" w:hAnsi="Times New Roman" w:eastAsia="黑体" w:cs="黑体"/>
              <w:bCs/>
              <w:caps w:val="0"/>
              <w:smallCaps w:val="0"/>
              <w:szCs w:val="28"/>
              <w:highlight w:val="none"/>
              <w:lang w:eastAsia="zh-CN"/>
            </w:rPr>
            <w:t>：</w:t>
          </w:r>
          <w:r>
            <w:rPr>
              <w:rFonts w:hint="eastAsia" w:ascii="Times New Roman" w:hAnsi="Times New Roman" w:eastAsia="黑体" w:cs="黑体"/>
              <w:bCs/>
              <w:caps w:val="0"/>
              <w:smallCaps w:val="0"/>
              <w:szCs w:val="28"/>
              <w:highlight w:val="none"/>
              <w:lang w:val="en-US" w:eastAsia="zh-CN"/>
            </w:rPr>
            <w:t>业绩证明</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_Toc19750 \h </w:instrText>
          </w:r>
          <w:r>
            <w:rPr>
              <w:rFonts w:ascii="Times New Roman" w:hAnsi="Times New Roman" w:eastAsia="黑体"/>
              <w:caps w:val="0"/>
              <w:smallCaps w:val="0"/>
            </w:rPr>
            <w:fldChar w:fldCharType="separate"/>
          </w:r>
          <w:r>
            <w:rPr>
              <w:rFonts w:ascii="Times New Roman" w:hAnsi="Times New Roman" w:eastAsia="黑体"/>
              <w:caps w:val="0"/>
              <w:smallCaps w:val="0"/>
            </w:rPr>
            <w:t>42</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19E66FF2">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_Toc18690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bCs/>
              <w:caps w:val="0"/>
              <w:smallCaps w:val="0"/>
              <w:szCs w:val="28"/>
              <w:highlight w:val="none"/>
            </w:rPr>
            <w:t>格式</w:t>
          </w:r>
          <w:r>
            <w:rPr>
              <w:rFonts w:hint="eastAsia" w:ascii="Times New Roman" w:hAnsi="Times New Roman" w:eastAsia="黑体" w:cs="黑体"/>
              <w:bCs/>
              <w:caps w:val="0"/>
              <w:smallCaps w:val="0"/>
              <w:szCs w:val="28"/>
              <w:highlight w:val="none"/>
              <w:lang w:val="en-US" w:eastAsia="zh-CN"/>
            </w:rPr>
            <w:t>4</w:t>
          </w:r>
          <w:r>
            <w:rPr>
              <w:rFonts w:hint="eastAsia" w:ascii="Times New Roman" w:hAnsi="Times New Roman" w:eastAsia="黑体" w:cs="黑体"/>
              <w:bCs/>
              <w:caps w:val="0"/>
              <w:smallCaps w:val="0"/>
              <w:szCs w:val="28"/>
              <w:highlight w:val="none"/>
            </w:rPr>
            <w:t>: 体检套餐及项目清单</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_Toc18690 \h </w:instrText>
          </w:r>
          <w:r>
            <w:rPr>
              <w:rFonts w:ascii="Times New Roman" w:hAnsi="Times New Roman" w:eastAsia="黑体"/>
              <w:caps w:val="0"/>
              <w:smallCaps w:val="0"/>
            </w:rPr>
            <w:fldChar w:fldCharType="separate"/>
          </w:r>
          <w:r>
            <w:rPr>
              <w:rFonts w:ascii="Times New Roman" w:hAnsi="Times New Roman" w:eastAsia="黑体"/>
              <w:caps w:val="0"/>
              <w:smallCaps w:val="0"/>
            </w:rPr>
            <w:t>43</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6507D216">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_Toc11271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bCs/>
              <w:caps w:val="0"/>
              <w:smallCaps w:val="0"/>
              <w:szCs w:val="24"/>
              <w:highlight w:val="none"/>
              <w:lang w:val="zh-CN"/>
            </w:rPr>
            <w:t>格式</w:t>
          </w:r>
          <w:r>
            <w:rPr>
              <w:rFonts w:hint="eastAsia" w:ascii="Times New Roman" w:hAnsi="Times New Roman" w:eastAsia="黑体" w:cs="黑体"/>
              <w:bCs/>
              <w:caps w:val="0"/>
              <w:smallCaps w:val="0"/>
              <w:szCs w:val="24"/>
              <w:highlight w:val="none"/>
              <w:lang w:val="en-US" w:eastAsia="zh-CN"/>
            </w:rPr>
            <w:t>5</w:t>
          </w:r>
          <w:r>
            <w:rPr>
              <w:rFonts w:hint="eastAsia" w:ascii="Times New Roman" w:hAnsi="Times New Roman" w:eastAsia="黑体" w:cs="黑体"/>
              <w:bCs/>
              <w:caps w:val="0"/>
              <w:smallCaps w:val="0"/>
              <w:szCs w:val="24"/>
              <w:highlight w:val="none"/>
            </w:rPr>
            <w:t>：</w:t>
          </w:r>
          <w:r>
            <w:rPr>
              <w:rFonts w:hint="eastAsia" w:ascii="Times New Roman" w:hAnsi="Times New Roman" w:eastAsia="黑体" w:cs="黑体"/>
              <w:bCs/>
              <w:caps w:val="0"/>
              <w:smallCaps w:val="0"/>
              <w:szCs w:val="24"/>
              <w:highlight w:val="none"/>
              <w:lang w:val="en-US" w:eastAsia="zh-CN"/>
            </w:rPr>
            <w:t>招标文件</w:t>
          </w:r>
          <w:r>
            <w:rPr>
              <w:rFonts w:hint="eastAsia" w:ascii="Times New Roman" w:hAnsi="Times New Roman" w:eastAsia="黑体" w:cs="黑体"/>
              <w:bCs/>
              <w:caps w:val="0"/>
              <w:smallCaps w:val="0"/>
              <w:szCs w:val="24"/>
              <w:highlight w:val="none"/>
            </w:rPr>
            <w:t>响应情况清单</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_Toc11271 \h </w:instrText>
          </w:r>
          <w:r>
            <w:rPr>
              <w:rFonts w:ascii="Times New Roman" w:hAnsi="Times New Roman" w:eastAsia="黑体"/>
              <w:caps w:val="0"/>
              <w:smallCaps w:val="0"/>
            </w:rPr>
            <w:fldChar w:fldCharType="separate"/>
          </w:r>
          <w:r>
            <w:rPr>
              <w:rFonts w:ascii="Times New Roman" w:hAnsi="Times New Roman" w:eastAsia="黑体"/>
              <w:caps w:val="0"/>
              <w:smallCaps w:val="0"/>
            </w:rPr>
            <w:t>46</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083ED304">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_Toc988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bCs/>
              <w:caps w:val="0"/>
              <w:smallCaps w:val="0"/>
              <w:szCs w:val="24"/>
              <w:highlight w:val="none"/>
            </w:rPr>
            <w:t>格式</w:t>
          </w:r>
          <w:r>
            <w:rPr>
              <w:rFonts w:hint="eastAsia" w:ascii="Times New Roman" w:hAnsi="Times New Roman" w:eastAsia="黑体" w:cs="黑体"/>
              <w:bCs/>
              <w:caps w:val="0"/>
              <w:smallCaps w:val="0"/>
              <w:szCs w:val="24"/>
              <w:highlight w:val="none"/>
              <w:lang w:val="en-US" w:eastAsia="zh-CN"/>
            </w:rPr>
            <w:t>6</w:t>
          </w:r>
          <w:r>
            <w:rPr>
              <w:rFonts w:hint="eastAsia" w:ascii="Times New Roman" w:hAnsi="Times New Roman" w:eastAsia="黑体" w:cs="黑体"/>
              <w:bCs/>
              <w:caps w:val="0"/>
              <w:smallCaps w:val="0"/>
              <w:szCs w:val="24"/>
              <w:highlight w:val="none"/>
            </w:rPr>
            <w:t>：报价表</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_Toc988 \h </w:instrText>
          </w:r>
          <w:r>
            <w:rPr>
              <w:rFonts w:ascii="Times New Roman" w:hAnsi="Times New Roman" w:eastAsia="黑体"/>
              <w:caps w:val="0"/>
              <w:smallCaps w:val="0"/>
            </w:rPr>
            <w:fldChar w:fldCharType="separate"/>
          </w:r>
          <w:r>
            <w:rPr>
              <w:rFonts w:ascii="Times New Roman" w:hAnsi="Times New Roman" w:eastAsia="黑体"/>
              <w:caps w:val="0"/>
              <w:smallCaps w:val="0"/>
            </w:rPr>
            <w:t>47</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1368229A">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_Toc11171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bCs/>
              <w:caps w:val="0"/>
              <w:smallCaps w:val="0"/>
              <w:szCs w:val="28"/>
              <w:highlight w:val="none"/>
              <w:lang w:val="zh-CN"/>
            </w:rPr>
            <w:t>格式</w:t>
          </w:r>
          <w:r>
            <w:rPr>
              <w:rFonts w:hint="eastAsia" w:ascii="Times New Roman" w:hAnsi="Times New Roman" w:eastAsia="黑体" w:cs="黑体"/>
              <w:bCs/>
              <w:caps w:val="0"/>
              <w:smallCaps w:val="0"/>
              <w:szCs w:val="28"/>
              <w:highlight w:val="none"/>
              <w:lang w:val="en-US" w:eastAsia="zh-CN"/>
            </w:rPr>
            <w:t>7</w:t>
          </w:r>
          <w:r>
            <w:rPr>
              <w:rFonts w:hint="eastAsia" w:ascii="Times New Roman" w:hAnsi="Times New Roman" w:eastAsia="黑体" w:cs="黑体"/>
              <w:bCs/>
              <w:caps w:val="0"/>
              <w:smallCaps w:val="0"/>
              <w:szCs w:val="28"/>
              <w:highlight w:val="none"/>
              <w:lang w:val="zh-CN"/>
            </w:rPr>
            <w:t>：</w:t>
          </w:r>
          <w:r>
            <w:rPr>
              <w:rFonts w:hint="eastAsia" w:ascii="Times New Roman" w:hAnsi="Times New Roman" w:eastAsia="黑体" w:cs="黑体"/>
              <w:bCs/>
              <w:caps w:val="0"/>
              <w:smallCaps w:val="0"/>
              <w:szCs w:val="28"/>
              <w:highlight w:val="none"/>
              <w:lang w:val="en-US" w:eastAsia="zh-CN"/>
            </w:rPr>
            <w:t>廉洁</w:t>
          </w:r>
          <w:r>
            <w:rPr>
              <w:rFonts w:hint="eastAsia" w:ascii="Times New Roman" w:hAnsi="Times New Roman" w:eastAsia="黑体" w:cs="黑体"/>
              <w:bCs/>
              <w:caps w:val="0"/>
              <w:smallCaps w:val="0"/>
              <w:szCs w:val="28"/>
              <w:highlight w:val="none"/>
              <w:lang w:val="zh-CN"/>
            </w:rPr>
            <w:t>承诺函</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_Toc11171 \h </w:instrText>
          </w:r>
          <w:r>
            <w:rPr>
              <w:rFonts w:ascii="Times New Roman" w:hAnsi="Times New Roman" w:eastAsia="黑体"/>
              <w:caps w:val="0"/>
              <w:smallCaps w:val="0"/>
            </w:rPr>
            <w:fldChar w:fldCharType="separate"/>
          </w:r>
          <w:r>
            <w:rPr>
              <w:rFonts w:ascii="Times New Roman" w:hAnsi="Times New Roman" w:eastAsia="黑体"/>
              <w:caps w:val="0"/>
              <w:smallCaps w:val="0"/>
            </w:rPr>
            <w:t>49</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6B18B247">
          <w:pPr>
            <w:pStyle w:val="7"/>
            <w:keepNext w:val="0"/>
            <w:keepLines w:val="0"/>
            <w:pageBreakBefore w:val="0"/>
            <w:widowControl w:val="0"/>
            <w:tabs>
              <w:tab w:val="right" w:leader="dot" w:pos="9214"/>
            </w:tabs>
            <w:kinsoku/>
            <w:wordWrap/>
            <w:overflowPunct/>
            <w:topLinePunct w:val="0"/>
            <w:autoSpaceDE/>
            <w:autoSpaceDN/>
            <w:bidi w:val="0"/>
            <w:adjustRightInd/>
            <w:snapToGrid/>
            <w:spacing w:line="300" w:lineRule="exact"/>
            <w:ind w:left="0" w:leftChars="0"/>
            <w:textAlignment w:val="auto"/>
            <w:rPr>
              <w:rFonts w:ascii="Times New Roman" w:hAnsi="Times New Roman" w:eastAsia="黑体"/>
              <w:caps w:val="0"/>
              <w:smallCaps w:val="0"/>
            </w:rPr>
          </w:pPr>
          <w:r>
            <w:rPr>
              <w:rFonts w:hint="eastAsia" w:ascii="Times New Roman" w:hAnsi="Times New Roman" w:eastAsia="黑体" w:cs="黑体"/>
              <w:bCs/>
              <w:caps w:val="0"/>
              <w:smallCaps w:val="0"/>
              <w:szCs w:val="24"/>
              <w:highlight w:val="none"/>
            </w:rPr>
            <w:fldChar w:fldCharType="begin"/>
          </w:r>
          <w:r>
            <w:rPr>
              <w:rFonts w:hint="eastAsia" w:ascii="Times New Roman" w:hAnsi="Times New Roman" w:eastAsia="黑体" w:cs="黑体"/>
              <w:bCs/>
              <w:caps w:val="0"/>
              <w:smallCaps w:val="0"/>
              <w:szCs w:val="24"/>
              <w:highlight w:val="none"/>
            </w:rPr>
            <w:instrText xml:space="preserve"> HYPERLINK \l _Toc20655 </w:instrText>
          </w:r>
          <w:r>
            <w:rPr>
              <w:rFonts w:hint="eastAsia" w:ascii="Times New Roman" w:hAnsi="Times New Roman" w:eastAsia="黑体" w:cs="黑体"/>
              <w:bCs/>
              <w:caps w:val="0"/>
              <w:smallCaps w:val="0"/>
              <w:szCs w:val="24"/>
              <w:highlight w:val="none"/>
            </w:rPr>
            <w:fldChar w:fldCharType="separate"/>
          </w:r>
          <w:r>
            <w:rPr>
              <w:rFonts w:hint="eastAsia" w:ascii="Times New Roman" w:hAnsi="Times New Roman" w:eastAsia="黑体" w:cs="黑体"/>
              <w:bCs/>
              <w:caps w:val="0"/>
              <w:smallCaps w:val="0"/>
              <w:szCs w:val="28"/>
              <w:highlight w:val="none"/>
              <w:lang w:val="zh-CN"/>
            </w:rPr>
            <w:t>格式</w:t>
          </w:r>
          <w:r>
            <w:rPr>
              <w:rFonts w:hint="eastAsia" w:ascii="Times New Roman" w:hAnsi="Times New Roman" w:eastAsia="黑体" w:cs="黑体"/>
              <w:bCs/>
              <w:caps w:val="0"/>
              <w:smallCaps w:val="0"/>
              <w:szCs w:val="28"/>
              <w:highlight w:val="none"/>
              <w:lang w:val="en-US" w:eastAsia="zh-CN"/>
            </w:rPr>
            <w:t>8</w:t>
          </w:r>
          <w:r>
            <w:rPr>
              <w:rFonts w:hint="eastAsia" w:ascii="Times New Roman" w:hAnsi="Times New Roman" w:eastAsia="黑体" w:cs="黑体"/>
              <w:bCs/>
              <w:caps w:val="0"/>
              <w:smallCaps w:val="0"/>
              <w:szCs w:val="28"/>
              <w:highlight w:val="none"/>
              <w:lang w:val="zh-CN"/>
            </w:rPr>
            <w:t>：</w:t>
          </w:r>
          <w:r>
            <w:rPr>
              <w:rFonts w:hint="eastAsia" w:ascii="Times New Roman" w:hAnsi="Times New Roman" w:eastAsia="黑体" w:cs="黑体"/>
              <w:bCs/>
              <w:caps w:val="0"/>
              <w:smallCaps w:val="0"/>
              <w:szCs w:val="28"/>
              <w:highlight w:val="none"/>
              <w:lang w:val="en-US" w:eastAsia="zh-CN"/>
            </w:rPr>
            <w:t>服务保价</w:t>
          </w:r>
          <w:r>
            <w:rPr>
              <w:rFonts w:hint="eastAsia" w:ascii="Times New Roman" w:hAnsi="Times New Roman" w:eastAsia="黑体" w:cs="黑体"/>
              <w:bCs/>
              <w:caps w:val="0"/>
              <w:smallCaps w:val="0"/>
              <w:szCs w:val="28"/>
              <w:highlight w:val="none"/>
              <w:lang w:val="zh-CN"/>
            </w:rPr>
            <w:t>承诺函</w:t>
          </w:r>
          <w:r>
            <w:rPr>
              <w:rFonts w:ascii="Times New Roman" w:hAnsi="Times New Roman" w:eastAsia="黑体"/>
              <w:caps w:val="0"/>
              <w:smallCaps w:val="0"/>
            </w:rPr>
            <w:tab/>
          </w:r>
          <w:r>
            <w:rPr>
              <w:rFonts w:ascii="Times New Roman" w:hAnsi="Times New Roman" w:eastAsia="黑体"/>
              <w:caps w:val="0"/>
              <w:smallCaps w:val="0"/>
            </w:rPr>
            <w:fldChar w:fldCharType="begin"/>
          </w:r>
          <w:r>
            <w:rPr>
              <w:rFonts w:ascii="Times New Roman" w:hAnsi="Times New Roman" w:eastAsia="黑体"/>
              <w:caps w:val="0"/>
              <w:smallCaps w:val="0"/>
            </w:rPr>
            <w:instrText xml:space="preserve"> PAGEREF _Toc20655 \h </w:instrText>
          </w:r>
          <w:r>
            <w:rPr>
              <w:rFonts w:ascii="Times New Roman" w:hAnsi="Times New Roman" w:eastAsia="黑体"/>
              <w:caps w:val="0"/>
              <w:smallCaps w:val="0"/>
            </w:rPr>
            <w:fldChar w:fldCharType="separate"/>
          </w:r>
          <w:r>
            <w:rPr>
              <w:rFonts w:ascii="Times New Roman" w:hAnsi="Times New Roman" w:eastAsia="黑体"/>
              <w:caps w:val="0"/>
              <w:smallCaps w:val="0"/>
            </w:rPr>
            <w:t>50</w:t>
          </w:r>
          <w:r>
            <w:rPr>
              <w:rFonts w:ascii="Times New Roman" w:hAnsi="Times New Roman" w:eastAsia="黑体"/>
              <w:caps w:val="0"/>
              <w:smallCaps w:val="0"/>
            </w:rPr>
            <w:fldChar w:fldCharType="end"/>
          </w:r>
          <w:r>
            <w:rPr>
              <w:rFonts w:hint="eastAsia" w:ascii="Times New Roman" w:hAnsi="Times New Roman" w:eastAsia="黑体" w:cs="黑体"/>
              <w:bCs/>
              <w:caps w:val="0"/>
              <w:smallCaps w:val="0"/>
              <w:szCs w:val="24"/>
              <w:highlight w:val="none"/>
            </w:rPr>
            <w:fldChar w:fldCharType="end"/>
          </w:r>
        </w:p>
        <w:p w14:paraId="75CBE72E">
          <w:pPr>
            <w:pStyle w:val="13"/>
            <w:keepNext w:val="0"/>
            <w:keepLines w:val="0"/>
            <w:pageBreakBefore w:val="0"/>
            <w:widowControl w:val="0"/>
            <w:kinsoku/>
            <w:wordWrap/>
            <w:overflowPunct/>
            <w:topLinePunct w:val="0"/>
            <w:autoSpaceDE/>
            <w:autoSpaceDN/>
            <w:bidi w:val="0"/>
            <w:adjustRightInd/>
            <w:snapToGrid/>
            <w:spacing w:before="0" w:after="0" w:line="300" w:lineRule="exact"/>
            <w:ind w:left="0" w:leftChars="0" w:firstLine="0" w:firstLineChars="0"/>
            <w:jc w:val="both"/>
            <w:textAlignment w:val="auto"/>
            <w:outlineLvl w:val="9"/>
            <w:rPr>
              <w:rFonts w:ascii="宋体" w:hAnsi="宋体" w:cs="宋体"/>
              <w:bCs w:val="0"/>
              <w:sz w:val="24"/>
              <w:szCs w:val="24"/>
              <w:highlight w:val="none"/>
            </w:rPr>
          </w:pPr>
          <w:r>
            <w:rPr>
              <w:rFonts w:hint="eastAsia" w:ascii="Times New Roman" w:hAnsi="Times New Roman" w:eastAsia="黑体" w:cs="黑体"/>
              <w:bCs/>
              <w:caps w:val="0"/>
              <w:smallCaps w:val="0"/>
              <w:szCs w:val="24"/>
              <w:highlight w:val="none"/>
            </w:rPr>
            <w:fldChar w:fldCharType="end"/>
          </w:r>
        </w:p>
      </w:sdtContent>
    </w:sdt>
    <w:p w14:paraId="1055D439">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b/>
          <w:highlight w:val="none"/>
        </w:rPr>
      </w:pPr>
    </w:p>
    <w:p w14:paraId="59BF39B4">
      <w:pPr>
        <w:rPr>
          <w:highlight w:val="none"/>
        </w:rPr>
      </w:pPr>
    </w:p>
    <w:p w14:paraId="4217ED81">
      <w:pPr>
        <w:tabs>
          <w:tab w:val="left" w:pos="6944"/>
        </w:tabs>
        <w:jc w:val="left"/>
        <w:rPr>
          <w:highlight w:val="none"/>
        </w:rPr>
        <w:sectPr>
          <w:footerReference r:id="rId7" w:type="default"/>
          <w:pgSz w:w="11907" w:h="16840"/>
          <w:pgMar w:top="1276" w:right="1275" w:bottom="1135" w:left="1418" w:header="709" w:footer="603" w:gutter="0"/>
          <w:pgBorders>
            <w:top w:val="none" w:sz="0" w:space="0"/>
            <w:left w:val="none" w:sz="0" w:space="0"/>
            <w:bottom w:val="none" w:sz="0" w:space="0"/>
            <w:right w:val="none" w:sz="0" w:space="0"/>
          </w:pgBorders>
          <w:pgNumType w:start="1"/>
          <w:cols w:space="720" w:num="1"/>
          <w:docGrid w:linePitch="462" w:charSpace="0"/>
        </w:sectPr>
      </w:pPr>
      <w:r>
        <w:rPr>
          <w:rFonts w:hint="eastAsia"/>
          <w:highlight w:val="none"/>
        </w:rPr>
        <w:tab/>
      </w:r>
    </w:p>
    <w:p w14:paraId="13942DA6">
      <w:pPr>
        <w:pStyle w:val="3"/>
        <w:pageBreakBefore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highlight w:val="none"/>
          <w:lang w:val="en-US" w:eastAsia="zh-CN"/>
        </w:rPr>
      </w:pPr>
      <w:bookmarkStart w:id="6" w:name="_Toc4819"/>
      <w:bookmarkStart w:id="7" w:name="_Toc24596"/>
      <w:r>
        <w:rPr>
          <w:rFonts w:hint="eastAsia" w:ascii="黑体" w:hAnsi="黑体" w:eastAsia="黑体" w:cs="黑体"/>
          <w:b w:val="0"/>
          <w:bCs/>
          <w:sz w:val="32"/>
          <w:szCs w:val="32"/>
          <w:highlight w:val="none"/>
        </w:rPr>
        <w:t>第一</w:t>
      </w:r>
      <w:bookmarkEnd w:id="3"/>
      <w:bookmarkEnd w:id="4"/>
      <w:r>
        <w:rPr>
          <w:rFonts w:hint="eastAsia" w:ascii="黑体" w:hAnsi="黑体" w:eastAsia="黑体" w:cs="黑体"/>
          <w:b w:val="0"/>
          <w:bCs/>
          <w:sz w:val="32"/>
          <w:szCs w:val="32"/>
          <w:highlight w:val="none"/>
        </w:rPr>
        <w:t xml:space="preserve">部分 </w:t>
      </w:r>
      <w:bookmarkEnd w:id="5"/>
      <w:bookmarkEnd w:id="6"/>
      <w:r>
        <w:rPr>
          <w:rFonts w:hint="eastAsia" w:ascii="黑体" w:hAnsi="黑体" w:eastAsia="黑体" w:cs="黑体"/>
          <w:b w:val="0"/>
          <w:bCs/>
          <w:sz w:val="32"/>
          <w:szCs w:val="32"/>
          <w:highlight w:val="none"/>
          <w:lang w:val="en-US" w:eastAsia="zh-CN"/>
        </w:rPr>
        <w:t>招标公告</w:t>
      </w:r>
      <w:bookmarkEnd w:id="7"/>
    </w:p>
    <w:p w14:paraId="004A0A3F">
      <w:pPr>
        <w:pStyle w:val="3"/>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highlight w:val="none"/>
          <w:lang w:val="en-US" w:eastAsia="zh-CN"/>
        </w:rPr>
      </w:pPr>
      <w:bookmarkStart w:id="8" w:name="_Toc7722"/>
      <w:bookmarkStart w:id="9" w:name="_Toc9209"/>
      <w:bookmarkStart w:id="10" w:name="_Toc29467"/>
      <w:bookmarkStart w:id="11" w:name="_Toc21476"/>
      <w:bookmarkStart w:id="12" w:name="_Toc7967"/>
      <w:r>
        <w:rPr>
          <w:rFonts w:hint="eastAsia" w:ascii="方正小标宋简体" w:hAnsi="方正小标宋简体" w:eastAsia="方正小标宋简体" w:cs="方正小标宋简体"/>
          <w:b w:val="0"/>
          <w:bCs/>
          <w:sz w:val="44"/>
          <w:szCs w:val="44"/>
          <w:highlight w:val="none"/>
          <w:lang w:val="en-US" w:eastAsia="zh-CN"/>
        </w:rPr>
        <w:t>深圳市鹏劳人力资源管理有限公司</w:t>
      </w:r>
      <w:bookmarkEnd w:id="8"/>
    </w:p>
    <w:p w14:paraId="76AC86C6">
      <w:pPr>
        <w:pStyle w:val="3"/>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b w:val="0"/>
          <w:bCs/>
          <w:sz w:val="44"/>
          <w:szCs w:val="44"/>
          <w:highlight w:val="none"/>
          <w:lang w:val="en-US" w:eastAsia="zh-CN"/>
        </w:rPr>
      </w:pPr>
      <w:bookmarkStart w:id="13" w:name="_Toc17141"/>
      <w:r>
        <w:rPr>
          <w:rFonts w:hint="eastAsia" w:ascii="方正小标宋简体" w:hAnsi="方正小标宋简体" w:eastAsia="方正小标宋简体" w:cs="方正小标宋简体"/>
          <w:b w:val="0"/>
          <w:bCs/>
          <w:sz w:val="44"/>
          <w:szCs w:val="44"/>
          <w:highlight w:val="none"/>
          <w:lang w:val="en-US" w:eastAsia="zh-CN"/>
        </w:rPr>
        <w:t>2026年度外派</w:t>
      </w:r>
      <w:r>
        <w:rPr>
          <w:rFonts w:hint="eastAsia" w:ascii="方正小标宋简体" w:hAnsi="方正小标宋简体" w:eastAsia="方正小标宋简体" w:cs="方正小标宋简体"/>
          <w:b w:val="0"/>
          <w:bCs/>
          <w:sz w:val="44"/>
          <w:szCs w:val="44"/>
          <w:highlight w:val="none"/>
          <w:lang w:eastAsia="zh-CN"/>
        </w:rPr>
        <w:t>员工</w:t>
      </w:r>
      <w:r>
        <w:rPr>
          <w:rFonts w:hint="eastAsia" w:ascii="方正小标宋简体" w:hAnsi="方正小标宋简体" w:eastAsia="方正小标宋简体" w:cs="方正小标宋简体"/>
          <w:b w:val="0"/>
          <w:bCs/>
          <w:sz w:val="44"/>
          <w:szCs w:val="44"/>
          <w:highlight w:val="none"/>
          <w:lang w:val="en-US" w:eastAsia="zh-CN"/>
        </w:rPr>
        <w:t>健康</w:t>
      </w:r>
      <w:r>
        <w:rPr>
          <w:rFonts w:hint="eastAsia" w:ascii="方正小标宋简体" w:hAnsi="方正小标宋简体" w:eastAsia="方正小标宋简体" w:cs="方正小标宋简体"/>
          <w:b w:val="0"/>
          <w:bCs/>
          <w:sz w:val="44"/>
          <w:szCs w:val="44"/>
          <w:highlight w:val="none"/>
          <w:lang w:eastAsia="zh-CN"/>
        </w:rPr>
        <w:t>体检</w:t>
      </w:r>
      <w:bookmarkEnd w:id="9"/>
      <w:bookmarkEnd w:id="10"/>
      <w:bookmarkEnd w:id="11"/>
      <w:r>
        <w:rPr>
          <w:rFonts w:hint="eastAsia" w:ascii="方正小标宋简体" w:hAnsi="方正小标宋简体" w:eastAsia="方正小标宋简体" w:cs="方正小标宋简体"/>
          <w:b w:val="0"/>
          <w:bCs/>
          <w:sz w:val="44"/>
          <w:szCs w:val="44"/>
          <w:highlight w:val="none"/>
          <w:lang w:val="en-US" w:eastAsia="zh-CN"/>
        </w:rPr>
        <w:t>项目</w:t>
      </w:r>
      <w:bookmarkEnd w:id="13"/>
    </w:p>
    <w:p w14:paraId="0C419929">
      <w:pPr>
        <w:pStyle w:val="3"/>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highlight w:val="none"/>
          <w:lang w:eastAsia="zh-CN"/>
        </w:rPr>
      </w:pPr>
      <w:bookmarkStart w:id="14" w:name="_Toc15133"/>
      <w:bookmarkStart w:id="15" w:name="_Toc23581"/>
      <w:bookmarkStart w:id="16" w:name="_Toc15725"/>
      <w:bookmarkStart w:id="17" w:name="_Toc18223"/>
      <w:r>
        <w:rPr>
          <w:rFonts w:hint="eastAsia" w:ascii="方正小标宋简体" w:hAnsi="方正小标宋简体" w:eastAsia="方正小标宋简体" w:cs="方正小标宋简体"/>
          <w:b w:val="0"/>
          <w:bCs/>
          <w:sz w:val="44"/>
          <w:szCs w:val="44"/>
          <w:highlight w:val="none"/>
          <w:lang w:eastAsia="zh-CN"/>
        </w:rPr>
        <w:t>招标公告</w:t>
      </w:r>
      <w:bookmarkEnd w:id="12"/>
      <w:bookmarkEnd w:id="14"/>
      <w:bookmarkEnd w:id="15"/>
      <w:bookmarkEnd w:id="16"/>
      <w:bookmarkEnd w:id="17"/>
    </w:p>
    <w:p w14:paraId="1C1FC312">
      <w:pPr>
        <w:rPr>
          <w:rFonts w:hint="eastAsia"/>
          <w:highlight w:val="none"/>
          <w:lang w:eastAsia="zh-CN"/>
        </w:rPr>
      </w:pPr>
    </w:p>
    <w:p w14:paraId="017434F4">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firstLine="640" w:firstLineChars="200"/>
        <w:jc w:val="both"/>
        <w:textAlignment w:val="auto"/>
        <w:rPr>
          <w:rFonts w:hint="eastAsia" w:ascii="Times New Roman" w:hAnsi="Times New Roman" w:eastAsia="仿宋_GB2312" w:cs="仿宋_GB2312"/>
          <w:bCs/>
          <w:sz w:val="32"/>
          <w:szCs w:val="32"/>
          <w:highlight w:val="none"/>
          <w:lang w:eastAsia="zh-CN"/>
        </w:rPr>
      </w:pPr>
      <w:r>
        <w:rPr>
          <w:rFonts w:hint="eastAsia" w:ascii="Times New Roman" w:hAnsi="Times New Roman" w:eastAsia="仿宋_GB2312" w:cs="仿宋_GB2312"/>
          <w:bCs/>
          <w:sz w:val="32"/>
          <w:szCs w:val="32"/>
          <w:highlight w:val="none"/>
          <w:lang w:val="en-US" w:eastAsia="zh-CN"/>
        </w:rPr>
        <w:t>根据《深圳市鹏劳人力资源管理有限公司采购管理办法》、《深圳市鹏劳人力资源管理有限公司招标管理暂行办法》有关规定，现就本公司2026年度外派员工健康体检项目（项目编号：</w:t>
      </w:r>
      <w:r>
        <w:rPr>
          <w:rFonts w:hint="eastAsia" w:ascii="Times New Roman" w:hAnsi="Times New Roman" w:eastAsia="仿宋_GB2312" w:cs="仿宋_GB2312"/>
          <w:bCs/>
          <w:color w:val="000000"/>
          <w:sz w:val="32"/>
          <w:szCs w:val="32"/>
          <w:highlight w:val="none"/>
          <w:lang w:val="en-US" w:eastAsia="zh-CN"/>
        </w:rPr>
        <w:t>PLHR-ZB-FW-202607</w:t>
      </w:r>
      <w:r>
        <w:rPr>
          <w:rFonts w:hint="eastAsia" w:ascii="Times New Roman" w:hAnsi="Times New Roman" w:eastAsia="仿宋_GB2312" w:cs="仿宋_GB2312"/>
          <w:bCs/>
          <w:sz w:val="32"/>
          <w:szCs w:val="32"/>
          <w:highlight w:val="none"/>
          <w:lang w:val="en-US" w:eastAsia="zh-CN"/>
        </w:rPr>
        <w:t>）面向我司符合资质要求的供应商实施公告邀请，欢迎符合要求的供应商前来投标。按招标文件及本公告要求实施投标：</w:t>
      </w:r>
    </w:p>
    <w:p w14:paraId="361B50DC">
      <w:pPr>
        <w:keepNext w:val="0"/>
        <w:keepLines w:val="0"/>
        <w:pageBreakBefore w:val="0"/>
        <w:widowControl w:val="0"/>
        <w:numPr>
          <w:ilvl w:val="0"/>
          <w:numId w:val="1"/>
        </w:numPr>
        <w:kinsoku/>
        <w:wordWrap w:val="0"/>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t>项目名称</w:t>
      </w:r>
    </w:p>
    <w:p w14:paraId="14F95E08">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firstLine="640" w:firstLineChars="200"/>
        <w:jc w:val="both"/>
        <w:textAlignment w:val="auto"/>
        <w:rPr>
          <w:rFonts w:hint="default" w:ascii="Times New Roman" w:hAnsi="Times New Roman" w:eastAsia="仿宋_GB2312" w:cs="仿宋_GB2312"/>
          <w:bCs/>
          <w:sz w:val="32"/>
          <w:szCs w:val="32"/>
          <w:highlight w:val="none"/>
          <w:lang w:val="en-US" w:eastAsia="zh-CN"/>
        </w:rPr>
      </w:pPr>
      <w:r>
        <w:rPr>
          <w:rFonts w:hint="eastAsia" w:ascii="Times New Roman" w:hAnsi="Times New Roman" w:eastAsia="仿宋_GB2312" w:cs="仿宋_GB2312"/>
          <w:bCs/>
          <w:sz w:val="32"/>
          <w:szCs w:val="32"/>
          <w:highlight w:val="none"/>
          <w:lang w:eastAsia="zh-CN"/>
        </w:rPr>
        <w:t>深圳市鹏劳人力资源管理有限公司</w:t>
      </w:r>
      <w:r>
        <w:rPr>
          <w:rFonts w:hint="eastAsia" w:ascii="Times New Roman" w:hAnsi="Times New Roman" w:eastAsia="仿宋_GB2312" w:cs="仿宋_GB2312"/>
          <w:bCs/>
          <w:color w:val="000000"/>
          <w:sz w:val="32"/>
          <w:szCs w:val="32"/>
          <w:highlight w:val="none"/>
          <w:lang w:eastAsia="zh-CN"/>
        </w:rPr>
        <w:t>2026</w:t>
      </w:r>
      <w:r>
        <w:rPr>
          <w:rFonts w:hint="eastAsia" w:ascii="Times New Roman" w:hAnsi="Times New Roman" w:eastAsia="仿宋_GB2312" w:cs="仿宋_GB2312"/>
          <w:bCs/>
          <w:sz w:val="32"/>
          <w:szCs w:val="32"/>
          <w:highlight w:val="none"/>
          <w:lang w:eastAsia="zh-CN"/>
        </w:rPr>
        <w:t>年度外派员工健康体检项目</w:t>
      </w:r>
    </w:p>
    <w:p w14:paraId="30BA3E68">
      <w:pPr>
        <w:keepNext w:val="0"/>
        <w:keepLines w:val="0"/>
        <w:pageBreakBefore w:val="0"/>
        <w:widowControl w:val="0"/>
        <w:numPr>
          <w:ilvl w:val="0"/>
          <w:numId w:val="1"/>
        </w:numPr>
        <w:kinsoku/>
        <w:wordWrap w:val="0"/>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t>项目编号</w:t>
      </w:r>
    </w:p>
    <w:p w14:paraId="6E8E0CB2">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firstLine="640" w:firstLineChars="200"/>
        <w:jc w:val="both"/>
        <w:textAlignment w:val="auto"/>
        <w:rPr>
          <w:rFonts w:hint="default" w:ascii="Times New Roman" w:hAnsi="Times New Roman" w:eastAsia="仿宋_GB2312" w:cs="仿宋_GB2312"/>
          <w:bCs/>
          <w:sz w:val="32"/>
          <w:szCs w:val="32"/>
          <w:highlight w:val="none"/>
          <w:lang w:val="en-US" w:eastAsia="zh-CN"/>
        </w:rPr>
      </w:pPr>
      <w:r>
        <w:rPr>
          <w:rFonts w:hint="eastAsia" w:ascii="Times New Roman" w:hAnsi="Times New Roman" w:eastAsia="仿宋_GB2312" w:cs="仿宋_GB2312"/>
          <w:bCs/>
          <w:color w:val="000000"/>
          <w:sz w:val="32"/>
          <w:szCs w:val="32"/>
          <w:highlight w:val="none"/>
          <w:lang w:val="en-US" w:eastAsia="zh-CN"/>
        </w:rPr>
        <w:t>PLHR-ZB-FW-202607</w:t>
      </w:r>
    </w:p>
    <w:p w14:paraId="1AE8E89E">
      <w:pPr>
        <w:keepNext w:val="0"/>
        <w:keepLines w:val="0"/>
        <w:pageBreakBefore w:val="0"/>
        <w:widowControl w:val="0"/>
        <w:numPr>
          <w:ilvl w:val="0"/>
          <w:numId w:val="1"/>
        </w:numPr>
        <w:kinsoku/>
        <w:wordWrap w:val="0"/>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lang w:val="en-US" w:eastAsia="zh-CN"/>
        </w:rPr>
        <w:t>项目概况及服务需求</w:t>
      </w:r>
    </w:p>
    <w:p w14:paraId="5BA05A5C">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Cs/>
          <w:sz w:val="32"/>
          <w:szCs w:val="32"/>
          <w:highlight w:val="none"/>
          <w:lang w:val="en-US" w:eastAsia="zh-CN"/>
        </w:rPr>
      </w:pPr>
      <w:r>
        <w:rPr>
          <w:rFonts w:hint="eastAsia" w:ascii="楷体_GB2312" w:hAnsi="楷体_GB2312" w:eastAsia="楷体_GB2312" w:cs="楷体_GB2312"/>
          <w:bCs/>
          <w:sz w:val="32"/>
          <w:szCs w:val="32"/>
          <w:highlight w:val="none"/>
          <w:lang w:val="en-US" w:eastAsia="zh-CN"/>
        </w:rPr>
        <w:t>项目内容</w:t>
      </w:r>
    </w:p>
    <w:p w14:paraId="36F4127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在项目周期内，根据招标人外派员工性别、年龄，根据分项限价设计适宜于招标人外派员工体检套餐并提供体检服务，</w:t>
      </w:r>
      <w:r>
        <w:rPr>
          <w:rFonts w:hint="eastAsia" w:ascii="仿宋_GB2312" w:hAnsi="仿宋_GB2312" w:eastAsia="仿宋_GB2312" w:cs="仿宋_GB2312"/>
          <w:bCs/>
          <w:sz w:val="32"/>
          <w:szCs w:val="32"/>
          <w:highlight w:val="none"/>
          <w:lang w:val="en-US" w:eastAsia="zh-CN"/>
        </w:rPr>
        <w:t>及时</w:t>
      </w:r>
      <w:r>
        <w:rPr>
          <w:rFonts w:hint="eastAsia" w:ascii="仿宋_GB2312" w:hAnsi="仿宋_GB2312" w:eastAsia="仿宋_GB2312" w:cs="仿宋_GB2312"/>
          <w:bCs/>
          <w:sz w:val="32"/>
          <w:szCs w:val="32"/>
          <w:highlight w:val="none"/>
        </w:rPr>
        <w:t xml:space="preserve">出具体检结果与报告，提供健康管理建议。  </w:t>
      </w:r>
    </w:p>
    <w:p w14:paraId="00A1F11B">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Cs/>
          <w:sz w:val="32"/>
          <w:szCs w:val="32"/>
          <w:highlight w:val="none"/>
          <w:lang w:val="en-US" w:eastAsia="zh-CN"/>
        </w:rPr>
      </w:pPr>
      <w:r>
        <w:rPr>
          <w:rFonts w:hint="eastAsia" w:ascii="楷体_GB2312" w:hAnsi="楷体_GB2312" w:eastAsia="楷体_GB2312" w:cs="楷体_GB2312"/>
          <w:bCs/>
          <w:sz w:val="32"/>
          <w:szCs w:val="32"/>
          <w:highlight w:val="none"/>
          <w:lang w:val="en-US" w:eastAsia="zh-CN"/>
        </w:rPr>
        <w:t>项目期限</w:t>
      </w:r>
    </w:p>
    <w:p w14:paraId="60C9E30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 xml:space="preserve">本项目期限为订立合同之日起至招标人指定外派员工年度体检全部完成。 </w:t>
      </w:r>
    </w:p>
    <w:p w14:paraId="5A6C4CF3">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Cs/>
          <w:sz w:val="32"/>
          <w:szCs w:val="32"/>
          <w:highlight w:val="none"/>
          <w:lang w:eastAsia="zh-CN"/>
        </w:rPr>
      </w:pPr>
      <w:r>
        <w:rPr>
          <w:rFonts w:hint="eastAsia" w:ascii="楷体_GB2312" w:hAnsi="楷体_GB2312" w:eastAsia="楷体_GB2312" w:cs="楷体_GB2312"/>
          <w:bCs/>
          <w:sz w:val="32"/>
          <w:szCs w:val="32"/>
          <w:highlight w:val="none"/>
          <w:lang w:eastAsia="zh-CN"/>
        </w:rPr>
        <w:t>项目总限价</w:t>
      </w:r>
    </w:p>
    <w:p w14:paraId="17299615">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Cs/>
          <w:sz w:val="32"/>
          <w:szCs w:val="32"/>
          <w:highlight w:val="none"/>
          <w:lang w:eastAsia="zh-CN"/>
        </w:rPr>
      </w:pPr>
      <w:r>
        <w:rPr>
          <w:rFonts w:hint="eastAsia" w:ascii="仿宋_GB2312" w:hAnsi="仿宋_GB2312" w:eastAsia="仿宋_GB2312" w:cs="仿宋_GB2312"/>
          <w:bCs/>
          <w:color w:val="000000"/>
          <w:sz w:val="32"/>
          <w:szCs w:val="32"/>
          <w:highlight w:val="none"/>
          <w:lang w:eastAsia="zh-CN"/>
        </w:rPr>
        <w:t>不超过人民币462,620元（含增值税）。</w:t>
      </w:r>
    </w:p>
    <w:p w14:paraId="2911D010">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firstLine="640" w:firstLineChars="200"/>
        <w:jc w:val="both"/>
        <w:textAlignment w:val="auto"/>
        <w:rPr>
          <w:rFonts w:hint="default" w:ascii="楷体_GB2312" w:hAnsi="楷体_GB2312" w:eastAsia="楷体_GB2312" w:cs="楷体_GB2312"/>
          <w:bCs/>
          <w:sz w:val="32"/>
          <w:szCs w:val="32"/>
          <w:highlight w:val="none"/>
          <w:lang w:val="en-US" w:eastAsia="zh-CN"/>
        </w:rPr>
      </w:pPr>
      <w:r>
        <w:rPr>
          <w:rFonts w:hint="eastAsia" w:ascii="楷体_GB2312" w:hAnsi="楷体_GB2312" w:eastAsia="楷体_GB2312" w:cs="楷体_GB2312"/>
          <w:bCs/>
          <w:sz w:val="32"/>
          <w:szCs w:val="32"/>
          <w:highlight w:val="none"/>
          <w:lang w:val="en-US" w:eastAsia="zh-CN"/>
        </w:rPr>
        <w:t>项目执行分项限价</w:t>
      </w:r>
    </w:p>
    <w:tbl>
      <w:tblPr>
        <w:tblStyle w:val="15"/>
        <w:tblW w:w="8294"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267"/>
        <w:gridCol w:w="800"/>
        <w:gridCol w:w="4013"/>
        <w:gridCol w:w="2214"/>
      </w:tblGrid>
      <w:tr w14:paraId="57DE8A0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98" w:hRule="atLeast"/>
          <w:jc w:val="center"/>
        </w:trPr>
        <w:tc>
          <w:tcPr>
            <w:tcW w:w="1267" w:type="dxa"/>
            <w:tcBorders>
              <w:tl2br w:val="nil"/>
              <w:tr2bl w:val="nil"/>
            </w:tcBorders>
            <w:noWrap w:val="0"/>
            <w:tcMar>
              <w:top w:w="15" w:type="dxa"/>
              <w:left w:w="15" w:type="dxa"/>
              <w:right w:w="15" w:type="dxa"/>
            </w:tcMar>
            <w:vAlign w:val="center"/>
          </w:tcPr>
          <w:p w14:paraId="49F63CFA">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
                <w:color w:val="000000"/>
                <w:sz w:val="22"/>
                <w:szCs w:val="22"/>
                <w:highlight w:val="none"/>
              </w:rPr>
            </w:pPr>
            <w:r>
              <w:rPr>
                <w:rFonts w:hint="eastAsia" w:ascii="Times New Roman" w:hAnsi="Times New Roman" w:eastAsia="宋体" w:cs="宋体"/>
                <w:b/>
                <w:color w:val="000000"/>
                <w:kern w:val="0"/>
                <w:sz w:val="22"/>
                <w:szCs w:val="22"/>
                <w:highlight w:val="none"/>
              </w:rPr>
              <w:t>体检套餐标准限价</w:t>
            </w:r>
          </w:p>
        </w:tc>
        <w:tc>
          <w:tcPr>
            <w:tcW w:w="800" w:type="dxa"/>
            <w:tcBorders>
              <w:tl2br w:val="nil"/>
              <w:tr2bl w:val="nil"/>
            </w:tcBorders>
            <w:noWrap w:val="0"/>
            <w:tcMar>
              <w:top w:w="15" w:type="dxa"/>
              <w:left w:w="15" w:type="dxa"/>
              <w:right w:w="15" w:type="dxa"/>
            </w:tcMar>
            <w:vAlign w:val="center"/>
          </w:tcPr>
          <w:p w14:paraId="730319F7">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
                <w:color w:val="000000"/>
                <w:sz w:val="22"/>
                <w:szCs w:val="22"/>
                <w:highlight w:val="none"/>
              </w:rPr>
            </w:pPr>
            <w:r>
              <w:rPr>
                <w:rFonts w:hint="eastAsia" w:ascii="Times New Roman" w:hAnsi="Times New Roman" w:eastAsia="宋体" w:cs="宋体"/>
                <w:b/>
                <w:color w:val="000000"/>
                <w:kern w:val="0"/>
                <w:sz w:val="22"/>
                <w:szCs w:val="22"/>
                <w:highlight w:val="none"/>
              </w:rPr>
              <w:t>预计体检人数</w:t>
            </w:r>
          </w:p>
        </w:tc>
        <w:tc>
          <w:tcPr>
            <w:tcW w:w="4013" w:type="dxa"/>
            <w:tcBorders>
              <w:tl2br w:val="nil"/>
              <w:tr2bl w:val="nil"/>
            </w:tcBorders>
            <w:noWrap w:val="0"/>
            <w:tcMar>
              <w:top w:w="15" w:type="dxa"/>
              <w:left w:w="15" w:type="dxa"/>
              <w:right w:w="15" w:type="dxa"/>
            </w:tcMar>
            <w:vAlign w:val="center"/>
          </w:tcPr>
          <w:p w14:paraId="7C7F3EA4">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
                <w:color w:val="000000"/>
                <w:sz w:val="22"/>
                <w:szCs w:val="22"/>
                <w:highlight w:val="none"/>
              </w:rPr>
            </w:pPr>
            <w:r>
              <w:rPr>
                <w:rFonts w:hint="eastAsia" w:ascii="Times New Roman" w:hAnsi="Times New Roman" w:eastAsia="宋体" w:cs="宋体"/>
                <w:b/>
                <w:color w:val="000000"/>
                <w:kern w:val="0"/>
                <w:sz w:val="22"/>
                <w:szCs w:val="22"/>
                <w:highlight w:val="none"/>
              </w:rPr>
              <w:t>服务地点</w:t>
            </w:r>
          </w:p>
        </w:tc>
        <w:tc>
          <w:tcPr>
            <w:tcW w:w="2214" w:type="dxa"/>
            <w:tcBorders>
              <w:tl2br w:val="nil"/>
              <w:tr2bl w:val="nil"/>
            </w:tcBorders>
            <w:noWrap w:val="0"/>
            <w:tcMar>
              <w:top w:w="15" w:type="dxa"/>
              <w:left w:w="15" w:type="dxa"/>
              <w:right w:w="15" w:type="dxa"/>
            </w:tcMar>
            <w:vAlign w:val="center"/>
          </w:tcPr>
          <w:p w14:paraId="79AC1AD2">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
                <w:color w:val="000000"/>
                <w:sz w:val="22"/>
                <w:szCs w:val="22"/>
                <w:highlight w:val="none"/>
              </w:rPr>
            </w:pPr>
            <w:r>
              <w:rPr>
                <w:rFonts w:hint="eastAsia" w:ascii="Times New Roman" w:hAnsi="Times New Roman" w:eastAsia="宋体" w:cs="宋体"/>
                <w:b/>
                <w:color w:val="000000"/>
                <w:kern w:val="0"/>
                <w:sz w:val="22"/>
                <w:szCs w:val="22"/>
                <w:highlight w:val="none"/>
              </w:rPr>
              <w:t>备注</w:t>
            </w:r>
          </w:p>
        </w:tc>
      </w:tr>
      <w:tr w14:paraId="5C0A215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9" w:hRule="atLeast"/>
          <w:jc w:val="center"/>
        </w:trPr>
        <w:tc>
          <w:tcPr>
            <w:tcW w:w="1267" w:type="dxa"/>
            <w:tcBorders>
              <w:tl2br w:val="nil"/>
              <w:tr2bl w:val="nil"/>
            </w:tcBorders>
            <w:noWrap w:val="0"/>
            <w:tcMar>
              <w:top w:w="15" w:type="dxa"/>
              <w:left w:w="15" w:type="dxa"/>
              <w:right w:w="15" w:type="dxa"/>
            </w:tcMar>
            <w:vAlign w:val="center"/>
          </w:tcPr>
          <w:p w14:paraId="38FDFF4A">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不超过360元/人</w:t>
            </w:r>
          </w:p>
        </w:tc>
        <w:tc>
          <w:tcPr>
            <w:tcW w:w="800" w:type="dxa"/>
            <w:tcBorders>
              <w:tl2br w:val="nil"/>
              <w:tr2bl w:val="nil"/>
            </w:tcBorders>
            <w:noWrap w:val="0"/>
            <w:tcMar>
              <w:top w:w="15" w:type="dxa"/>
              <w:left w:w="15" w:type="dxa"/>
              <w:right w:w="15" w:type="dxa"/>
            </w:tcMar>
            <w:vAlign w:val="center"/>
          </w:tcPr>
          <w:p w14:paraId="40F8D67E">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150</w:t>
            </w:r>
          </w:p>
        </w:tc>
        <w:tc>
          <w:tcPr>
            <w:tcW w:w="4013" w:type="dxa"/>
            <w:tcBorders>
              <w:tl2br w:val="nil"/>
              <w:tr2bl w:val="nil"/>
            </w:tcBorders>
            <w:noWrap w:val="0"/>
            <w:tcMar>
              <w:top w:w="15" w:type="dxa"/>
              <w:left w:w="15" w:type="dxa"/>
              <w:right w:w="15" w:type="dxa"/>
            </w:tcMar>
            <w:vAlign w:val="center"/>
          </w:tcPr>
          <w:p w14:paraId="54D0DB14">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深圳市光明区</w:t>
            </w:r>
          </w:p>
        </w:tc>
        <w:tc>
          <w:tcPr>
            <w:tcW w:w="2214" w:type="dxa"/>
            <w:tcBorders>
              <w:tl2br w:val="nil"/>
              <w:tr2bl w:val="nil"/>
            </w:tcBorders>
            <w:noWrap w:val="0"/>
            <w:tcMar>
              <w:top w:w="15" w:type="dxa"/>
              <w:left w:w="15" w:type="dxa"/>
              <w:right w:w="15" w:type="dxa"/>
            </w:tcMar>
            <w:vAlign w:val="center"/>
          </w:tcPr>
          <w:p w14:paraId="37E41E9E">
            <w:pPr>
              <w:keepNext w:val="0"/>
              <w:keepLines w:val="0"/>
              <w:pageBreakBefore w:val="0"/>
              <w:widowControl w:val="0"/>
              <w:kinsoku/>
              <w:wordWrap w:val="0"/>
              <w:overflowPunct/>
              <w:topLinePunct w:val="0"/>
              <w:autoSpaceDE/>
              <w:autoSpaceDN/>
              <w:bidi w:val="0"/>
              <w:adjustRightInd/>
              <w:snapToGrid/>
              <w:spacing w:line="280" w:lineRule="exact"/>
              <w:jc w:val="left"/>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男141人，女9人（未婚3，已婚6）</w:t>
            </w:r>
          </w:p>
        </w:tc>
      </w:tr>
      <w:tr w14:paraId="64A9C5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99" w:hRule="atLeast"/>
          <w:jc w:val="center"/>
        </w:trPr>
        <w:tc>
          <w:tcPr>
            <w:tcW w:w="1267" w:type="dxa"/>
            <w:tcBorders>
              <w:tl2br w:val="nil"/>
              <w:tr2bl w:val="nil"/>
            </w:tcBorders>
            <w:noWrap w:val="0"/>
            <w:tcMar>
              <w:top w:w="15" w:type="dxa"/>
              <w:left w:w="15" w:type="dxa"/>
              <w:right w:w="15" w:type="dxa"/>
            </w:tcMar>
            <w:vAlign w:val="center"/>
          </w:tcPr>
          <w:p w14:paraId="4E6FF727">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不超过390元/人</w:t>
            </w:r>
          </w:p>
        </w:tc>
        <w:tc>
          <w:tcPr>
            <w:tcW w:w="800" w:type="dxa"/>
            <w:tcBorders>
              <w:tl2br w:val="nil"/>
              <w:tr2bl w:val="nil"/>
            </w:tcBorders>
            <w:noWrap w:val="0"/>
            <w:tcMar>
              <w:top w:w="15" w:type="dxa"/>
              <w:left w:w="15" w:type="dxa"/>
              <w:right w:w="15" w:type="dxa"/>
            </w:tcMar>
            <w:vAlign w:val="center"/>
          </w:tcPr>
          <w:p w14:paraId="1A15561B">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208</w:t>
            </w:r>
          </w:p>
        </w:tc>
        <w:tc>
          <w:tcPr>
            <w:tcW w:w="4013" w:type="dxa"/>
            <w:tcBorders>
              <w:tl2br w:val="nil"/>
              <w:tr2bl w:val="nil"/>
            </w:tcBorders>
            <w:noWrap w:val="0"/>
            <w:tcMar>
              <w:top w:w="15" w:type="dxa"/>
              <w:left w:w="15" w:type="dxa"/>
              <w:right w:w="15" w:type="dxa"/>
            </w:tcMar>
            <w:vAlign w:val="center"/>
          </w:tcPr>
          <w:p w14:paraId="48A50CE9">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深圳龙岗</w:t>
            </w:r>
            <w:r>
              <w:rPr>
                <w:rFonts w:hint="eastAsia" w:ascii="Times New Roman" w:hAnsi="Times New Roman" w:eastAsia="宋体" w:cs="宋体"/>
                <w:bCs/>
                <w:color w:val="000000"/>
                <w:kern w:val="0"/>
                <w:sz w:val="22"/>
                <w:szCs w:val="22"/>
                <w:highlight w:val="none"/>
                <w:lang w:val="en-US" w:eastAsia="zh-CN"/>
              </w:rPr>
              <w:t>区</w:t>
            </w:r>
            <w:r>
              <w:rPr>
                <w:rFonts w:hint="eastAsia" w:ascii="Times New Roman" w:hAnsi="Times New Roman" w:eastAsia="宋体" w:cs="宋体"/>
                <w:bCs/>
                <w:color w:val="000000"/>
                <w:kern w:val="0"/>
                <w:sz w:val="22"/>
                <w:szCs w:val="22"/>
                <w:highlight w:val="none"/>
              </w:rPr>
              <w:t>、深圳福田</w:t>
            </w:r>
            <w:r>
              <w:rPr>
                <w:rFonts w:hint="eastAsia" w:ascii="Times New Roman" w:hAnsi="Times New Roman" w:eastAsia="宋体" w:cs="宋体"/>
                <w:bCs/>
                <w:color w:val="000000"/>
                <w:kern w:val="0"/>
                <w:sz w:val="22"/>
                <w:szCs w:val="22"/>
                <w:highlight w:val="none"/>
                <w:lang w:eastAsia="zh-CN"/>
              </w:rPr>
              <w:t>、</w:t>
            </w:r>
            <w:r>
              <w:rPr>
                <w:rFonts w:hint="eastAsia" w:ascii="Times New Roman" w:hAnsi="Times New Roman" w:eastAsia="宋体" w:cs="宋体"/>
                <w:bCs/>
                <w:color w:val="000000"/>
                <w:kern w:val="0"/>
                <w:sz w:val="22"/>
                <w:szCs w:val="22"/>
                <w:highlight w:val="none"/>
              </w:rPr>
              <w:t>苏州</w:t>
            </w:r>
            <w:r>
              <w:rPr>
                <w:rFonts w:hint="eastAsia" w:ascii="Times New Roman" w:hAnsi="Times New Roman" w:eastAsia="宋体" w:cs="宋体"/>
                <w:bCs/>
                <w:color w:val="000000"/>
                <w:kern w:val="0"/>
                <w:sz w:val="22"/>
                <w:szCs w:val="22"/>
                <w:highlight w:val="none"/>
                <w:lang w:val="en-US" w:eastAsia="zh-CN"/>
              </w:rPr>
              <w:t>市</w:t>
            </w:r>
            <w:r>
              <w:rPr>
                <w:rFonts w:hint="eastAsia" w:ascii="Times New Roman" w:hAnsi="Times New Roman" w:eastAsia="宋体" w:cs="宋体"/>
                <w:bCs/>
                <w:color w:val="000000"/>
                <w:kern w:val="0"/>
                <w:sz w:val="22"/>
                <w:szCs w:val="22"/>
                <w:highlight w:val="none"/>
              </w:rPr>
              <w:t>、大亚湾</w:t>
            </w:r>
          </w:p>
        </w:tc>
        <w:tc>
          <w:tcPr>
            <w:tcW w:w="2214" w:type="dxa"/>
            <w:tcBorders>
              <w:tl2br w:val="nil"/>
              <w:tr2bl w:val="nil"/>
            </w:tcBorders>
            <w:noWrap w:val="0"/>
            <w:tcMar>
              <w:top w:w="15" w:type="dxa"/>
              <w:left w:w="15" w:type="dxa"/>
              <w:right w:w="15" w:type="dxa"/>
            </w:tcMar>
            <w:vAlign w:val="center"/>
          </w:tcPr>
          <w:p w14:paraId="67F15AB3">
            <w:pPr>
              <w:keepNext w:val="0"/>
              <w:keepLines w:val="0"/>
              <w:pageBreakBefore w:val="0"/>
              <w:widowControl w:val="0"/>
              <w:kinsoku/>
              <w:wordWrap w:val="0"/>
              <w:overflowPunct/>
              <w:topLinePunct w:val="0"/>
              <w:autoSpaceDE/>
              <w:autoSpaceDN/>
              <w:bidi w:val="0"/>
              <w:adjustRightInd/>
              <w:snapToGrid/>
              <w:spacing w:line="280" w:lineRule="exact"/>
              <w:jc w:val="left"/>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男23人，女185人（未婚71，已婚114）</w:t>
            </w:r>
          </w:p>
        </w:tc>
      </w:tr>
      <w:tr w14:paraId="4A6EBB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70" w:hRule="atLeast"/>
          <w:jc w:val="center"/>
        </w:trPr>
        <w:tc>
          <w:tcPr>
            <w:tcW w:w="1267" w:type="dxa"/>
            <w:tcBorders>
              <w:tl2br w:val="nil"/>
              <w:tr2bl w:val="nil"/>
            </w:tcBorders>
            <w:noWrap w:val="0"/>
            <w:tcMar>
              <w:top w:w="15" w:type="dxa"/>
              <w:left w:w="15" w:type="dxa"/>
              <w:right w:w="15" w:type="dxa"/>
            </w:tcMar>
            <w:vAlign w:val="center"/>
          </w:tcPr>
          <w:p w14:paraId="436EB68F">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不超过500元/人</w:t>
            </w:r>
          </w:p>
        </w:tc>
        <w:tc>
          <w:tcPr>
            <w:tcW w:w="800" w:type="dxa"/>
            <w:tcBorders>
              <w:tl2br w:val="nil"/>
              <w:tr2bl w:val="nil"/>
            </w:tcBorders>
            <w:noWrap w:val="0"/>
            <w:tcMar>
              <w:top w:w="15" w:type="dxa"/>
              <w:left w:w="15" w:type="dxa"/>
              <w:right w:w="15" w:type="dxa"/>
            </w:tcMar>
            <w:vAlign w:val="center"/>
          </w:tcPr>
          <w:p w14:paraId="782766AE">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625</w:t>
            </w:r>
          </w:p>
        </w:tc>
        <w:tc>
          <w:tcPr>
            <w:tcW w:w="4013" w:type="dxa"/>
            <w:tcBorders>
              <w:tl2br w:val="nil"/>
              <w:tr2bl w:val="nil"/>
            </w:tcBorders>
            <w:noWrap w:val="0"/>
            <w:tcMar>
              <w:top w:w="15" w:type="dxa"/>
              <w:left w:w="15" w:type="dxa"/>
              <w:right w:w="15" w:type="dxa"/>
            </w:tcMar>
            <w:vAlign w:val="center"/>
          </w:tcPr>
          <w:p w14:paraId="7EA04F18">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深圳（龙岗、大鹏、福田）、台山、惠州大亚湾、中山、成都、大连、苏州、防城港、阳江、广州</w:t>
            </w:r>
          </w:p>
        </w:tc>
        <w:tc>
          <w:tcPr>
            <w:tcW w:w="2214" w:type="dxa"/>
            <w:tcBorders>
              <w:tl2br w:val="nil"/>
              <w:tr2bl w:val="nil"/>
            </w:tcBorders>
            <w:noWrap w:val="0"/>
            <w:tcMar>
              <w:top w:w="15" w:type="dxa"/>
              <w:left w:w="15" w:type="dxa"/>
              <w:right w:w="15" w:type="dxa"/>
            </w:tcMar>
            <w:vAlign w:val="center"/>
          </w:tcPr>
          <w:p w14:paraId="72EE4824">
            <w:pPr>
              <w:keepNext w:val="0"/>
              <w:keepLines w:val="0"/>
              <w:pageBreakBefore w:val="0"/>
              <w:widowControl w:val="0"/>
              <w:kinsoku/>
              <w:wordWrap w:val="0"/>
              <w:overflowPunct/>
              <w:topLinePunct w:val="0"/>
              <w:autoSpaceDE/>
              <w:autoSpaceDN/>
              <w:bidi w:val="0"/>
              <w:adjustRightInd/>
              <w:snapToGrid/>
              <w:spacing w:line="280" w:lineRule="exact"/>
              <w:jc w:val="left"/>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男211人，女414人（未婚163，已婚251）</w:t>
            </w:r>
          </w:p>
        </w:tc>
      </w:tr>
      <w:tr w14:paraId="23C17D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51" w:hRule="atLeast"/>
          <w:jc w:val="center"/>
        </w:trPr>
        <w:tc>
          <w:tcPr>
            <w:tcW w:w="1267" w:type="dxa"/>
            <w:tcBorders>
              <w:tl2br w:val="nil"/>
              <w:tr2bl w:val="nil"/>
            </w:tcBorders>
            <w:noWrap w:val="0"/>
            <w:tcMar>
              <w:top w:w="15" w:type="dxa"/>
              <w:left w:w="15" w:type="dxa"/>
              <w:right w:w="15" w:type="dxa"/>
            </w:tcMar>
            <w:vAlign w:val="center"/>
          </w:tcPr>
          <w:p w14:paraId="23AF67C3">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不超过1000元/人</w:t>
            </w:r>
          </w:p>
        </w:tc>
        <w:tc>
          <w:tcPr>
            <w:tcW w:w="800" w:type="dxa"/>
            <w:tcBorders>
              <w:tl2br w:val="nil"/>
              <w:tr2bl w:val="nil"/>
            </w:tcBorders>
            <w:noWrap w:val="0"/>
            <w:tcMar>
              <w:top w:w="15" w:type="dxa"/>
              <w:left w:w="15" w:type="dxa"/>
              <w:right w:w="15" w:type="dxa"/>
            </w:tcMar>
            <w:vAlign w:val="center"/>
          </w:tcPr>
          <w:p w14:paraId="71A6E076">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15</w:t>
            </w:r>
          </w:p>
        </w:tc>
        <w:tc>
          <w:tcPr>
            <w:tcW w:w="4013" w:type="dxa"/>
            <w:tcBorders>
              <w:tl2br w:val="nil"/>
              <w:tr2bl w:val="nil"/>
            </w:tcBorders>
            <w:noWrap w:val="0"/>
            <w:tcMar>
              <w:top w:w="15" w:type="dxa"/>
              <w:left w:w="15" w:type="dxa"/>
              <w:right w:w="15" w:type="dxa"/>
            </w:tcMar>
            <w:vAlign w:val="center"/>
          </w:tcPr>
          <w:p w14:paraId="6CBBD478">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深圳（龙岗、大鹏）、成都、上海、苏州</w:t>
            </w:r>
          </w:p>
        </w:tc>
        <w:tc>
          <w:tcPr>
            <w:tcW w:w="2214" w:type="dxa"/>
            <w:tcBorders>
              <w:tl2br w:val="nil"/>
              <w:tr2bl w:val="nil"/>
            </w:tcBorders>
            <w:noWrap w:val="0"/>
            <w:tcMar>
              <w:top w:w="15" w:type="dxa"/>
              <w:left w:w="15" w:type="dxa"/>
              <w:right w:w="15" w:type="dxa"/>
            </w:tcMar>
            <w:vAlign w:val="center"/>
          </w:tcPr>
          <w:p w14:paraId="0A2897B4">
            <w:pPr>
              <w:keepNext w:val="0"/>
              <w:keepLines w:val="0"/>
              <w:pageBreakBefore w:val="0"/>
              <w:widowControl w:val="0"/>
              <w:kinsoku/>
              <w:wordWrap w:val="0"/>
              <w:overflowPunct/>
              <w:topLinePunct w:val="0"/>
              <w:autoSpaceDE/>
              <w:autoSpaceDN/>
              <w:bidi w:val="0"/>
              <w:adjustRightInd/>
              <w:snapToGrid/>
              <w:spacing w:line="280" w:lineRule="exact"/>
              <w:jc w:val="left"/>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男10人，女5人（未婚0，已婚5）</w:t>
            </w:r>
          </w:p>
        </w:tc>
      </w:tr>
      <w:tr w14:paraId="3DF466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98" w:hRule="atLeast"/>
          <w:jc w:val="center"/>
        </w:trPr>
        <w:tc>
          <w:tcPr>
            <w:tcW w:w="1267" w:type="dxa"/>
            <w:tcBorders>
              <w:tl2br w:val="nil"/>
              <w:tr2bl w:val="nil"/>
            </w:tcBorders>
            <w:noWrap w:val="0"/>
            <w:tcMar>
              <w:top w:w="15" w:type="dxa"/>
              <w:left w:w="15" w:type="dxa"/>
              <w:right w:w="15" w:type="dxa"/>
            </w:tcMar>
            <w:vAlign w:val="center"/>
          </w:tcPr>
          <w:p w14:paraId="08792161">
            <w:pPr>
              <w:keepNext w:val="0"/>
              <w:keepLines w:val="0"/>
              <w:pageBreakBefore w:val="0"/>
              <w:widowControl w:val="0"/>
              <w:kinsoku/>
              <w:wordWrap w:val="0"/>
              <w:overflowPunct/>
              <w:topLinePunct w:val="0"/>
              <w:autoSpaceDE/>
              <w:autoSpaceDN/>
              <w:bidi w:val="0"/>
              <w:adjustRightInd/>
              <w:snapToGrid/>
              <w:spacing w:line="280" w:lineRule="exact"/>
              <w:ind w:firstLine="221" w:firstLineChars="100"/>
              <w:jc w:val="center"/>
              <w:textAlignment w:val="center"/>
              <w:rPr>
                <w:rFonts w:hint="default" w:ascii="Times New Roman" w:hAnsi="Times New Roman" w:eastAsia="宋体" w:cs="宋体"/>
                <w:bCs/>
                <w:color w:val="000000"/>
                <w:sz w:val="22"/>
                <w:szCs w:val="22"/>
                <w:highlight w:val="none"/>
                <w:lang w:val="en-US" w:eastAsia="zh-CN"/>
              </w:rPr>
            </w:pPr>
            <w:r>
              <w:rPr>
                <w:rFonts w:hint="eastAsia" w:ascii="Times New Roman" w:hAnsi="Times New Roman" w:eastAsia="宋体" w:cs="宋体"/>
                <w:b/>
                <w:bCs/>
                <w:color w:val="000000"/>
                <w:sz w:val="22"/>
                <w:szCs w:val="22"/>
                <w:highlight w:val="none"/>
                <w:lang w:val="en-US" w:eastAsia="zh-CN"/>
              </w:rPr>
              <w:t>合计</w:t>
            </w:r>
          </w:p>
        </w:tc>
        <w:tc>
          <w:tcPr>
            <w:tcW w:w="800" w:type="dxa"/>
            <w:tcBorders>
              <w:tl2br w:val="nil"/>
              <w:tr2bl w:val="nil"/>
            </w:tcBorders>
            <w:noWrap w:val="0"/>
            <w:tcMar>
              <w:top w:w="15" w:type="dxa"/>
              <w:left w:w="15" w:type="dxa"/>
              <w:right w:w="15" w:type="dxa"/>
            </w:tcMar>
            <w:vAlign w:val="center"/>
          </w:tcPr>
          <w:p w14:paraId="13E5895E">
            <w:pPr>
              <w:keepNext w:val="0"/>
              <w:keepLines w:val="0"/>
              <w:pageBreakBefore w:val="0"/>
              <w:widowControl w:val="0"/>
              <w:kinsoku/>
              <w:wordWrap w:val="0"/>
              <w:overflowPunct/>
              <w:topLinePunct w:val="0"/>
              <w:autoSpaceDE/>
              <w:autoSpaceDN/>
              <w:bidi w:val="0"/>
              <w:adjustRightInd/>
              <w:snapToGrid/>
              <w:spacing w:line="280" w:lineRule="exact"/>
              <w:ind w:firstLine="221" w:firstLineChars="100"/>
              <w:jc w:val="both"/>
              <w:textAlignment w:val="center"/>
              <w:rPr>
                <w:rFonts w:hint="default" w:ascii="Times New Roman" w:hAnsi="Times New Roman" w:eastAsia="宋体" w:cs="宋体"/>
                <w:bCs/>
                <w:color w:val="000000"/>
                <w:sz w:val="22"/>
                <w:szCs w:val="22"/>
                <w:highlight w:val="none"/>
                <w:lang w:val="en-US" w:eastAsia="zh-CN"/>
              </w:rPr>
            </w:pPr>
            <w:r>
              <w:rPr>
                <w:rFonts w:hint="eastAsia" w:ascii="Times New Roman" w:hAnsi="Times New Roman" w:eastAsia="宋体" w:cs="宋体"/>
                <w:b/>
                <w:bCs/>
                <w:color w:val="000000"/>
                <w:sz w:val="22"/>
                <w:szCs w:val="22"/>
                <w:highlight w:val="none"/>
                <w:lang w:val="en-US" w:eastAsia="zh-CN"/>
              </w:rPr>
              <w:t>998</w:t>
            </w:r>
          </w:p>
        </w:tc>
        <w:tc>
          <w:tcPr>
            <w:tcW w:w="4013" w:type="dxa"/>
            <w:tcBorders>
              <w:tl2br w:val="nil"/>
              <w:tr2bl w:val="nil"/>
            </w:tcBorders>
            <w:noWrap w:val="0"/>
            <w:tcMar>
              <w:top w:w="15" w:type="dxa"/>
              <w:left w:w="15" w:type="dxa"/>
              <w:right w:w="15" w:type="dxa"/>
            </w:tcMar>
            <w:vAlign w:val="center"/>
          </w:tcPr>
          <w:p w14:paraId="3BD9F139">
            <w:pPr>
              <w:keepNext w:val="0"/>
              <w:keepLines w:val="0"/>
              <w:pageBreakBefore w:val="0"/>
              <w:widowControl w:val="0"/>
              <w:kinsoku/>
              <w:wordWrap w:val="0"/>
              <w:overflowPunct/>
              <w:topLinePunct w:val="0"/>
              <w:autoSpaceDE/>
              <w:autoSpaceDN/>
              <w:bidi w:val="0"/>
              <w:adjustRightInd/>
              <w:snapToGrid/>
              <w:spacing w:line="280" w:lineRule="exact"/>
              <w:ind w:firstLine="221" w:firstLineChars="100"/>
              <w:jc w:val="center"/>
              <w:textAlignment w:val="center"/>
              <w:rPr>
                <w:rFonts w:hint="default" w:ascii="Times New Roman" w:hAnsi="Times New Roman" w:eastAsia="宋体" w:cs="宋体"/>
                <w:bCs/>
                <w:color w:val="000000"/>
                <w:sz w:val="22"/>
                <w:szCs w:val="22"/>
                <w:highlight w:val="none"/>
                <w:lang w:val="en-US" w:eastAsia="zh-CN"/>
              </w:rPr>
            </w:pPr>
            <w:r>
              <w:rPr>
                <w:rFonts w:hint="eastAsia" w:ascii="Times New Roman" w:hAnsi="Times New Roman" w:eastAsia="宋体" w:cs="宋体"/>
                <w:b/>
                <w:bCs/>
                <w:color w:val="000000"/>
                <w:sz w:val="22"/>
                <w:szCs w:val="22"/>
                <w:highlight w:val="none"/>
                <w:lang w:val="en-US" w:eastAsia="zh-CN"/>
              </w:rPr>
              <w:t>/</w:t>
            </w:r>
          </w:p>
        </w:tc>
        <w:tc>
          <w:tcPr>
            <w:tcW w:w="2214" w:type="dxa"/>
            <w:tcBorders>
              <w:tl2br w:val="nil"/>
              <w:tr2bl w:val="nil"/>
            </w:tcBorders>
            <w:noWrap w:val="0"/>
            <w:tcMar>
              <w:top w:w="15" w:type="dxa"/>
              <w:left w:w="15" w:type="dxa"/>
              <w:right w:w="15" w:type="dxa"/>
            </w:tcMar>
            <w:vAlign w:val="center"/>
          </w:tcPr>
          <w:p w14:paraId="538FF891">
            <w:pPr>
              <w:keepNext w:val="0"/>
              <w:keepLines w:val="0"/>
              <w:pageBreakBefore w:val="0"/>
              <w:widowControl w:val="0"/>
              <w:kinsoku/>
              <w:wordWrap w:val="0"/>
              <w:overflowPunct/>
              <w:topLinePunct w:val="0"/>
              <w:autoSpaceDE/>
              <w:autoSpaceDN/>
              <w:bidi w:val="0"/>
              <w:adjustRightInd/>
              <w:snapToGrid/>
              <w:spacing w:line="280" w:lineRule="exact"/>
              <w:ind w:firstLine="221" w:firstLineChars="100"/>
              <w:jc w:val="center"/>
              <w:textAlignment w:val="center"/>
              <w:rPr>
                <w:rFonts w:hint="default" w:ascii="Times New Roman" w:hAnsi="Times New Roman" w:eastAsia="宋体" w:cs="宋体"/>
                <w:bCs/>
                <w:color w:val="000000"/>
                <w:sz w:val="22"/>
                <w:szCs w:val="22"/>
                <w:highlight w:val="none"/>
                <w:lang w:val="en-US" w:eastAsia="zh-CN"/>
              </w:rPr>
            </w:pPr>
            <w:r>
              <w:rPr>
                <w:rFonts w:hint="eastAsia" w:ascii="Times New Roman" w:hAnsi="Times New Roman" w:eastAsia="宋体" w:cs="宋体"/>
                <w:b/>
                <w:bCs/>
                <w:color w:val="000000"/>
                <w:sz w:val="22"/>
                <w:szCs w:val="22"/>
                <w:highlight w:val="none"/>
                <w:lang w:val="en-US" w:eastAsia="zh-CN"/>
              </w:rPr>
              <w:t>/</w:t>
            </w:r>
          </w:p>
        </w:tc>
      </w:tr>
      <w:tr w14:paraId="2E5E3C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90" w:hRule="atLeast"/>
          <w:jc w:val="center"/>
        </w:trPr>
        <w:tc>
          <w:tcPr>
            <w:tcW w:w="8294" w:type="dxa"/>
            <w:gridSpan w:val="4"/>
            <w:tcBorders>
              <w:tl2br w:val="nil"/>
              <w:tr2bl w:val="nil"/>
            </w:tcBorders>
            <w:noWrap w:val="0"/>
            <w:tcMar>
              <w:top w:w="15" w:type="dxa"/>
              <w:left w:w="15" w:type="dxa"/>
              <w:right w:w="15" w:type="dxa"/>
            </w:tcMar>
            <w:vAlign w:val="center"/>
          </w:tcPr>
          <w:p w14:paraId="3025EF63">
            <w:pPr>
              <w:keepNext w:val="0"/>
              <w:keepLines w:val="0"/>
              <w:pageBreakBefore w:val="0"/>
              <w:widowControl w:val="0"/>
              <w:kinsoku/>
              <w:wordWrap w:val="0"/>
              <w:overflowPunct/>
              <w:topLinePunct w:val="0"/>
              <w:autoSpaceDE/>
              <w:autoSpaceDN/>
              <w:bidi w:val="0"/>
              <w:adjustRightInd/>
              <w:snapToGrid/>
              <w:spacing w:line="280" w:lineRule="exact"/>
              <w:ind w:firstLine="440" w:firstLineChars="200"/>
              <w:jc w:val="left"/>
              <w:textAlignment w:val="center"/>
              <w:rPr>
                <w:rFonts w:hint="eastAsia" w:ascii="Times New Roman" w:hAnsi="Times New Roman" w:eastAsia="宋体" w:cs="宋体"/>
                <w:b w:val="0"/>
                <w:bCs/>
                <w:color w:val="000000"/>
                <w:kern w:val="0"/>
                <w:sz w:val="22"/>
                <w:szCs w:val="22"/>
                <w:highlight w:val="none"/>
                <w:lang w:val="en-US" w:eastAsia="zh-CN"/>
              </w:rPr>
            </w:pPr>
            <w:r>
              <w:rPr>
                <w:rFonts w:hint="eastAsia" w:ascii="Times New Roman" w:hAnsi="Times New Roman" w:eastAsia="宋体" w:cs="宋体"/>
                <w:b w:val="0"/>
                <w:bCs/>
                <w:color w:val="000000"/>
                <w:kern w:val="0"/>
                <w:sz w:val="22"/>
                <w:szCs w:val="22"/>
                <w:highlight w:val="none"/>
                <w:lang w:val="en-US" w:eastAsia="zh-CN"/>
              </w:rPr>
              <w:t>补充说明：</w:t>
            </w:r>
          </w:p>
          <w:p w14:paraId="3A4CC83E">
            <w:pPr>
              <w:keepNext w:val="0"/>
              <w:keepLines w:val="0"/>
              <w:pageBreakBefore w:val="0"/>
              <w:widowControl w:val="0"/>
              <w:kinsoku/>
              <w:wordWrap w:val="0"/>
              <w:overflowPunct/>
              <w:topLinePunct w:val="0"/>
              <w:autoSpaceDE/>
              <w:autoSpaceDN/>
              <w:bidi w:val="0"/>
              <w:adjustRightInd/>
              <w:snapToGrid/>
              <w:spacing w:line="280" w:lineRule="exact"/>
              <w:ind w:firstLine="440" w:firstLineChars="200"/>
              <w:jc w:val="left"/>
              <w:textAlignment w:val="center"/>
              <w:rPr>
                <w:rFonts w:hint="eastAsia" w:ascii="Times New Roman" w:hAnsi="Times New Roman" w:eastAsia="宋体" w:cs="宋体"/>
                <w:b w:val="0"/>
                <w:bCs/>
                <w:color w:val="000000"/>
                <w:kern w:val="0"/>
                <w:sz w:val="22"/>
                <w:szCs w:val="22"/>
                <w:highlight w:val="none"/>
                <w:lang w:val="en-US" w:eastAsia="zh-CN"/>
              </w:rPr>
            </w:pPr>
            <w:r>
              <w:rPr>
                <w:rFonts w:hint="eastAsia" w:ascii="Times New Roman" w:hAnsi="Times New Roman" w:eastAsia="宋体" w:cs="宋体"/>
                <w:b w:val="0"/>
                <w:bCs/>
                <w:color w:val="000000"/>
                <w:kern w:val="0"/>
                <w:sz w:val="22"/>
                <w:szCs w:val="22"/>
                <w:highlight w:val="none"/>
                <w:lang w:val="en-US" w:eastAsia="zh-CN"/>
              </w:rPr>
              <w:t>1.本文件内所有预计人数为招标人根据项目清单及目前需求情况进行的预估，如后续发生变化的，以实际参加体检人数进行结算。</w:t>
            </w:r>
          </w:p>
          <w:p w14:paraId="35D4281F">
            <w:pPr>
              <w:keepNext w:val="0"/>
              <w:keepLines w:val="0"/>
              <w:pageBreakBefore w:val="0"/>
              <w:widowControl w:val="0"/>
              <w:kinsoku/>
              <w:wordWrap w:val="0"/>
              <w:overflowPunct/>
              <w:topLinePunct w:val="0"/>
              <w:autoSpaceDE/>
              <w:autoSpaceDN/>
              <w:bidi w:val="0"/>
              <w:adjustRightInd/>
              <w:snapToGrid/>
              <w:spacing w:line="280" w:lineRule="exact"/>
              <w:ind w:firstLine="440" w:firstLineChars="200"/>
              <w:jc w:val="left"/>
              <w:textAlignment w:val="center"/>
              <w:rPr>
                <w:rFonts w:hint="eastAsia" w:ascii="Times New Roman" w:hAnsi="Times New Roman" w:eastAsia="宋体" w:cs="宋体"/>
                <w:b w:val="0"/>
                <w:bCs/>
                <w:color w:val="000000"/>
                <w:kern w:val="0"/>
                <w:sz w:val="22"/>
                <w:szCs w:val="22"/>
                <w:highlight w:val="none"/>
                <w:lang w:val="en-US" w:eastAsia="zh-CN"/>
              </w:rPr>
            </w:pPr>
            <w:r>
              <w:rPr>
                <w:rFonts w:hint="eastAsia" w:ascii="Times New Roman" w:hAnsi="Times New Roman" w:eastAsia="宋体" w:cs="宋体"/>
                <w:b w:val="0"/>
                <w:bCs/>
                <w:color w:val="000000"/>
                <w:kern w:val="0"/>
                <w:sz w:val="22"/>
                <w:szCs w:val="22"/>
                <w:highlight w:val="none"/>
                <w:lang w:val="en-US" w:eastAsia="zh-CN"/>
              </w:rPr>
              <w:t>2.服务地区包括深圳（龙岗、大鹏、福田、光明）、惠州大亚湾、广州、中山、台山、阳江、成都、上海、苏州、大连、防城港等地；各套餐对应服务区域以本表为准。</w:t>
            </w:r>
          </w:p>
          <w:p w14:paraId="15158C76">
            <w:pPr>
              <w:keepNext w:val="0"/>
              <w:keepLines w:val="0"/>
              <w:pageBreakBefore w:val="0"/>
              <w:widowControl w:val="0"/>
              <w:kinsoku/>
              <w:wordWrap w:val="0"/>
              <w:overflowPunct/>
              <w:topLinePunct w:val="0"/>
              <w:autoSpaceDE/>
              <w:autoSpaceDN/>
              <w:bidi w:val="0"/>
              <w:adjustRightInd/>
              <w:snapToGrid/>
              <w:spacing w:line="280" w:lineRule="exact"/>
              <w:ind w:firstLine="440" w:firstLineChars="200"/>
              <w:jc w:val="left"/>
              <w:textAlignment w:val="center"/>
              <w:rPr>
                <w:rFonts w:hint="eastAsia" w:ascii="Times New Roman" w:hAnsi="Times New Roman" w:eastAsia="宋体" w:cs="宋体"/>
                <w:b w:val="0"/>
                <w:bCs/>
                <w:color w:val="000000"/>
                <w:kern w:val="0"/>
                <w:sz w:val="22"/>
                <w:szCs w:val="22"/>
                <w:highlight w:val="none"/>
                <w:lang w:val="en-US" w:eastAsia="zh-CN"/>
              </w:rPr>
            </w:pPr>
            <w:r>
              <w:rPr>
                <w:rFonts w:hint="eastAsia" w:ascii="Times New Roman" w:hAnsi="Times New Roman" w:eastAsia="宋体" w:cs="宋体"/>
                <w:b w:val="0"/>
                <w:bCs/>
                <w:color w:val="000000"/>
                <w:kern w:val="0"/>
                <w:sz w:val="22"/>
                <w:szCs w:val="22"/>
                <w:highlight w:val="none"/>
                <w:lang w:val="en-US" w:eastAsia="zh-CN"/>
              </w:rPr>
              <w:t>3.分批次车辆接送路线包括宝龙工程大厦、苏州市区、大亚湾基地及光明区指定乘车点至体检机构往返，具体批次、乘车人数和接送安排由招标人另行通知。</w:t>
            </w:r>
          </w:p>
        </w:tc>
      </w:tr>
    </w:tbl>
    <w:p w14:paraId="68E2EDA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
          <w:sz w:val="32"/>
          <w:szCs w:val="32"/>
          <w:highlight w:val="none"/>
        </w:rPr>
      </w:pPr>
      <w:r>
        <w:rPr>
          <w:rFonts w:hint="eastAsia" w:ascii="仿宋_GB2312" w:hAnsi="仿宋_GB2312" w:eastAsia="仿宋_GB2312" w:cs="仿宋_GB2312"/>
          <w:bCs/>
          <w:sz w:val="32"/>
          <w:szCs w:val="32"/>
          <w:highlight w:val="none"/>
        </w:rPr>
        <w:t>投标人应于报价文件中明确列示各标准下单价及项目总价，无论总价或各类别分项单价超出上述对应限额的均作为废标处理。</w:t>
      </w:r>
    </w:p>
    <w:p w14:paraId="12665A89">
      <w:pPr>
        <w:keepNext w:val="0"/>
        <w:keepLines w:val="0"/>
        <w:pageBreakBefore w:val="0"/>
        <w:widowControl w:val="0"/>
        <w:numPr>
          <w:ilvl w:val="0"/>
          <w:numId w:val="2"/>
        </w:numPr>
        <w:kinsoku/>
        <w:wordWrap w:val="0"/>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Cs/>
          <w:sz w:val="32"/>
          <w:szCs w:val="32"/>
          <w:highlight w:val="none"/>
          <w:lang w:val="en-US" w:eastAsia="zh-CN"/>
        </w:rPr>
      </w:pPr>
      <w:r>
        <w:rPr>
          <w:rFonts w:hint="eastAsia" w:ascii="楷体_GB2312" w:hAnsi="楷体_GB2312" w:eastAsia="楷体_GB2312" w:cs="楷体_GB2312"/>
          <w:bCs/>
          <w:sz w:val="32"/>
          <w:szCs w:val="32"/>
          <w:highlight w:val="none"/>
          <w:lang w:val="en-US" w:eastAsia="zh-CN"/>
        </w:rPr>
        <w:t>项目需求</w:t>
      </w:r>
    </w:p>
    <w:p w14:paraId="01F32CE8">
      <w:pPr>
        <w:keepNext w:val="0"/>
        <w:keepLines w:val="0"/>
        <w:pageBreakBefore w:val="0"/>
        <w:widowControl w:val="0"/>
        <w:kinsoku/>
        <w:wordWrap w:val="0"/>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1.投标人应为在中国境内注册并具有独立法人资格、经营范围具有相关资格的合法企业，有能力按照本招标文件规定的要求提供招标服务，能独立承担本招标文件所示民事等法律责任和合同义务。</w:t>
      </w:r>
    </w:p>
    <w:p w14:paraId="47089723">
      <w:pPr>
        <w:keepNext w:val="0"/>
        <w:keepLines w:val="0"/>
        <w:pageBreakBefore w:val="0"/>
        <w:widowControl w:val="0"/>
        <w:kinsoku/>
        <w:wordWrap w:val="0"/>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2.投标人应为招标人外派员工提供便利的线上、线下体检预约渠道，同时设置合理体检服务期限，开设企业综合专场，同时为逾期未能参加综合专场体检服务员工提供灵活、机动、合理的体检服务补检；</w:t>
      </w:r>
    </w:p>
    <w:p w14:paraId="52F33B76">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3.投标人配备的体检医生团队具备合法合规的执业资质、扎实的临床诊疗能力、丰富的体检服务经验及良好的职业素养，确保体检结果的准确性、解读的专业性及服务的规范性，为员工提供科学、可靠的健康评估。</w:t>
      </w:r>
    </w:p>
    <w:p w14:paraId="4BE0D95E">
      <w:pPr>
        <w:keepNext w:val="0"/>
        <w:keepLines w:val="0"/>
        <w:pageBreakBefore w:val="0"/>
        <w:widowControl w:val="0"/>
        <w:kinsoku/>
        <w:wordWrap w:val="0"/>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color w:val="000000"/>
          <w:sz w:val="32"/>
          <w:szCs w:val="32"/>
          <w:highlight w:val="none"/>
          <w:lang w:val="en-US" w:eastAsia="zh-CN"/>
        </w:rPr>
        <w:t>4.投标人提供的体检服务地点应至少包含以下区域：深圳（含龙岗、大鹏、福田、光明）、惠州大亚湾、广州、中山、台山、阳江、成都、上海、苏州、大连、防城港等地区；各套餐对应服务区域、人数及结算上限见第一章分项限价表。</w:t>
      </w:r>
    </w:p>
    <w:p w14:paraId="11C7D0C7">
      <w:pPr>
        <w:keepNext w:val="0"/>
        <w:keepLines w:val="0"/>
        <w:pageBreakBefore w:val="0"/>
        <w:widowControl w:val="0"/>
        <w:kinsoku/>
        <w:wordWrap w:val="0"/>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val="en-US" w:eastAsia="zh-CN"/>
        </w:rPr>
        <w:t>5</w:t>
      </w:r>
      <w:r>
        <w:rPr>
          <w:rFonts w:hint="eastAsia" w:ascii="仿宋_GB2312" w:hAnsi="仿宋_GB2312" w:eastAsia="仿宋_GB2312" w:cs="仿宋_GB2312"/>
          <w:bCs/>
          <w:sz w:val="32"/>
          <w:szCs w:val="32"/>
          <w:highlight w:val="none"/>
        </w:rPr>
        <w:t>.投标人应为招标人外派员工提供至少包含以下内容的随附服务：</w:t>
      </w:r>
    </w:p>
    <w:p w14:paraId="26A8A61E">
      <w:pPr>
        <w:keepNext w:val="0"/>
        <w:keepLines w:val="0"/>
        <w:pageBreakBefore w:val="0"/>
        <w:widowControl w:val="0"/>
        <w:kinsoku/>
        <w:wordWrap w:val="0"/>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color w:val="000000"/>
          <w:sz w:val="32"/>
          <w:szCs w:val="32"/>
          <w:highlight w:val="none"/>
          <w:lang w:eastAsia="zh-CN"/>
        </w:rPr>
      </w:pPr>
      <w:r>
        <w:rPr>
          <w:rFonts w:hint="eastAsia" w:ascii="仿宋_GB2312" w:hAnsi="仿宋_GB2312" w:eastAsia="仿宋_GB2312" w:cs="仿宋_GB2312"/>
          <w:bCs/>
          <w:color w:val="000000"/>
          <w:sz w:val="32"/>
          <w:szCs w:val="32"/>
          <w:highlight w:val="none"/>
          <w:lang w:eastAsia="zh-CN"/>
        </w:rPr>
        <w:t>（1）投标人应按下表路线提供分批次车辆接送服务，具体批次由招标人另行通知：</w:t>
      </w:r>
    </w:p>
    <w:tbl>
      <w:tblPr>
        <w:tblStyle w:val="1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26"/>
        <w:gridCol w:w="1041"/>
        <w:gridCol w:w="2667"/>
        <w:gridCol w:w="1347"/>
        <w:gridCol w:w="1905"/>
      </w:tblGrid>
      <w:tr w14:paraId="24DB8C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726" w:type="dxa"/>
            <w:tcBorders>
              <w:tl2br w:val="nil"/>
              <w:tr2bl w:val="nil"/>
            </w:tcBorders>
            <w:vAlign w:val="center"/>
          </w:tcPr>
          <w:p w14:paraId="38F52A00">
            <w:pPr>
              <w:keepNext w:val="0"/>
              <w:keepLines w:val="0"/>
              <w:pageBreakBefore w:val="0"/>
              <w:widowControl w:val="0"/>
              <w:kinsoku/>
              <w:wordWrap w:val="0"/>
              <w:overflowPunct/>
              <w:topLinePunct w:val="0"/>
              <w:autoSpaceDE/>
              <w:autoSpaceDN/>
              <w:bidi w:val="0"/>
              <w:adjustRightInd/>
              <w:snapToGrid w:val="0"/>
              <w:spacing w:line="280" w:lineRule="exact"/>
              <w:jc w:val="center"/>
              <w:textAlignment w:val="auto"/>
              <w:rPr>
                <w:rFonts w:hint="default" w:ascii="Times New Roman Regular" w:hAnsi="Times New Roman Regular" w:eastAsia="黑体" w:cs="Times New Roman Regular"/>
                <w:b w:val="0"/>
                <w:bCs/>
                <w:color w:val="000000"/>
                <w:sz w:val="20"/>
                <w:szCs w:val="20"/>
                <w:highlight w:val="none"/>
                <w:vertAlign w:val="baseline"/>
                <w:lang w:val="en-US" w:eastAsia="zh-CN"/>
              </w:rPr>
            </w:pPr>
            <w:r>
              <w:rPr>
                <w:rFonts w:hint="default" w:ascii="Times New Roman Regular" w:hAnsi="Times New Roman Regular" w:eastAsia="黑体" w:cs="Times New Roman Regular"/>
                <w:b w:val="0"/>
                <w:bCs/>
                <w:color w:val="000000"/>
                <w:sz w:val="20"/>
                <w:szCs w:val="20"/>
                <w:highlight w:val="none"/>
                <w:vertAlign w:val="baseline"/>
                <w:lang w:val="en-US" w:eastAsia="zh-CN"/>
              </w:rPr>
              <w:t>需要接送地区</w:t>
            </w:r>
          </w:p>
        </w:tc>
        <w:tc>
          <w:tcPr>
            <w:tcW w:w="1041" w:type="dxa"/>
            <w:tcBorders>
              <w:tl2br w:val="nil"/>
              <w:tr2bl w:val="nil"/>
            </w:tcBorders>
            <w:vAlign w:val="center"/>
          </w:tcPr>
          <w:p w14:paraId="19A6BB7F">
            <w:pPr>
              <w:keepNext w:val="0"/>
              <w:keepLines w:val="0"/>
              <w:pageBreakBefore w:val="0"/>
              <w:widowControl w:val="0"/>
              <w:kinsoku/>
              <w:wordWrap w:val="0"/>
              <w:overflowPunct/>
              <w:topLinePunct w:val="0"/>
              <w:autoSpaceDE/>
              <w:autoSpaceDN/>
              <w:bidi w:val="0"/>
              <w:adjustRightInd/>
              <w:snapToGrid w:val="0"/>
              <w:spacing w:line="280" w:lineRule="exact"/>
              <w:jc w:val="center"/>
              <w:textAlignment w:val="auto"/>
              <w:rPr>
                <w:rFonts w:hint="default" w:ascii="Times New Roman Regular" w:hAnsi="Times New Roman Regular" w:eastAsia="黑体" w:cs="Times New Roman Regular"/>
                <w:b w:val="0"/>
                <w:bCs/>
                <w:color w:val="000000"/>
                <w:sz w:val="20"/>
                <w:szCs w:val="20"/>
                <w:highlight w:val="none"/>
                <w:vertAlign w:val="baseline"/>
                <w:lang w:val="en-US" w:eastAsia="zh-CN"/>
              </w:rPr>
            </w:pPr>
            <w:r>
              <w:rPr>
                <w:rFonts w:hint="default" w:ascii="Times New Roman Regular" w:hAnsi="Times New Roman Regular" w:eastAsia="黑体" w:cs="Times New Roman Regular"/>
                <w:b w:val="0"/>
                <w:bCs/>
                <w:color w:val="000000"/>
                <w:sz w:val="20"/>
                <w:szCs w:val="20"/>
                <w:highlight w:val="none"/>
                <w:vertAlign w:val="baseline"/>
                <w:lang w:val="en-US" w:eastAsia="zh-CN"/>
              </w:rPr>
              <w:t>计划人数</w:t>
            </w:r>
          </w:p>
        </w:tc>
        <w:tc>
          <w:tcPr>
            <w:tcW w:w="2667" w:type="dxa"/>
            <w:tcBorders>
              <w:tl2br w:val="nil"/>
              <w:tr2bl w:val="nil"/>
            </w:tcBorders>
            <w:vAlign w:val="center"/>
          </w:tcPr>
          <w:p w14:paraId="6B95BBED">
            <w:pPr>
              <w:keepNext w:val="0"/>
              <w:keepLines w:val="0"/>
              <w:pageBreakBefore w:val="0"/>
              <w:widowControl w:val="0"/>
              <w:kinsoku/>
              <w:wordWrap w:val="0"/>
              <w:overflowPunct/>
              <w:topLinePunct w:val="0"/>
              <w:autoSpaceDE/>
              <w:autoSpaceDN/>
              <w:bidi w:val="0"/>
              <w:adjustRightInd/>
              <w:snapToGrid w:val="0"/>
              <w:spacing w:line="280" w:lineRule="exact"/>
              <w:jc w:val="center"/>
              <w:textAlignment w:val="auto"/>
              <w:rPr>
                <w:rFonts w:hint="default" w:ascii="Times New Roman Regular" w:hAnsi="Times New Roman Regular" w:eastAsia="黑体" w:cs="Times New Roman Regular"/>
                <w:b w:val="0"/>
                <w:bCs/>
                <w:color w:val="000000"/>
                <w:sz w:val="20"/>
                <w:szCs w:val="20"/>
                <w:highlight w:val="none"/>
                <w:vertAlign w:val="baseline"/>
                <w:lang w:val="en-US" w:eastAsia="zh-CN"/>
              </w:rPr>
            </w:pPr>
            <w:r>
              <w:rPr>
                <w:rFonts w:hint="default" w:ascii="Times New Roman Regular" w:hAnsi="Times New Roman Regular" w:eastAsia="黑体" w:cs="Times New Roman Regular"/>
                <w:b w:val="0"/>
                <w:bCs/>
                <w:color w:val="000000"/>
                <w:sz w:val="20"/>
                <w:szCs w:val="20"/>
                <w:highlight w:val="none"/>
                <w:vertAlign w:val="baseline"/>
                <w:lang w:val="en-US" w:eastAsia="zh-CN"/>
              </w:rPr>
              <w:t>出发地</w:t>
            </w:r>
          </w:p>
        </w:tc>
        <w:tc>
          <w:tcPr>
            <w:tcW w:w="1347" w:type="dxa"/>
            <w:tcBorders>
              <w:tl2br w:val="nil"/>
              <w:tr2bl w:val="nil"/>
            </w:tcBorders>
            <w:vAlign w:val="center"/>
          </w:tcPr>
          <w:p w14:paraId="75214912">
            <w:pPr>
              <w:keepNext w:val="0"/>
              <w:keepLines w:val="0"/>
              <w:pageBreakBefore w:val="0"/>
              <w:widowControl w:val="0"/>
              <w:kinsoku/>
              <w:wordWrap w:val="0"/>
              <w:overflowPunct/>
              <w:topLinePunct w:val="0"/>
              <w:autoSpaceDE/>
              <w:autoSpaceDN/>
              <w:bidi w:val="0"/>
              <w:adjustRightInd/>
              <w:snapToGrid w:val="0"/>
              <w:spacing w:line="280" w:lineRule="exact"/>
              <w:jc w:val="center"/>
              <w:textAlignment w:val="auto"/>
              <w:rPr>
                <w:rFonts w:hint="default" w:ascii="Times New Roman Regular" w:hAnsi="Times New Roman Regular" w:eastAsia="黑体" w:cs="Times New Roman Regular"/>
                <w:b w:val="0"/>
                <w:bCs/>
                <w:color w:val="000000"/>
                <w:sz w:val="20"/>
                <w:szCs w:val="20"/>
                <w:highlight w:val="none"/>
                <w:vertAlign w:val="baseline"/>
                <w:lang w:val="en-US" w:eastAsia="zh-CN"/>
              </w:rPr>
            </w:pPr>
            <w:r>
              <w:rPr>
                <w:rFonts w:hint="default" w:ascii="Times New Roman Regular" w:hAnsi="Times New Roman Regular" w:eastAsia="黑体" w:cs="Times New Roman Regular"/>
                <w:b w:val="0"/>
                <w:bCs/>
                <w:color w:val="000000"/>
                <w:sz w:val="20"/>
                <w:szCs w:val="20"/>
                <w:highlight w:val="none"/>
                <w:vertAlign w:val="baseline"/>
                <w:lang w:val="en-US" w:eastAsia="zh-CN"/>
              </w:rPr>
              <w:t>目的地</w:t>
            </w:r>
          </w:p>
        </w:tc>
        <w:tc>
          <w:tcPr>
            <w:tcW w:w="1905" w:type="dxa"/>
            <w:tcBorders>
              <w:tl2br w:val="nil"/>
              <w:tr2bl w:val="nil"/>
            </w:tcBorders>
            <w:vAlign w:val="center"/>
          </w:tcPr>
          <w:p w14:paraId="2D3AED60">
            <w:pPr>
              <w:keepNext w:val="0"/>
              <w:keepLines w:val="0"/>
              <w:pageBreakBefore w:val="0"/>
              <w:widowControl w:val="0"/>
              <w:kinsoku/>
              <w:wordWrap w:val="0"/>
              <w:overflowPunct/>
              <w:topLinePunct w:val="0"/>
              <w:autoSpaceDE/>
              <w:autoSpaceDN/>
              <w:bidi w:val="0"/>
              <w:adjustRightInd/>
              <w:snapToGrid w:val="0"/>
              <w:spacing w:line="280" w:lineRule="exact"/>
              <w:jc w:val="center"/>
              <w:textAlignment w:val="auto"/>
              <w:rPr>
                <w:rFonts w:hint="default" w:ascii="Times New Roman Regular" w:hAnsi="Times New Roman Regular" w:eastAsia="黑体" w:cs="Times New Roman Regular"/>
                <w:b w:val="0"/>
                <w:bCs/>
                <w:color w:val="000000"/>
                <w:sz w:val="20"/>
                <w:szCs w:val="20"/>
                <w:highlight w:val="none"/>
                <w:vertAlign w:val="baseline"/>
                <w:lang w:val="en-US" w:eastAsia="zh-CN"/>
              </w:rPr>
            </w:pPr>
            <w:r>
              <w:rPr>
                <w:rFonts w:hint="default" w:ascii="Times New Roman Regular" w:hAnsi="Times New Roman Regular" w:eastAsia="黑体" w:cs="Times New Roman Regular"/>
                <w:b w:val="0"/>
                <w:bCs/>
                <w:color w:val="000000"/>
                <w:sz w:val="20"/>
                <w:szCs w:val="20"/>
                <w:highlight w:val="none"/>
                <w:vertAlign w:val="baseline"/>
                <w:lang w:val="en-US" w:eastAsia="zh-CN"/>
              </w:rPr>
              <w:t>其他服务要求</w:t>
            </w:r>
          </w:p>
        </w:tc>
      </w:tr>
      <w:tr w14:paraId="6809C4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26" w:type="dxa"/>
            <w:tcBorders>
              <w:tl2br w:val="nil"/>
              <w:tr2bl w:val="nil"/>
            </w:tcBorders>
            <w:vAlign w:val="top"/>
          </w:tcPr>
          <w:p w14:paraId="1C846ED8">
            <w:pPr>
              <w:keepNext w:val="0"/>
              <w:keepLines w:val="0"/>
              <w:pageBreakBefore w:val="0"/>
              <w:widowControl w:val="0"/>
              <w:kinsoku/>
              <w:wordWrap w:val="0"/>
              <w:overflowPunct/>
              <w:topLinePunct w:val="0"/>
              <w:autoSpaceDE/>
              <w:autoSpaceDN/>
              <w:bidi w:val="0"/>
              <w:adjustRightInd/>
              <w:snapToGrid w:val="0"/>
              <w:spacing w:line="240" w:lineRule="exact"/>
              <w:jc w:val="center"/>
              <w:textAlignment w:val="auto"/>
              <w:rPr>
                <w:rFonts w:hint="default" w:ascii="Times New Roman Regular" w:hAnsi="Times New Roman Regular" w:cs="Times New Roman Regular" w:eastAsiaTheme="majorEastAsia"/>
                <w:bCs/>
                <w:color w:val="000000"/>
                <w:sz w:val="20"/>
                <w:szCs w:val="20"/>
                <w:highlight w:val="none"/>
                <w:vertAlign w:val="baseline"/>
                <w:lang w:val="en-US" w:eastAsia="zh-CN"/>
              </w:rPr>
            </w:pPr>
            <w:r>
              <w:rPr>
                <w:rFonts w:hint="default" w:ascii="Times New Roman Regular" w:hAnsi="Times New Roman Regular" w:cs="Times New Roman Regular"/>
                <w:color w:val="000000"/>
                <w:sz w:val="20"/>
                <w:szCs w:val="20"/>
              </w:rPr>
              <w:t>深圳市龙岗区</w:t>
            </w:r>
          </w:p>
        </w:tc>
        <w:tc>
          <w:tcPr>
            <w:tcW w:w="1041" w:type="dxa"/>
            <w:tcBorders>
              <w:tl2br w:val="nil"/>
              <w:tr2bl w:val="nil"/>
            </w:tcBorders>
            <w:vAlign w:val="top"/>
          </w:tcPr>
          <w:p w14:paraId="7F48F508">
            <w:pPr>
              <w:keepNext w:val="0"/>
              <w:keepLines w:val="0"/>
              <w:pageBreakBefore w:val="0"/>
              <w:widowControl w:val="0"/>
              <w:kinsoku/>
              <w:wordWrap w:val="0"/>
              <w:overflowPunct/>
              <w:topLinePunct w:val="0"/>
              <w:autoSpaceDE/>
              <w:autoSpaceDN/>
              <w:bidi w:val="0"/>
              <w:adjustRightInd/>
              <w:snapToGrid w:val="0"/>
              <w:spacing w:line="240" w:lineRule="exact"/>
              <w:jc w:val="center"/>
              <w:textAlignment w:val="auto"/>
              <w:rPr>
                <w:rFonts w:hint="default" w:ascii="Times New Roman Regular" w:hAnsi="Times New Roman Regular" w:cs="Times New Roman Regular" w:eastAsiaTheme="majorEastAsia"/>
                <w:bCs/>
                <w:color w:val="000000"/>
                <w:sz w:val="20"/>
                <w:szCs w:val="20"/>
                <w:highlight w:val="none"/>
                <w:vertAlign w:val="baseline"/>
                <w:lang w:val="en-US" w:eastAsia="zh-CN"/>
              </w:rPr>
            </w:pPr>
            <w:r>
              <w:rPr>
                <w:rFonts w:hint="default" w:ascii="Times New Roman Regular" w:hAnsi="Times New Roman Regular" w:cs="Times New Roman Regular"/>
                <w:color w:val="000000"/>
                <w:sz w:val="20"/>
                <w:szCs w:val="20"/>
              </w:rPr>
              <w:t>316</w:t>
            </w:r>
          </w:p>
        </w:tc>
        <w:tc>
          <w:tcPr>
            <w:tcW w:w="2667" w:type="dxa"/>
            <w:tcBorders>
              <w:tl2br w:val="nil"/>
              <w:tr2bl w:val="nil"/>
            </w:tcBorders>
            <w:vAlign w:val="top"/>
          </w:tcPr>
          <w:p w14:paraId="4877CBD0">
            <w:pPr>
              <w:keepNext w:val="0"/>
              <w:keepLines w:val="0"/>
              <w:pageBreakBefore w:val="0"/>
              <w:widowControl w:val="0"/>
              <w:kinsoku/>
              <w:wordWrap w:val="0"/>
              <w:overflowPunct/>
              <w:topLinePunct w:val="0"/>
              <w:autoSpaceDE/>
              <w:autoSpaceDN/>
              <w:bidi w:val="0"/>
              <w:adjustRightInd/>
              <w:snapToGrid w:val="0"/>
              <w:spacing w:line="240" w:lineRule="exact"/>
              <w:jc w:val="center"/>
              <w:textAlignment w:val="auto"/>
              <w:rPr>
                <w:rFonts w:hint="default" w:ascii="Times New Roman Regular" w:hAnsi="Times New Roman Regular" w:cs="Times New Roman Regular" w:eastAsiaTheme="majorEastAsia"/>
                <w:bCs/>
                <w:color w:val="000000"/>
                <w:sz w:val="20"/>
                <w:szCs w:val="20"/>
                <w:highlight w:val="none"/>
                <w:vertAlign w:val="baseline"/>
                <w:lang w:val="en-US" w:eastAsia="zh-CN"/>
              </w:rPr>
            </w:pPr>
            <w:r>
              <w:rPr>
                <w:rFonts w:hint="default" w:ascii="Times New Roman Regular" w:hAnsi="Times New Roman Regular" w:cs="Times New Roman Regular"/>
                <w:color w:val="000000"/>
                <w:sz w:val="20"/>
                <w:szCs w:val="20"/>
              </w:rPr>
              <w:t>宝龙工程大厦</w:t>
            </w:r>
          </w:p>
        </w:tc>
        <w:tc>
          <w:tcPr>
            <w:tcW w:w="1347" w:type="dxa"/>
            <w:vMerge w:val="restart"/>
            <w:tcBorders>
              <w:tl2br w:val="nil"/>
              <w:tr2bl w:val="nil"/>
            </w:tcBorders>
            <w:vAlign w:val="top"/>
          </w:tcPr>
          <w:p w14:paraId="4B891B66">
            <w:pPr>
              <w:keepNext w:val="0"/>
              <w:keepLines w:val="0"/>
              <w:pageBreakBefore w:val="0"/>
              <w:widowControl w:val="0"/>
              <w:kinsoku/>
              <w:wordWrap w:val="0"/>
              <w:overflowPunct/>
              <w:topLinePunct w:val="0"/>
              <w:autoSpaceDE/>
              <w:autoSpaceDN/>
              <w:bidi w:val="0"/>
              <w:adjustRightInd/>
              <w:snapToGrid w:val="0"/>
              <w:spacing w:line="240" w:lineRule="exact"/>
              <w:jc w:val="center"/>
              <w:textAlignment w:val="auto"/>
              <w:rPr>
                <w:rFonts w:hint="default" w:ascii="Times New Roman Regular" w:hAnsi="Times New Roman Regular" w:cs="Times New Roman Regular" w:eastAsiaTheme="majorEastAsia"/>
                <w:bCs/>
                <w:color w:val="000000"/>
                <w:sz w:val="20"/>
                <w:szCs w:val="20"/>
                <w:highlight w:val="none"/>
                <w:vertAlign w:val="baseline"/>
                <w:lang w:val="en-US" w:eastAsia="zh-CN"/>
              </w:rPr>
            </w:pPr>
            <w:r>
              <w:rPr>
                <w:rFonts w:hint="default" w:ascii="Times New Roman Regular" w:hAnsi="Times New Roman Regular" w:cs="Times New Roman Regular" w:eastAsiaTheme="majorEastAsia"/>
                <w:bCs/>
                <w:color w:val="000000"/>
                <w:sz w:val="20"/>
                <w:szCs w:val="20"/>
                <w:highlight w:val="none"/>
                <w:vertAlign w:val="baseline"/>
                <w:lang w:val="en-US" w:eastAsia="zh-CN"/>
              </w:rPr>
              <w:t>服务本项目的体检机构</w:t>
            </w:r>
          </w:p>
        </w:tc>
        <w:tc>
          <w:tcPr>
            <w:tcW w:w="1905" w:type="dxa"/>
            <w:vMerge w:val="restart"/>
            <w:tcBorders>
              <w:tl2br w:val="nil"/>
              <w:tr2bl w:val="nil"/>
            </w:tcBorders>
            <w:vAlign w:val="top"/>
          </w:tcPr>
          <w:p w14:paraId="3956AE48">
            <w:pPr>
              <w:keepNext w:val="0"/>
              <w:keepLines w:val="0"/>
              <w:pageBreakBefore w:val="0"/>
              <w:widowControl w:val="0"/>
              <w:kinsoku/>
              <w:wordWrap w:val="0"/>
              <w:overflowPunct/>
              <w:topLinePunct w:val="0"/>
              <w:autoSpaceDE/>
              <w:autoSpaceDN/>
              <w:bidi w:val="0"/>
              <w:adjustRightInd/>
              <w:snapToGrid w:val="0"/>
              <w:spacing w:line="240" w:lineRule="exact"/>
              <w:jc w:val="left"/>
              <w:textAlignment w:val="auto"/>
              <w:rPr>
                <w:rFonts w:hint="default" w:ascii="Times New Roman Regular" w:hAnsi="Times New Roman Regular" w:cs="Times New Roman Regular" w:eastAsiaTheme="majorEastAsia"/>
                <w:bCs/>
                <w:color w:val="000000"/>
                <w:sz w:val="20"/>
                <w:szCs w:val="20"/>
                <w:highlight w:val="none"/>
                <w:vertAlign w:val="baseline"/>
                <w:lang w:val="en-US" w:eastAsia="zh-CN"/>
              </w:rPr>
            </w:pPr>
            <w:r>
              <w:rPr>
                <w:rFonts w:hint="default" w:ascii="Times New Roman Regular" w:hAnsi="Times New Roman Regular" w:cs="Times New Roman Regular" w:eastAsiaTheme="majorEastAsia"/>
                <w:bCs/>
                <w:color w:val="000000"/>
                <w:sz w:val="20"/>
                <w:szCs w:val="20"/>
                <w:highlight w:val="none"/>
                <w:vertAlign w:val="baseline"/>
                <w:lang w:val="en-US" w:eastAsia="zh-CN"/>
              </w:rPr>
              <w:t>安排分批次车辆接送；单批次集合人数达到25人以上提供车辆接送，同时为乘客购买交通保险</w:t>
            </w:r>
          </w:p>
        </w:tc>
      </w:tr>
      <w:tr w14:paraId="585E79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26" w:type="dxa"/>
            <w:tcBorders>
              <w:tl2br w:val="nil"/>
              <w:tr2bl w:val="nil"/>
            </w:tcBorders>
            <w:vAlign w:val="top"/>
          </w:tcPr>
          <w:p w14:paraId="7DFE99B6">
            <w:pPr>
              <w:keepNext w:val="0"/>
              <w:keepLines w:val="0"/>
              <w:pageBreakBefore w:val="0"/>
              <w:widowControl w:val="0"/>
              <w:kinsoku/>
              <w:wordWrap w:val="0"/>
              <w:overflowPunct/>
              <w:topLinePunct w:val="0"/>
              <w:autoSpaceDE/>
              <w:autoSpaceDN/>
              <w:bidi w:val="0"/>
              <w:adjustRightInd/>
              <w:snapToGrid w:val="0"/>
              <w:spacing w:line="240" w:lineRule="exact"/>
              <w:jc w:val="center"/>
              <w:textAlignment w:val="auto"/>
              <w:rPr>
                <w:rFonts w:hint="default" w:ascii="Times New Roman Regular" w:hAnsi="Times New Roman Regular" w:cs="Times New Roman Regular" w:eastAsiaTheme="majorEastAsia"/>
                <w:bCs/>
                <w:color w:val="000000"/>
                <w:sz w:val="24"/>
                <w:szCs w:val="24"/>
                <w:highlight w:val="none"/>
                <w:vertAlign w:val="baseline"/>
                <w:lang w:val="en-US" w:eastAsia="zh-CN"/>
              </w:rPr>
            </w:pPr>
            <w:r>
              <w:rPr>
                <w:rFonts w:hint="default" w:ascii="Times New Roman Regular" w:hAnsi="Times New Roman Regular" w:cs="Times New Roman Regular"/>
                <w:color w:val="000000"/>
              </w:rPr>
              <w:t>苏州市区</w:t>
            </w:r>
          </w:p>
        </w:tc>
        <w:tc>
          <w:tcPr>
            <w:tcW w:w="1041" w:type="dxa"/>
            <w:tcBorders>
              <w:tl2br w:val="nil"/>
              <w:tr2bl w:val="nil"/>
            </w:tcBorders>
            <w:vAlign w:val="top"/>
          </w:tcPr>
          <w:p w14:paraId="1878A66C">
            <w:pPr>
              <w:keepNext w:val="0"/>
              <w:keepLines w:val="0"/>
              <w:pageBreakBefore w:val="0"/>
              <w:widowControl w:val="0"/>
              <w:kinsoku/>
              <w:wordWrap w:val="0"/>
              <w:overflowPunct/>
              <w:topLinePunct w:val="0"/>
              <w:autoSpaceDE/>
              <w:autoSpaceDN/>
              <w:bidi w:val="0"/>
              <w:adjustRightInd/>
              <w:snapToGrid w:val="0"/>
              <w:spacing w:line="240" w:lineRule="exact"/>
              <w:jc w:val="center"/>
              <w:textAlignment w:val="auto"/>
              <w:rPr>
                <w:rFonts w:hint="default" w:ascii="Times New Roman Regular" w:hAnsi="Times New Roman Regular" w:cs="Times New Roman Regular" w:eastAsiaTheme="majorEastAsia"/>
                <w:bCs/>
                <w:color w:val="000000"/>
                <w:sz w:val="24"/>
                <w:szCs w:val="24"/>
                <w:highlight w:val="none"/>
                <w:vertAlign w:val="baseline"/>
                <w:lang w:val="en-US" w:eastAsia="zh-CN"/>
              </w:rPr>
            </w:pPr>
            <w:r>
              <w:rPr>
                <w:rFonts w:hint="default" w:ascii="Times New Roman Regular" w:hAnsi="Times New Roman Regular" w:cs="Times New Roman Regular"/>
                <w:color w:val="000000"/>
              </w:rPr>
              <w:t>50</w:t>
            </w:r>
          </w:p>
        </w:tc>
        <w:tc>
          <w:tcPr>
            <w:tcW w:w="2667" w:type="dxa"/>
            <w:tcBorders>
              <w:tl2br w:val="nil"/>
              <w:tr2bl w:val="nil"/>
            </w:tcBorders>
            <w:vAlign w:val="top"/>
          </w:tcPr>
          <w:p w14:paraId="052BD8E5">
            <w:pPr>
              <w:keepNext w:val="0"/>
              <w:keepLines w:val="0"/>
              <w:pageBreakBefore w:val="0"/>
              <w:widowControl w:val="0"/>
              <w:kinsoku/>
              <w:wordWrap w:val="0"/>
              <w:overflowPunct/>
              <w:topLinePunct w:val="0"/>
              <w:autoSpaceDE/>
              <w:autoSpaceDN/>
              <w:bidi w:val="0"/>
              <w:adjustRightInd/>
              <w:snapToGrid w:val="0"/>
              <w:spacing w:line="240" w:lineRule="exact"/>
              <w:jc w:val="center"/>
              <w:textAlignment w:val="auto"/>
              <w:rPr>
                <w:rFonts w:hint="default" w:ascii="Times New Roman Regular" w:hAnsi="Times New Roman Regular" w:cs="Times New Roman Regular" w:eastAsiaTheme="majorEastAsia"/>
                <w:bCs/>
                <w:color w:val="000000"/>
                <w:sz w:val="24"/>
                <w:szCs w:val="24"/>
                <w:highlight w:val="none"/>
                <w:vertAlign w:val="baseline"/>
                <w:lang w:val="en-US" w:eastAsia="zh-CN"/>
              </w:rPr>
            </w:pPr>
            <w:r>
              <w:rPr>
                <w:rFonts w:hint="default" w:ascii="Times New Roman Regular" w:hAnsi="Times New Roman Regular" w:cs="Times New Roman Regular"/>
                <w:color w:val="000000"/>
              </w:rPr>
              <w:t>苏州市区</w:t>
            </w:r>
          </w:p>
        </w:tc>
        <w:tc>
          <w:tcPr>
            <w:tcW w:w="1347" w:type="dxa"/>
            <w:vMerge w:val="continue"/>
            <w:tcBorders>
              <w:tl2br w:val="nil"/>
              <w:tr2bl w:val="nil"/>
            </w:tcBorders>
            <w:vAlign w:val="top"/>
          </w:tcPr>
          <w:p w14:paraId="0298B0AA">
            <w:pPr>
              <w:keepNext w:val="0"/>
              <w:keepLines w:val="0"/>
              <w:pageBreakBefore w:val="0"/>
              <w:widowControl w:val="0"/>
              <w:kinsoku/>
              <w:wordWrap w:val="0"/>
              <w:overflowPunct/>
              <w:topLinePunct w:val="0"/>
              <w:autoSpaceDE/>
              <w:autoSpaceDN/>
              <w:bidi w:val="0"/>
              <w:adjustRightInd/>
              <w:snapToGrid w:val="0"/>
              <w:spacing w:line="240" w:lineRule="exact"/>
              <w:jc w:val="left"/>
              <w:textAlignment w:val="auto"/>
              <w:rPr>
                <w:rFonts w:hint="default" w:ascii="Times New Roman Regular" w:hAnsi="Times New Roman Regular" w:cs="Times New Roman Regular" w:eastAsiaTheme="majorEastAsia"/>
                <w:bCs/>
                <w:color w:val="000000"/>
                <w:sz w:val="24"/>
                <w:szCs w:val="24"/>
                <w:highlight w:val="none"/>
                <w:vertAlign w:val="baseline"/>
                <w:lang w:val="en-US" w:eastAsia="zh-CN"/>
              </w:rPr>
            </w:pPr>
          </w:p>
        </w:tc>
        <w:tc>
          <w:tcPr>
            <w:tcW w:w="1905" w:type="dxa"/>
            <w:vMerge w:val="continue"/>
            <w:tcBorders>
              <w:tl2br w:val="nil"/>
              <w:tr2bl w:val="nil"/>
            </w:tcBorders>
            <w:vAlign w:val="top"/>
          </w:tcPr>
          <w:p w14:paraId="56E665D3">
            <w:pPr>
              <w:keepNext w:val="0"/>
              <w:keepLines w:val="0"/>
              <w:pageBreakBefore w:val="0"/>
              <w:widowControl w:val="0"/>
              <w:kinsoku/>
              <w:wordWrap w:val="0"/>
              <w:overflowPunct/>
              <w:topLinePunct w:val="0"/>
              <w:autoSpaceDE/>
              <w:autoSpaceDN/>
              <w:bidi w:val="0"/>
              <w:adjustRightInd/>
              <w:snapToGrid w:val="0"/>
              <w:spacing w:line="240" w:lineRule="exact"/>
              <w:jc w:val="left"/>
              <w:textAlignment w:val="auto"/>
              <w:rPr>
                <w:rFonts w:hint="default" w:ascii="Times New Roman Regular" w:hAnsi="Times New Roman Regular" w:cs="Times New Roman Regular" w:eastAsiaTheme="majorEastAsia"/>
                <w:bCs/>
                <w:color w:val="000000"/>
                <w:sz w:val="24"/>
                <w:szCs w:val="24"/>
                <w:highlight w:val="none"/>
                <w:vertAlign w:val="baseline"/>
                <w:lang w:val="en-US" w:eastAsia="zh-CN"/>
              </w:rPr>
            </w:pPr>
          </w:p>
        </w:tc>
      </w:tr>
      <w:tr w14:paraId="3F2CE2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26" w:type="dxa"/>
            <w:tcBorders>
              <w:tl2br w:val="nil"/>
              <w:tr2bl w:val="nil"/>
            </w:tcBorders>
            <w:vAlign w:val="top"/>
          </w:tcPr>
          <w:p w14:paraId="0CD11023">
            <w:pPr>
              <w:keepNext w:val="0"/>
              <w:keepLines w:val="0"/>
              <w:pageBreakBefore w:val="0"/>
              <w:widowControl w:val="0"/>
              <w:kinsoku/>
              <w:wordWrap w:val="0"/>
              <w:overflowPunct/>
              <w:topLinePunct w:val="0"/>
              <w:autoSpaceDE/>
              <w:autoSpaceDN/>
              <w:bidi w:val="0"/>
              <w:adjustRightInd/>
              <w:snapToGrid w:val="0"/>
              <w:spacing w:line="240" w:lineRule="exact"/>
              <w:jc w:val="center"/>
              <w:textAlignment w:val="auto"/>
              <w:rPr>
                <w:rFonts w:hint="default" w:ascii="Times New Roman Regular" w:hAnsi="Times New Roman Regular" w:cs="Times New Roman Regular" w:eastAsiaTheme="majorEastAsia"/>
                <w:bCs/>
                <w:color w:val="000000"/>
                <w:sz w:val="24"/>
                <w:szCs w:val="24"/>
                <w:highlight w:val="none"/>
                <w:vertAlign w:val="baseline"/>
                <w:lang w:val="en-US" w:eastAsia="zh-CN"/>
              </w:rPr>
            </w:pPr>
            <w:r>
              <w:rPr>
                <w:rFonts w:hint="default" w:ascii="Times New Roman Regular" w:hAnsi="Times New Roman Regular" w:cs="Times New Roman Regular"/>
                <w:color w:val="000000"/>
              </w:rPr>
              <w:t>大亚湾基地</w:t>
            </w:r>
          </w:p>
        </w:tc>
        <w:tc>
          <w:tcPr>
            <w:tcW w:w="1041" w:type="dxa"/>
            <w:tcBorders>
              <w:tl2br w:val="nil"/>
              <w:tr2bl w:val="nil"/>
            </w:tcBorders>
            <w:vAlign w:val="top"/>
          </w:tcPr>
          <w:p w14:paraId="1346F404">
            <w:pPr>
              <w:keepNext w:val="0"/>
              <w:keepLines w:val="0"/>
              <w:pageBreakBefore w:val="0"/>
              <w:widowControl w:val="0"/>
              <w:kinsoku/>
              <w:wordWrap w:val="0"/>
              <w:overflowPunct/>
              <w:topLinePunct w:val="0"/>
              <w:autoSpaceDE/>
              <w:autoSpaceDN/>
              <w:bidi w:val="0"/>
              <w:adjustRightInd/>
              <w:snapToGrid w:val="0"/>
              <w:spacing w:line="240" w:lineRule="exact"/>
              <w:jc w:val="center"/>
              <w:textAlignment w:val="auto"/>
              <w:rPr>
                <w:rFonts w:hint="default" w:ascii="Times New Roman Regular" w:hAnsi="Times New Roman Regular" w:cs="Times New Roman Regular" w:eastAsiaTheme="majorEastAsia"/>
                <w:bCs/>
                <w:color w:val="000000"/>
                <w:sz w:val="24"/>
                <w:szCs w:val="24"/>
                <w:highlight w:val="none"/>
                <w:vertAlign w:val="baseline"/>
                <w:lang w:val="en-US" w:eastAsia="zh-CN"/>
              </w:rPr>
            </w:pPr>
            <w:r>
              <w:rPr>
                <w:rFonts w:hint="default" w:ascii="Times New Roman Regular" w:hAnsi="Times New Roman Regular" w:cs="Times New Roman Regular"/>
                <w:color w:val="000000"/>
              </w:rPr>
              <w:t>425</w:t>
            </w:r>
          </w:p>
        </w:tc>
        <w:tc>
          <w:tcPr>
            <w:tcW w:w="2667" w:type="dxa"/>
            <w:tcBorders>
              <w:tl2br w:val="nil"/>
              <w:tr2bl w:val="nil"/>
            </w:tcBorders>
            <w:vAlign w:val="top"/>
          </w:tcPr>
          <w:p w14:paraId="0A74F81B">
            <w:pPr>
              <w:keepNext w:val="0"/>
              <w:keepLines w:val="0"/>
              <w:pageBreakBefore w:val="0"/>
              <w:widowControl w:val="0"/>
              <w:kinsoku/>
              <w:wordWrap w:val="0"/>
              <w:overflowPunct/>
              <w:topLinePunct w:val="0"/>
              <w:autoSpaceDE/>
              <w:autoSpaceDN/>
              <w:bidi w:val="0"/>
              <w:adjustRightInd/>
              <w:snapToGrid w:val="0"/>
              <w:spacing w:line="240" w:lineRule="exact"/>
              <w:jc w:val="center"/>
              <w:textAlignment w:val="auto"/>
              <w:rPr>
                <w:rFonts w:hint="default" w:ascii="Times New Roman Regular" w:hAnsi="Times New Roman Regular" w:cs="Times New Roman Regular" w:eastAsiaTheme="majorEastAsia"/>
                <w:bCs/>
                <w:color w:val="000000"/>
                <w:sz w:val="24"/>
                <w:szCs w:val="24"/>
                <w:highlight w:val="none"/>
                <w:vertAlign w:val="baseline"/>
                <w:lang w:val="en-US" w:eastAsia="zh-CN"/>
              </w:rPr>
            </w:pPr>
            <w:r>
              <w:rPr>
                <w:rFonts w:hint="default" w:ascii="Times New Roman Regular" w:hAnsi="Times New Roman Regular" w:cs="Times New Roman Regular"/>
                <w:color w:val="000000"/>
              </w:rPr>
              <w:t>大亚湾基地</w:t>
            </w:r>
          </w:p>
        </w:tc>
        <w:tc>
          <w:tcPr>
            <w:tcW w:w="1347" w:type="dxa"/>
            <w:vMerge w:val="continue"/>
            <w:tcBorders>
              <w:tl2br w:val="nil"/>
              <w:tr2bl w:val="nil"/>
            </w:tcBorders>
            <w:vAlign w:val="top"/>
          </w:tcPr>
          <w:p w14:paraId="0FFF7A3E">
            <w:pPr>
              <w:keepNext w:val="0"/>
              <w:keepLines w:val="0"/>
              <w:pageBreakBefore w:val="0"/>
              <w:widowControl w:val="0"/>
              <w:kinsoku/>
              <w:wordWrap w:val="0"/>
              <w:overflowPunct/>
              <w:topLinePunct w:val="0"/>
              <w:autoSpaceDE/>
              <w:autoSpaceDN/>
              <w:bidi w:val="0"/>
              <w:adjustRightInd/>
              <w:snapToGrid w:val="0"/>
              <w:spacing w:line="240" w:lineRule="exact"/>
              <w:jc w:val="left"/>
              <w:textAlignment w:val="auto"/>
              <w:rPr>
                <w:rFonts w:hint="default" w:ascii="Times New Roman Regular" w:hAnsi="Times New Roman Regular" w:cs="Times New Roman Regular" w:eastAsiaTheme="majorEastAsia"/>
                <w:bCs/>
                <w:color w:val="000000"/>
                <w:sz w:val="24"/>
                <w:szCs w:val="24"/>
                <w:highlight w:val="none"/>
                <w:vertAlign w:val="baseline"/>
                <w:lang w:val="en-US" w:eastAsia="zh-CN"/>
              </w:rPr>
            </w:pPr>
          </w:p>
        </w:tc>
        <w:tc>
          <w:tcPr>
            <w:tcW w:w="1905" w:type="dxa"/>
            <w:vMerge w:val="continue"/>
            <w:tcBorders>
              <w:tl2br w:val="nil"/>
              <w:tr2bl w:val="nil"/>
            </w:tcBorders>
            <w:vAlign w:val="top"/>
          </w:tcPr>
          <w:p w14:paraId="61D01170">
            <w:pPr>
              <w:keepNext w:val="0"/>
              <w:keepLines w:val="0"/>
              <w:pageBreakBefore w:val="0"/>
              <w:widowControl w:val="0"/>
              <w:kinsoku/>
              <w:wordWrap w:val="0"/>
              <w:overflowPunct/>
              <w:topLinePunct w:val="0"/>
              <w:autoSpaceDE/>
              <w:autoSpaceDN/>
              <w:bidi w:val="0"/>
              <w:adjustRightInd/>
              <w:snapToGrid w:val="0"/>
              <w:spacing w:line="240" w:lineRule="exact"/>
              <w:jc w:val="left"/>
              <w:textAlignment w:val="auto"/>
              <w:rPr>
                <w:rFonts w:hint="default" w:ascii="Times New Roman Regular" w:hAnsi="Times New Roman Regular" w:cs="Times New Roman Regular" w:eastAsiaTheme="majorEastAsia"/>
                <w:bCs/>
                <w:color w:val="000000"/>
                <w:sz w:val="24"/>
                <w:szCs w:val="24"/>
                <w:highlight w:val="none"/>
                <w:vertAlign w:val="baseline"/>
                <w:lang w:val="en-US" w:eastAsia="zh-CN"/>
              </w:rPr>
            </w:pPr>
          </w:p>
        </w:tc>
      </w:tr>
      <w:tr w14:paraId="46C199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726" w:type="dxa"/>
            <w:tcBorders>
              <w:tl2br w:val="nil"/>
              <w:tr2bl w:val="nil"/>
            </w:tcBorders>
            <w:vAlign w:val="top"/>
          </w:tcPr>
          <w:p w14:paraId="52DBF6C5">
            <w:pPr>
              <w:keepNext w:val="0"/>
              <w:keepLines w:val="0"/>
              <w:pageBreakBefore w:val="0"/>
              <w:widowControl w:val="0"/>
              <w:kinsoku/>
              <w:wordWrap w:val="0"/>
              <w:overflowPunct/>
              <w:topLinePunct w:val="0"/>
              <w:autoSpaceDE/>
              <w:autoSpaceDN/>
              <w:bidi w:val="0"/>
              <w:adjustRightInd/>
              <w:snapToGrid w:val="0"/>
              <w:spacing w:line="240" w:lineRule="exact"/>
              <w:jc w:val="left"/>
              <w:textAlignment w:val="auto"/>
              <w:rPr>
                <w:rFonts w:hint="default" w:ascii="Times New Roman Regular" w:hAnsi="Times New Roman Regular" w:cs="Times New Roman Regular" w:eastAsiaTheme="majorEastAsia"/>
                <w:bCs/>
                <w:color w:val="000000"/>
                <w:sz w:val="24"/>
                <w:szCs w:val="24"/>
                <w:highlight w:val="none"/>
                <w:vertAlign w:val="baseline"/>
                <w:lang w:val="en-US" w:eastAsia="zh-CN"/>
              </w:rPr>
            </w:pPr>
            <w:r>
              <w:rPr>
                <w:rFonts w:hint="default" w:ascii="Times New Roman Regular" w:hAnsi="Times New Roman Regular" w:cs="Times New Roman Regular"/>
                <w:color w:val="000000"/>
              </w:rPr>
              <w:t>深圳市光明区</w:t>
            </w:r>
          </w:p>
        </w:tc>
        <w:tc>
          <w:tcPr>
            <w:tcW w:w="1041" w:type="dxa"/>
            <w:tcBorders>
              <w:tl2br w:val="nil"/>
              <w:tr2bl w:val="nil"/>
            </w:tcBorders>
            <w:vAlign w:val="top"/>
          </w:tcPr>
          <w:p w14:paraId="0CA7425E">
            <w:pPr>
              <w:keepNext w:val="0"/>
              <w:keepLines w:val="0"/>
              <w:pageBreakBefore w:val="0"/>
              <w:widowControl w:val="0"/>
              <w:kinsoku/>
              <w:wordWrap w:val="0"/>
              <w:overflowPunct/>
              <w:topLinePunct w:val="0"/>
              <w:autoSpaceDE/>
              <w:autoSpaceDN/>
              <w:bidi w:val="0"/>
              <w:adjustRightInd/>
              <w:snapToGrid w:val="0"/>
              <w:spacing w:line="240" w:lineRule="exact"/>
              <w:jc w:val="center"/>
              <w:textAlignment w:val="auto"/>
              <w:rPr>
                <w:rFonts w:hint="default" w:ascii="Times New Roman Regular" w:hAnsi="Times New Roman Regular" w:cs="Times New Roman Regular" w:eastAsiaTheme="majorEastAsia"/>
                <w:bCs/>
                <w:color w:val="000000"/>
                <w:sz w:val="24"/>
                <w:szCs w:val="24"/>
                <w:highlight w:val="none"/>
                <w:vertAlign w:val="baseline"/>
                <w:lang w:val="en-US" w:eastAsia="zh-CN"/>
              </w:rPr>
            </w:pPr>
            <w:r>
              <w:rPr>
                <w:rFonts w:hint="default" w:ascii="Times New Roman Regular" w:hAnsi="Times New Roman Regular" w:cs="Times New Roman Regular"/>
                <w:color w:val="000000"/>
              </w:rPr>
              <w:t>150</w:t>
            </w:r>
          </w:p>
        </w:tc>
        <w:tc>
          <w:tcPr>
            <w:tcW w:w="2667" w:type="dxa"/>
            <w:tcBorders>
              <w:tl2br w:val="nil"/>
              <w:tr2bl w:val="nil"/>
            </w:tcBorders>
            <w:vAlign w:val="top"/>
          </w:tcPr>
          <w:p w14:paraId="247C4CF6">
            <w:pPr>
              <w:keepNext w:val="0"/>
              <w:keepLines w:val="0"/>
              <w:pageBreakBefore w:val="0"/>
              <w:widowControl w:val="0"/>
              <w:kinsoku/>
              <w:wordWrap w:val="0"/>
              <w:overflowPunct/>
              <w:topLinePunct w:val="0"/>
              <w:autoSpaceDE/>
              <w:autoSpaceDN/>
              <w:bidi w:val="0"/>
              <w:adjustRightInd/>
              <w:snapToGrid w:val="0"/>
              <w:spacing w:line="240" w:lineRule="exact"/>
              <w:jc w:val="left"/>
              <w:textAlignment w:val="auto"/>
              <w:rPr>
                <w:rFonts w:hint="default" w:ascii="Times New Roman Regular" w:hAnsi="Times New Roman Regular" w:cs="Times New Roman Regular" w:eastAsiaTheme="majorEastAsia"/>
                <w:bCs/>
                <w:color w:val="000000"/>
                <w:sz w:val="24"/>
                <w:szCs w:val="24"/>
                <w:highlight w:val="none"/>
                <w:vertAlign w:val="baseline"/>
                <w:lang w:val="en-US" w:eastAsia="zh-CN"/>
              </w:rPr>
            </w:pPr>
            <w:r>
              <w:rPr>
                <w:rFonts w:hint="default" w:ascii="Times New Roman Regular" w:hAnsi="Times New Roman Regular" w:cs="Times New Roman Regular"/>
                <w:color w:val="000000"/>
              </w:rPr>
              <w:t>光明区公明滨河东路268号</w:t>
            </w:r>
          </w:p>
        </w:tc>
        <w:tc>
          <w:tcPr>
            <w:tcW w:w="1347" w:type="dxa"/>
            <w:vMerge w:val="continue"/>
            <w:tcBorders>
              <w:tl2br w:val="nil"/>
              <w:tr2bl w:val="nil"/>
            </w:tcBorders>
            <w:vAlign w:val="top"/>
          </w:tcPr>
          <w:p w14:paraId="73376184">
            <w:pPr>
              <w:keepNext w:val="0"/>
              <w:keepLines w:val="0"/>
              <w:pageBreakBefore w:val="0"/>
              <w:widowControl w:val="0"/>
              <w:kinsoku/>
              <w:wordWrap w:val="0"/>
              <w:overflowPunct/>
              <w:topLinePunct w:val="0"/>
              <w:autoSpaceDE/>
              <w:autoSpaceDN/>
              <w:bidi w:val="0"/>
              <w:adjustRightInd/>
              <w:snapToGrid w:val="0"/>
              <w:spacing w:line="240" w:lineRule="exact"/>
              <w:jc w:val="left"/>
              <w:textAlignment w:val="auto"/>
              <w:rPr>
                <w:rFonts w:hint="default" w:ascii="Times New Roman Regular" w:hAnsi="Times New Roman Regular" w:cs="Times New Roman Regular" w:eastAsiaTheme="majorEastAsia"/>
                <w:bCs/>
                <w:color w:val="000000"/>
                <w:sz w:val="24"/>
                <w:szCs w:val="24"/>
                <w:highlight w:val="none"/>
                <w:vertAlign w:val="baseline"/>
                <w:lang w:val="en-US" w:eastAsia="zh-CN"/>
              </w:rPr>
            </w:pPr>
          </w:p>
        </w:tc>
        <w:tc>
          <w:tcPr>
            <w:tcW w:w="1905" w:type="dxa"/>
            <w:vMerge w:val="continue"/>
            <w:tcBorders>
              <w:tl2br w:val="nil"/>
              <w:tr2bl w:val="nil"/>
            </w:tcBorders>
            <w:vAlign w:val="top"/>
          </w:tcPr>
          <w:p w14:paraId="0CF269FB">
            <w:pPr>
              <w:keepNext w:val="0"/>
              <w:keepLines w:val="0"/>
              <w:pageBreakBefore w:val="0"/>
              <w:widowControl w:val="0"/>
              <w:kinsoku/>
              <w:wordWrap w:val="0"/>
              <w:overflowPunct/>
              <w:topLinePunct w:val="0"/>
              <w:autoSpaceDE/>
              <w:autoSpaceDN/>
              <w:bidi w:val="0"/>
              <w:adjustRightInd/>
              <w:snapToGrid w:val="0"/>
              <w:spacing w:line="240" w:lineRule="exact"/>
              <w:jc w:val="left"/>
              <w:textAlignment w:val="auto"/>
              <w:rPr>
                <w:rFonts w:hint="default" w:ascii="Times New Roman Regular" w:hAnsi="Times New Roman Regular" w:cs="Times New Roman Regular" w:eastAsiaTheme="majorEastAsia"/>
                <w:bCs/>
                <w:color w:val="000000"/>
                <w:sz w:val="24"/>
                <w:szCs w:val="24"/>
                <w:highlight w:val="none"/>
                <w:vertAlign w:val="baseline"/>
                <w:lang w:val="en-US" w:eastAsia="zh-CN"/>
              </w:rPr>
            </w:pPr>
          </w:p>
        </w:tc>
      </w:tr>
    </w:tbl>
    <w:p w14:paraId="4D003FE2">
      <w:pPr>
        <w:keepNext w:val="0"/>
        <w:keepLines w:val="0"/>
        <w:pageBreakBefore w:val="0"/>
        <w:widowControl w:val="0"/>
        <w:kinsoku/>
        <w:wordWrap w:val="0"/>
        <w:overflowPunct/>
        <w:topLinePunct w:val="0"/>
        <w:autoSpaceDE/>
        <w:autoSpaceDN/>
        <w:bidi w:val="0"/>
        <w:adjustRightInd/>
        <w:snapToGrid w:val="0"/>
        <w:spacing w:line="560" w:lineRule="exact"/>
        <w:ind w:firstLine="640" w:firstLineChars="200"/>
        <w:jc w:val="left"/>
        <w:textAlignment w:val="auto"/>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color w:val="000000"/>
          <w:sz w:val="32"/>
          <w:szCs w:val="32"/>
          <w:highlight w:val="none"/>
          <w:lang w:eastAsia="zh-CN"/>
        </w:rPr>
        <w:t>（2）个人纸质及电子版体检报告（如员工有特别要求的，需提供纸质版本）；</w:t>
      </w:r>
    </w:p>
    <w:p w14:paraId="0B782A1D">
      <w:pPr>
        <w:keepNext w:val="0"/>
        <w:keepLines w:val="0"/>
        <w:pageBreakBefore w:val="0"/>
        <w:widowControl w:val="0"/>
        <w:kinsoku/>
        <w:wordWrap w:val="0"/>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color w:val="000000"/>
          <w:sz w:val="32"/>
          <w:szCs w:val="32"/>
          <w:highlight w:val="none"/>
          <w:lang w:eastAsia="zh-CN"/>
        </w:rPr>
        <w:t>（3）体检当日营养早餐；</w:t>
      </w:r>
    </w:p>
    <w:p w14:paraId="516594D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color w:val="000000"/>
          <w:sz w:val="32"/>
          <w:szCs w:val="32"/>
          <w:highlight w:val="none"/>
          <w:lang w:eastAsia="zh-CN"/>
        </w:rPr>
        <w:t>（4）疑似肿瘤、癌症，重度心血管疾病，血液、血压、尿酸指标中度以上异常重大阳性结果或复查提示通知；</w:t>
      </w:r>
    </w:p>
    <w:p w14:paraId="722E270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color w:val="000000"/>
          <w:sz w:val="32"/>
          <w:szCs w:val="32"/>
          <w:highlight w:val="none"/>
          <w:lang w:eastAsia="zh-CN"/>
        </w:rPr>
        <w:t>（5）如发现肿瘤标志物异常，由专业医务人员提供检后复查提醒服务；</w:t>
      </w:r>
    </w:p>
    <w:p w14:paraId="0F0151A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color w:val="000000"/>
          <w:sz w:val="32"/>
          <w:szCs w:val="32"/>
          <w:highlight w:val="none"/>
          <w:lang w:eastAsia="zh-CN"/>
        </w:rPr>
        <w:t>（6）肿瘤标志物异常30个工作日内免费复查；</w:t>
      </w:r>
    </w:p>
    <w:p w14:paraId="20C9C2BA">
      <w:pPr>
        <w:pStyle w:val="2"/>
        <w:keepNext w:val="0"/>
        <w:keepLines w:val="0"/>
        <w:pageBreakBefore w:val="0"/>
        <w:widowControl w:val="0"/>
        <w:kinsoku/>
        <w:wordWrap w:val="0"/>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bCs/>
          <w:sz w:val="32"/>
          <w:szCs w:val="32"/>
          <w:highlight w:val="none"/>
          <w:lang w:eastAsia="zh-CN"/>
        </w:rPr>
      </w:pPr>
      <w:r>
        <w:rPr>
          <w:rFonts w:hint="eastAsia" w:ascii="仿宋_GB2312" w:hAnsi="仿宋_GB2312" w:eastAsia="仿宋_GB2312" w:cs="仿宋_GB2312"/>
          <w:bCs/>
          <w:sz w:val="32"/>
          <w:szCs w:val="32"/>
          <w:highlight w:val="none"/>
          <w:lang w:val="en-US" w:eastAsia="zh-CN"/>
        </w:rPr>
        <w:t>6</w:t>
      </w:r>
      <w:r>
        <w:rPr>
          <w:rFonts w:hint="eastAsia" w:ascii="仿宋_GB2312" w:hAnsi="仿宋_GB2312" w:eastAsia="仿宋_GB2312" w:cs="仿宋_GB2312"/>
          <w:bCs/>
          <w:sz w:val="32"/>
          <w:szCs w:val="32"/>
          <w:highlight w:val="none"/>
        </w:rPr>
        <w:t>.投标人应为招标人提供外派员工团体体检汇总报告</w:t>
      </w:r>
      <w:r>
        <w:rPr>
          <w:rFonts w:hint="eastAsia" w:ascii="仿宋_GB2312" w:hAnsi="仿宋_GB2312" w:eastAsia="仿宋_GB2312" w:cs="仿宋_GB2312"/>
          <w:bCs/>
          <w:sz w:val="32"/>
          <w:szCs w:val="32"/>
          <w:highlight w:val="none"/>
          <w:lang w:eastAsia="zh-CN"/>
        </w:rPr>
        <w:t>；</w:t>
      </w:r>
    </w:p>
    <w:p w14:paraId="5041C3AC">
      <w:pPr>
        <w:pStyle w:val="2"/>
        <w:keepNext w:val="0"/>
        <w:keepLines w:val="0"/>
        <w:pageBreakBefore w:val="0"/>
        <w:widowControl w:val="0"/>
        <w:kinsoku/>
        <w:wordWrap w:val="0"/>
        <w:overflowPunct/>
        <w:topLinePunct w:val="0"/>
        <w:autoSpaceDE/>
        <w:autoSpaceDN/>
        <w:bidi w:val="0"/>
        <w:adjustRightInd/>
        <w:snapToGrid/>
        <w:spacing w:after="0" w:line="560" w:lineRule="exact"/>
        <w:ind w:firstLine="640" w:firstLineChars="200"/>
        <w:jc w:val="both"/>
        <w:textAlignment w:val="auto"/>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t>四、投标人资质要求</w:t>
      </w:r>
    </w:p>
    <w:p w14:paraId="3AA65C5C">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一）投标人为国内注册（指按国家有关规定要求注册的），经营本次采购内容，具备法人资格且具有国家卫生行政部门颁发的《中华人民共和国医疗经营许可证》的专业体检机构（若投标人为分公司，需同时提供总公司的营业执照及授权盖章证明文件）；</w:t>
      </w:r>
    </w:p>
    <w:p w14:paraId="521F5F32">
      <w:pPr>
        <w:keepNext w:val="0"/>
        <w:keepLines w:val="0"/>
        <w:pageBreakBefore w:val="0"/>
        <w:widowControl w:val="0"/>
        <w:kinsoku/>
        <w:wordWrap w:val="0"/>
        <w:overflowPunct/>
        <w:topLinePunct w:val="0"/>
        <w:autoSpaceDE/>
        <w:autoSpaceDN/>
        <w:bidi w:val="0"/>
        <w:adjustRightInd/>
        <w:snapToGrid/>
        <w:spacing w:beforeLines="30" w:line="560" w:lineRule="exact"/>
        <w:ind w:firstLine="640" w:firstLineChars="200"/>
        <w:jc w:val="both"/>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（二）投标人具有完全响应本项目采购需求的能力；</w:t>
      </w:r>
    </w:p>
    <w:p w14:paraId="771FC9F9">
      <w:pPr>
        <w:keepNext w:val="0"/>
        <w:keepLines w:val="0"/>
        <w:pageBreakBefore w:val="0"/>
        <w:widowControl w:val="0"/>
        <w:kinsoku/>
        <w:wordWrap w:val="0"/>
        <w:overflowPunct/>
        <w:topLinePunct w:val="0"/>
        <w:autoSpaceDE/>
        <w:autoSpaceDN/>
        <w:bidi w:val="0"/>
        <w:adjustRightInd/>
        <w:snapToGrid/>
        <w:spacing w:beforeLines="30" w:line="560" w:lineRule="exact"/>
        <w:ind w:firstLine="640" w:firstLineChars="200"/>
        <w:jc w:val="both"/>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（三）投标人无在“信用中国”网站(www.creditchina.gov.cn)、中国政府采购网(www.ccgp.gov.cn)等渠道列入失信被执行人、重大税收违法案件当事人名单、政府采购严重违法失信行为记录名单的情况；</w:t>
      </w:r>
    </w:p>
    <w:p w14:paraId="055EB0B2">
      <w:pPr>
        <w:keepNext w:val="0"/>
        <w:keepLines w:val="0"/>
        <w:pageBreakBefore w:val="0"/>
        <w:widowControl w:val="0"/>
        <w:kinsoku/>
        <w:wordWrap w:val="0"/>
        <w:overflowPunct/>
        <w:topLinePunct w:val="0"/>
        <w:autoSpaceDE/>
        <w:autoSpaceDN/>
        <w:bidi w:val="0"/>
        <w:adjustRightInd/>
        <w:snapToGrid/>
        <w:spacing w:beforeLines="30" w:line="560" w:lineRule="exact"/>
        <w:ind w:firstLine="640" w:firstLineChars="200"/>
        <w:jc w:val="both"/>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（四）投标人如为与招标人既往合作的供应商，需满足招标人关于供应商的管理规定，同时既往三年内无重大事故、服务投诉或质量不符合记录；</w:t>
      </w:r>
    </w:p>
    <w:p w14:paraId="4E5580ED">
      <w:pPr>
        <w:keepNext w:val="0"/>
        <w:keepLines w:val="0"/>
        <w:pageBreakBefore w:val="0"/>
        <w:widowControl w:val="0"/>
        <w:kinsoku/>
        <w:wordWrap w:val="0"/>
        <w:overflowPunct/>
        <w:topLinePunct w:val="0"/>
        <w:autoSpaceDE/>
        <w:autoSpaceDN/>
        <w:bidi w:val="0"/>
        <w:adjustRightInd/>
        <w:snapToGrid/>
        <w:spacing w:beforeLines="30" w:line="560" w:lineRule="exact"/>
        <w:ind w:firstLine="640" w:firstLineChars="200"/>
        <w:jc w:val="both"/>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（五）投标人能够开具符合国家法律法规规定的增值税发票，如所提供的产品或服务税率不同，须按照相应税率分别开具发票；</w:t>
      </w:r>
    </w:p>
    <w:p w14:paraId="3F8834CF">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本项目不接受联合体竞标或分标段投标。投标人应如实提供资质信息及随附证明文件，不得弄虚作假，提供虚假资质信息或虚假的随附证明文件一经查实，取消本项目投标资格，同时三年内不得参加招标人其他项目招标或采购。</w:t>
      </w:r>
    </w:p>
    <w:p w14:paraId="2C9C501E">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t>五、具体内容</w:t>
      </w:r>
    </w:p>
    <w:p w14:paraId="33C1E57A">
      <w:pPr>
        <w:keepNext w:val="0"/>
        <w:keepLines w:val="0"/>
        <w:pageBreakBefore w:val="0"/>
        <w:widowControl w:val="0"/>
        <w:numPr>
          <w:ilvl w:val="0"/>
          <w:numId w:val="0"/>
        </w:numPr>
        <w:kinsoku/>
        <w:wordWrap w:val="0"/>
        <w:overflowPunct/>
        <w:topLinePunct/>
        <w:autoSpaceDE/>
        <w:autoSpaceDN/>
        <w:bidi w:val="0"/>
        <w:adjustRightInd/>
        <w:snapToGrid/>
        <w:spacing w:line="560" w:lineRule="exact"/>
        <w:ind w:leftChars="0" w:firstLine="640" w:firstLineChars="200"/>
        <w:jc w:val="left"/>
        <w:textAlignment w:val="auto"/>
        <w:rPr>
          <w:rFonts w:hint="eastAsia" w:ascii="Times New Roman" w:hAnsi="Times New Roman" w:eastAsia="仿宋_GB2312" w:cs="仿宋"/>
          <w:bCs/>
          <w:sz w:val="32"/>
          <w:szCs w:val="32"/>
          <w:highlight w:val="none"/>
          <w:lang w:val="en-US" w:eastAsia="zh-CN"/>
        </w:rPr>
      </w:pPr>
      <w:r>
        <w:rPr>
          <w:rFonts w:hint="eastAsia" w:ascii="Times New Roman" w:hAnsi="Times New Roman" w:eastAsia="仿宋_GB2312" w:cs="仿宋"/>
          <w:bCs/>
          <w:sz w:val="32"/>
          <w:szCs w:val="32"/>
          <w:highlight w:val="none"/>
          <w:lang w:val="en-US" w:eastAsia="zh-CN"/>
        </w:rPr>
        <w:t>见《深圳市鹏劳人力资源管理有限公司2026年度外派员工健康体检项目招标文件》）（附件2）</w:t>
      </w:r>
    </w:p>
    <w:p w14:paraId="4F03678B">
      <w:pPr>
        <w:keepNext w:val="0"/>
        <w:keepLines w:val="0"/>
        <w:pageBreakBefore w:val="0"/>
        <w:widowControl w:val="0"/>
        <w:numPr>
          <w:ilvl w:val="0"/>
          <w:numId w:val="0"/>
        </w:numPr>
        <w:kinsoku/>
        <w:wordWrap w:val="0"/>
        <w:overflowPunct/>
        <w:topLinePunct/>
        <w:autoSpaceDE/>
        <w:autoSpaceDN/>
        <w:bidi w:val="0"/>
        <w:adjustRightInd/>
        <w:snapToGrid/>
        <w:spacing w:line="560" w:lineRule="exact"/>
        <w:ind w:leftChars="0" w:firstLine="640" w:firstLineChars="200"/>
        <w:jc w:val="both"/>
        <w:textAlignment w:val="auto"/>
        <w:rPr>
          <w:rFonts w:hint="eastAsia" w:ascii="Times New Roman" w:hAnsi="Times New Roman" w:eastAsia="仿宋_GB2312" w:cs="仿宋"/>
          <w:bCs/>
          <w:sz w:val="32"/>
          <w:szCs w:val="32"/>
          <w:highlight w:val="none"/>
          <w:lang w:val="en-US" w:eastAsia="zh-CN"/>
        </w:rPr>
      </w:pPr>
      <w:r>
        <w:rPr>
          <w:rFonts w:hint="eastAsia" w:ascii="Times New Roman" w:hAnsi="Times New Roman" w:eastAsia="仿宋_GB2312" w:cs="仿宋"/>
          <w:bCs/>
          <w:color w:val="000000"/>
          <w:sz w:val="32"/>
          <w:szCs w:val="32"/>
          <w:highlight w:val="none"/>
          <w:lang w:val="en-US" w:eastAsia="zh-CN"/>
        </w:rPr>
        <w:t>有意参与投标的供方请于2026年11月6日17时</w:t>
      </w:r>
      <w:r>
        <w:rPr>
          <w:rFonts w:hint="eastAsia" w:ascii="Times New Roman" w:hAnsi="Times New Roman" w:eastAsia="仿宋_GB2312" w:cs="仿宋"/>
          <w:bCs/>
          <w:color w:val="000000"/>
          <w:sz w:val="32"/>
          <w:szCs w:val="32"/>
          <w:highlight w:val="none"/>
          <w:lang w:val="en-US" w:eastAsia="zh-CN"/>
        </w:rPr>
        <w:t>前向招标人列示联系邮箱（cn@plhr.cn）提供资质文件扫描件，填报公告附件1《报名表》，加盖公章并随附资格文件电子版。（本文件所有报名资，料格式：扫描件，PDF格式加盖公章）</w:t>
      </w:r>
    </w:p>
    <w:p w14:paraId="3C8FD4F3">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t>六、答疑、澄清与补正</w:t>
      </w:r>
    </w:p>
    <w:p w14:paraId="385F8D4F">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Cs/>
          <w:sz w:val="32"/>
          <w:szCs w:val="32"/>
          <w:highlight w:val="none"/>
          <w:lang w:val="en-US" w:eastAsia="zh-CN"/>
        </w:rPr>
      </w:pPr>
      <w:r>
        <w:rPr>
          <w:rFonts w:hint="eastAsia" w:ascii="Times New Roman" w:hAnsi="Times New Roman" w:eastAsia="仿宋_GB2312" w:cs="仿宋_GB2312"/>
          <w:bCs/>
          <w:color w:val="000000"/>
          <w:sz w:val="32"/>
          <w:szCs w:val="32"/>
          <w:highlight w:val="none"/>
          <w:lang w:val="en-US" w:eastAsia="zh-CN"/>
        </w:rPr>
        <w:t>拟参与本项目的投标人在获得招标文件后，应及时阅知招标文件，于2026年11月2日17时前就需要招标人答疑、澄清或确认的事项提出答疑澄清请求发送至招标人联系邮箱，逾期不予受理。</w:t>
      </w:r>
    </w:p>
    <w:p w14:paraId="3A2EB0CD">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Cs/>
          <w:sz w:val="32"/>
          <w:szCs w:val="32"/>
          <w:highlight w:val="none"/>
          <w:lang w:val="en-US" w:eastAsia="zh-CN"/>
        </w:rPr>
      </w:pPr>
      <w:r>
        <w:rPr>
          <w:rFonts w:hint="eastAsia" w:ascii="Times New Roman" w:hAnsi="Times New Roman" w:eastAsia="仿宋_GB2312" w:cs="仿宋_GB2312"/>
          <w:bCs/>
          <w:color w:val="000000"/>
          <w:sz w:val="32"/>
          <w:szCs w:val="32"/>
          <w:highlight w:val="none"/>
          <w:lang w:val="en-US" w:eastAsia="zh-CN"/>
        </w:rPr>
        <w:t>招标人将在收到答疑澄清后，统一于2026年11月3日17时以电子邮件形式根据各投标人提出的答疑澄清请求及招标人认为应当补遗说明的情况进行统一答复说明，答复说明按规不披露疑问来源。</w:t>
      </w:r>
    </w:p>
    <w:p w14:paraId="630FFB03">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Cs/>
          <w:sz w:val="32"/>
          <w:szCs w:val="32"/>
          <w:highlight w:val="none"/>
          <w:lang w:val="en-US" w:eastAsia="zh-CN"/>
        </w:rPr>
      </w:pPr>
      <w:r>
        <w:rPr>
          <w:rFonts w:hint="eastAsia" w:ascii="Times New Roman" w:hAnsi="Times New Roman" w:eastAsia="仿宋_GB2312" w:cs="仿宋_GB2312"/>
          <w:bCs/>
          <w:sz w:val="32"/>
          <w:szCs w:val="32"/>
          <w:highlight w:val="none"/>
          <w:lang w:val="en-US" w:eastAsia="zh-CN"/>
        </w:rPr>
        <w:t>本项目不接受任何电话、现场或口头答疑澄清，不设置现场踏勘，任何非本文件规定的沟通途径与方式获取的信息不构成招标人对本项目的解释与义务。</w:t>
      </w:r>
    </w:p>
    <w:p w14:paraId="19D58FD1">
      <w:pPr>
        <w:keepNext w:val="0"/>
        <w:keepLines w:val="0"/>
        <w:pageBreakBefore w:val="0"/>
        <w:widowControl w:val="0"/>
        <w:numPr>
          <w:ilvl w:val="0"/>
          <w:numId w:val="3"/>
        </w:numPr>
        <w:kinsoku/>
        <w:wordWrap w:val="0"/>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rPr>
        <w:t>投标截止时间</w:t>
      </w:r>
    </w:p>
    <w:p w14:paraId="69A3BC2A">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Cs/>
          <w:sz w:val="32"/>
          <w:szCs w:val="32"/>
          <w:highlight w:val="none"/>
          <w:lang w:val="en-US" w:eastAsia="zh-CN"/>
        </w:rPr>
      </w:pPr>
      <w:r>
        <w:rPr>
          <w:rFonts w:hint="eastAsia" w:ascii="Times New Roman" w:hAnsi="Times New Roman" w:eastAsia="仿宋_GB2312" w:cs="仿宋_GB2312"/>
          <w:bCs/>
          <w:color w:val="000000"/>
          <w:sz w:val="32"/>
          <w:szCs w:val="32"/>
          <w:highlight w:val="none"/>
          <w:lang w:eastAsia="zh-CN"/>
        </w:rPr>
        <w:t>2026年11月</w:t>
      </w:r>
      <w:r>
        <w:rPr>
          <w:rFonts w:hint="eastAsia" w:ascii="Times New Roman" w:hAnsi="Times New Roman" w:eastAsia="仿宋_GB2312" w:cs="仿宋_GB2312"/>
          <w:bCs/>
          <w:color w:val="000000"/>
          <w:sz w:val="32"/>
          <w:szCs w:val="32"/>
          <w:highlight w:val="none"/>
          <w:lang w:val="en-US" w:eastAsia="zh-CN"/>
        </w:rPr>
        <w:t>23</w:t>
      </w:r>
      <w:r>
        <w:rPr>
          <w:rFonts w:hint="eastAsia" w:ascii="Times New Roman" w:hAnsi="Times New Roman" w:eastAsia="仿宋_GB2312" w:cs="仿宋_GB2312"/>
          <w:bCs/>
          <w:color w:val="000000"/>
          <w:sz w:val="32"/>
          <w:szCs w:val="32"/>
          <w:highlight w:val="none"/>
          <w:lang w:eastAsia="zh-CN"/>
        </w:rPr>
        <w:t>日</w:t>
      </w:r>
      <w:r>
        <w:rPr>
          <w:rFonts w:hint="eastAsia" w:ascii="Times New Roman" w:hAnsi="Times New Roman" w:eastAsia="仿宋_GB2312" w:cs="仿宋_GB2312"/>
          <w:bCs/>
          <w:color w:val="000000"/>
          <w:sz w:val="32"/>
          <w:szCs w:val="32"/>
          <w:highlight w:val="none"/>
          <w:lang w:val="en-US" w:eastAsia="zh-CN"/>
        </w:rPr>
        <w:t>9</w:t>
      </w:r>
      <w:r>
        <w:rPr>
          <w:rFonts w:hint="eastAsia" w:ascii="Times New Roman" w:hAnsi="Times New Roman" w:eastAsia="仿宋_GB2312" w:cs="仿宋_GB2312"/>
          <w:bCs/>
          <w:color w:val="000000"/>
          <w:sz w:val="32"/>
          <w:szCs w:val="32"/>
          <w:highlight w:val="none"/>
          <w:lang w:eastAsia="zh-CN"/>
        </w:rPr>
        <w:t>时</w:t>
      </w:r>
      <w:r>
        <w:rPr>
          <w:rFonts w:hint="eastAsia" w:ascii="Times New Roman" w:hAnsi="Times New Roman" w:eastAsia="仿宋_GB2312" w:cs="仿宋_GB2312"/>
          <w:bCs/>
          <w:color w:val="000000"/>
          <w:sz w:val="32"/>
          <w:szCs w:val="32"/>
          <w:highlight w:val="none"/>
          <w:lang w:val="en-US" w:eastAsia="zh-CN"/>
        </w:rPr>
        <w:t>20</w:t>
      </w:r>
      <w:r>
        <w:rPr>
          <w:rFonts w:hint="eastAsia" w:ascii="Times New Roman" w:hAnsi="Times New Roman" w:eastAsia="仿宋_GB2312" w:cs="仿宋_GB2312"/>
          <w:bCs/>
          <w:color w:val="000000"/>
          <w:sz w:val="32"/>
          <w:szCs w:val="32"/>
          <w:highlight w:val="none"/>
          <w:lang w:eastAsia="zh-CN"/>
        </w:rPr>
        <w:t>分</w:t>
      </w:r>
    </w:p>
    <w:p w14:paraId="3182AD8A">
      <w:pPr>
        <w:keepNext w:val="0"/>
        <w:keepLines w:val="0"/>
        <w:pageBreakBefore w:val="0"/>
        <w:widowControl w:val="0"/>
        <w:numPr>
          <w:ilvl w:val="0"/>
          <w:numId w:val="3"/>
        </w:numPr>
        <w:kinsoku/>
        <w:wordWrap w:val="0"/>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Cs/>
          <w:sz w:val="32"/>
          <w:szCs w:val="32"/>
          <w:highlight w:val="none"/>
        </w:rPr>
      </w:pPr>
      <w:r>
        <w:rPr>
          <w:rFonts w:hint="eastAsia" w:ascii="黑体" w:hAnsi="黑体" w:eastAsia="黑体" w:cs="黑体"/>
          <w:bCs/>
          <w:color w:val="000000"/>
          <w:sz w:val="32"/>
          <w:szCs w:val="32"/>
          <w:highlight w:val="none"/>
        </w:rPr>
        <w:t>开标、评标时间</w:t>
      </w:r>
    </w:p>
    <w:p w14:paraId="301DFF4D">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Cs/>
          <w:sz w:val="32"/>
          <w:szCs w:val="32"/>
          <w:highlight w:val="none"/>
          <w:lang w:val="en-US" w:eastAsia="zh-CN"/>
        </w:rPr>
      </w:pPr>
      <w:r>
        <w:rPr>
          <w:rFonts w:hint="eastAsia" w:ascii="Times New Roman" w:hAnsi="Times New Roman" w:eastAsia="仿宋_GB2312" w:cs="仿宋_GB2312"/>
          <w:bCs/>
          <w:color w:val="000000"/>
          <w:sz w:val="32"/>
          <w:szCs w:val="32"/>
          <w:highlight w:val="none"/>
          <w:lang w:eastAsia="zh-CN"/>
        </w:rPr>
        <w:t>2026年11月</w:t>
      </w:r>
      <w:r>
        <w:rPr>
          <w:rFonts w:hint="eastAsia" w:ascii="Times New Roman" w:hAnsi="Times New Roman" w:eastAsia="仿宋_GB2312" w:cs="仿宋_GB2312"/>
          <w:bCs/>
          <w:color w:val="000000"/>
          <w:sz w:val="32"/>
          <w:szCs w:val="32"/>
          <w:highlight w:val="none"/>
          <w:lang w:val="en-US" w:eastAsia="zh-CN"/>
        </w:rPr>
        <w:t>23</w:t>
      </w:r>
      <w:r>
        <w:rPr>
          <w:rFonts w:hint="eastAsia" w:ascii="Times New Roman" w:hAnsi="Times New Roman" w:eastAsia="仿宋_GB2312" w:cs="仿宋_GB2312"/>
          <w:bCs/>
          <w:color w:val="000000"/>
          <w:sz w:val="32"/>
          <w:szCs w:val="32"/>
          <w:highlight w:val="none"/>
          <w:lang w:eastAsia="zh-CN"/>
        </w:rPr>
        <w:t>日</w:t>
      </w:r>
      <w:r>
        <w:rPr>
          <w:rFonts w:hint="eastAsia" w:ascii="Times New Roman" w:hAnsi="Times New Roman" w:eastAsia="仿宋_GB2312" w:cs="仿宋_GB2312"/>
          <w:bCs/>
          <w:color w:val="000000"/>
          <w:sz w:val="32"/>
          <w:szCs w:val="32"/>
          <w:highlight w:val="none"/>
          <w:lang w:val="en-US" w:eastAsia="zh-CN"/>
        </w:rPr>
        <w:t>9</w:t>
      </w:r>
      <w:r>
        <w:rPr>
          <w:rFonts w:hint="eastAsia" w:ascii="Times New Roman" w:hAnsi="Times New Roman" w:eastAsia="仿宋_GB2312" w:cs="仿宋_GB2312"/>
          <w:bCs/>
          <w:color w:val="000000"/>
          <w:sz w:val="32"/>
          <w:szCs w:val="32"/>
          <w:highlight w:val="none"/>
          <w:lang w:eastAsia="zh-CN"/>
        </w:rPr>
        <w:t>时</w:t>
      </w:r>
      <w:r>
        <w:rPr>
          <w:rFonts w:hint="eastAsia" w:ascii="Times New Roman" w:hAnsi="Times New Roman" w:eastAsia="仿宋_GB2312" w:cs="仿宋_GB2312"/>
          <w:bCs/>
          <w:color w:val="000000"/>
          <w:sz w:val="32"/>
          <w:szCs w:val="32"/>
          <w:highlight w:val="none"/>
          <w:lang w:val="en-US" w:eastAsia="zh-CN"/>
        </w:rPr>
        <w:t>30</w:t>
      </w:r>
      <w:r>
        <w:rPr>
          <w:rFonts w:hint="eastAsia" w:ascii="Times New Roman" w:hAnsi="Times New Roman" w:eastAsia="仿宋_GB2312" w:cs="仿宋_GB2312"/>
          <w:bCs/>
          <w:color w:val="000000"/>
          <w:sz w:val="32"/>
          <w:szCs w:val="32"/>
          <w:highlight w:val="none"/>
          <w:lang w:eastAsia="zh-CN"/>
        </w:rPr>
        <w:t>分</w:t>
      </w:r>
    </w:p>
    <w:p w14:paraId="7A24D11C">
      <w:pPr>
        <w:keepNext w:val="0"/>
        <w:keepLines w:val="0"/>
        <w:pageBreakBefore w:val="0"/>
        <w:widowControl w:val="0"/>
        <w:numPr>
          <w:ilvl w:val="0"/>
          <w:numId w:val="3"/>
        </w:numPr>
        <w:kinsoku/>
        <w:wordWrap w:val="0"/>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rPr>
        <w:t>投标文件</w:t>
      </w:r>
      <w:r>
        <w:rPr>
          <w:rFonts w:hint="eastAsia" w:ascii="黑体" w:hAnsi="黑体" w:eastAsia="黑体" w:cs="黑体"/>
          <w:bCs/>
          <w:sz w:val="32"/>
          <w:szCs w:val="32"/>
          <w:highlight w:val="none"/>
          <w:lang w:eastAsia="zh-CN"/>
        </w:rPr>
        <w:t>递交</w:t>
      </w:r>
      <w:r>
        <w:rPr>
          <w:rFonts w:hint="eastAsia" w:ascii="黑体" w:hAnsi="黑体" w:eastAsia="黑体" w:cs="黑体"/>
          <w:bCs/>
          <w:sz w:val="32"/>
          <w:szCs w:val="32"/>
          <w:highlight w:val="none"/>
        </w:rPr>
        <w:t>及开标地点</w:t>
      </w:r>
    </w:p>
    <w:p w14:paraId="618FD341">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Times New Roman" w:hAnsi="Times New Roman" w:eastAsia="仿宋_GB2312" w:cs="仿宋_GB2312"/>
          <w:bCs/>
          <w:sz w:val="32"/>
          <w:szCs w:val="32"/>
          <w:highlight w:val="none"/>
        </w:rPr>
      </w:pPr>
      <w:r>
        <w:rPr>
          <w:rFonts w:hint="eastAsia" w:ascii="Times New Roman" w:hAnsi="Times New Roman" w:eastAsia="仿宋_GB2312" w:cs="仿宋_GB2312"/>
          <w:bCs/>
          <w:sz w:val="32"/>
          <w:szCs w:val="32"/>
          <w:highlight w:val="none"/>
        </w:rPr>
        <w:t>深圳市罗湖区笋岗街道田心社区红岭北路2088号招商开元中心A座13层</w:t>
      </w:r>
      <w:bookmarkStart w:id="87" w:name="_GoBack"/>
      <w:bookmarkEnd w:id="87"/>
      <w:r>
        <w:rPr>
          <w:rFonts w:hint="eastAsia" w:ascii="Times New Roman" w:hAnsi="Times New Roman" w:eastAsia="仿宋_GB2312" w:cs="仿宋_GB2312"/>
          <w:bCs/>
          <w:sz w:val="32"/>
          <w:szCs w:val="32"/>
          <w:highlight w:val="none"/>
          <w:lang w:val="en-US" w:eastAsia="zh-CN"/>
        </w:rPr>
        <w:t>深圳市鹏劳人力资源管理有限公司</w:t>
      </w:r>
    </w:p>
    <w:p w14:paraId="07C6EC50">
      <w:pPr>
        <w:keepNext w:val="0"/>
        <w:keepLines w:val="0"/>
        <w:pageBreakBefore w:val="0"/>
        <w:widowControl w:val="0"/>
        <w:numPr>
          <w:ilvl w:val="0"/>
          <w:numId w:val="3"/>
        </w:numPr>
        <w:kinsoku/>
        <w:wordWrap w:val="0"/>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rPr>
        <w:t>联系</w:t>
      </w:r>
      <w:r>
        <w:rPr>
          <w:rFonts w:hint="eastAsia" w:ascii="黑体" w:hAnsi="黑体" w:eastAsia="黑体" w:cs="黑体"/>
          <w:bCs/>
          <w:sz w:val="32"/>
          <w:szCs w:val="32"/>
          <w:highlight w:val="none"/>
          <w:lang w:val="en-US" w:eastAsia="zh-CN"/>
        </w:rPr>
        <w:t>方式</w:t>
      </w:r>
    </w:p>
    <w:p w14:paraId="19299EE9">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仿宋_GB2312"/>
          <w:bCs/>
          <w:sz w:val="32"/>
          <w:szCs w:val="32"/>
          <w:highlight w:val="none"/>
        </w:rPr>
      </w:pPr>
      <w:r>
        <w:rPr>
          <w:rFonts w:hint="eastAsia" w:ascii="Times New Roman" w:hAnsi="Times New Roman" w:eastAsia="仿宋_GB2312" w:cs="仿宋_GB2312"/>
          <w:bCs/>
          <w:sz w:val="32"/>
          <w:szCs w:val="32"/>
          <w:highlight w:val="none"/>
          <w:lang w:val="en-US" w:eastAsia="zh-CN"/>
        </w:rPr>
        <w:t>联系人：陈工</w:t>
      </w:r>
      <w:r>
        <w:rPr>
          <w:rFonts w:hint="eastAsia" w:ascii="Times New Roman" w:hAnsi="Times New Roman" w:eastAsia="仿宋_GB2312" w:cs="仿宋_GB2312"/>
          <w:bCs/>
          <w:sz w:val="32"/>
          <w:szCs w:val="32"/>
          <w:highlight w:val="none"/>
          <w:lang w:eastAsia="zh-CN"/>
        </w:rPr>
        <w:t>（</w:t>
      </w:r>
      <w:r>
        <w:rPr>
          <w:rFonts w:hint="eastAsia" w:ascii="Times New Roman" w:hAnsi="Times New Roman" w:eastAsia="仿宋_GB2312" w:cs="仿宋_GB2312"/>
          <w:bCs/>
          <w:sz w:val="32"/>
          <w:szCs w:val="32"/>
          <w:highlight w:val="none"/>
          <w:lang w:val="en-US" w:eastAsia="zh-CN"/>
        </w:rPr>
        <w:t>仅限本项目联系）</w:t>
      </w:r>
      <w:r>
        <w:rPr>
          <w:rFonts w:hint="eastAsia" w:ascii="Times New Roman" w:hAnsi="Times New Roman" w:eastAsia="仿宋_GB2312" w:cs="仿宋_GB2312"/>
          <w:bCs/>
          <w:sz w:val="32"/>
          <w:szCs w:val="32"/>
          <w:highlight w:val="none"/>
        </w:rPr>
        <w:t xml:space="preserve"> </w:t>
      </w:r>
    </w:p>
    <w:p w14:paraId="33E88573">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仿宋_GB2312"/>
          <w:bCs/>
          <w:sz w:val="32"/>
          <w:szCs w:val="32"/>
          <w:highlight w:val="none"/>
          <w:lang w:val="en-US" w:eastAsia="zh-CN"/>
        </w:rPr>
      </w:pPr>
      <w:r>
        <w:rPr>
          <w:rFonts w:hint="eastAsia" w:ascii="Times New Roman" w:hAnsi="Times New Roman" w:eastAsia="仿宋_GB2312" w:cs="仿宋_GB2312"/>
          <w:bCs/>
          <w:sz w:val="32"/>
          <w:szCs w:val="32"/>
          <w:highlight w:val="none"/>
        </w:rPr>
        <w:t>联系电话：</w:t>
      </w:r>
      <w:r>
        <w:rPr>
          <w:rFonts w:hint="eastAsia" w:ascii="Times New Roman" w:hAnsi="Times New Roman" w:eastAsia="仿宋_GB2312" w:cs="仿宋_GB2312"/>
          <w:bCs/>
          <w:sz w:val="32"/>
          <w:szCs w:val="32"/>
          <w:highlight w:val="none"/>
          <w:lang w:val="en-US" w:eastAsia="zh-CN"/>
        </w:rPr>
        <w:t>0755-22964863</w:t>
      </w:r>
    </w:p>
    <w:p w14:paraId="105C2E39">
      <w:pPr>
        <w:keepNext w:val="0"/>
        <w:keepLines w:val="0"/>
        <w:pageBreakBefore w:val="0"/>
        <w:widowControl w:val="0"/>
        <w:kinsoku/>
        <w:wordWrap w:val="0"/>
        <w:overflowPunct/>
        <w:topLinePunct w:val="0"/>
        <w:autoSpaceDE/>
        <w:autoSpaceDN/>
        <w:bidi w:val="0"/>
        <w:adjustRightInd/>
        <w:snapToGrid/>
        <w:spacing w:beforeLines="30" w:line="560" w:lineRule="exact"/>
        <w:ind w:left="0" w:leftChars="0" w:firstLine="636" w:firstLineChars="199"/>
        <w:jc w:val="both"/>
        <w:textAlignment w:val="auto"/>
        <w:rPr>
          <w:rFonts w:hint="eastAsia" w:ascii="Times New Roman" w:hAnsi="Times New Roman" w:eastAsia="仿宋_GB2312" w:cs="仿宋_GB2312"/>
          <w:b w:val="0"/>
          <w:bCs/>
          <w:color w:val="auto"/>
          <w:sz w:val="32"/>
          <w:szCs w:val="32"/>
          <w:highlight w:val="none"/>
          <w:u w:val="none"/>
          <w:lang w:val="en-US" w:eastAsia="zh-CN"/>
        </w:rPr>
      </w:pPr>
      <w:r>
        <w:rPr>
          <w:rFonts w:hint="eastAsia" w:ascii="Times New Roman" w:hAnsi="Times New Roman" w:eastAsia="仿宋_GB2312" w:cs="仿宋_GB2312"/>
          <w:bCs/>
          <w:sz w:val="32"/>
          <w:szCs w:val="32"/>
          <w:highlight w:val="none"/>
          <w:lang w:val="en-US" w:eastAsia="zh-CN"/>
        </w:rPr>
        <w:t>电子邮箱：</w:t>
      </w:r>
      <w:r>
        <w:rPr>
          <w:rFonts w:hint="eastAsia" w:ascii="Times New Roman" w:hAnsi="Times New Roman" w:eastAsia="仿宋_GB2312" w:cs="仿宋"/>
          <w:bCs/>
          <w:sz w:val="32"/>
          <w:szCs w:val="32"/>
          <w:highlight w:val="none"/>
          <w:lang w:val="en-US" w:eastAsia="zh-CN"/>
        </w:rPr>
        <w:fldChar w:fldCharType="begin"/>
      </w:r>
      <w:r>
        <w:rPr>
          <w:rFonts w:hint="eastAsia" w:ascii="Times New Roman" w:hAnsi="Times New Roman" w:eastAsia="仿宋_GB2312" w:cs="仿宋"/>
          <w:bCs/>
          <w:sz w:val="32"/>
          <w:szCs w:val="32"/>
          <w:highlight w:val="none"/>
          <w:lang w:val="en-US" w:eastAsia="zh-CN"/>
        </w:rPr>
        <w:instrText xml:space="preserve"> HYPERLINK "mailto:huangxj@plhr.cn" </w:instrText>
      </w:r>
      <w:r>
        <w:rPr>
          <w:rFonts w:hint="eastAsia" w:ascii="Times New Roman" w:hAnsi="Times New Roman" w:eastAsia="仿宋_GB2312" w:cs="仿宋"/>
          <w:bCs/>
          <w:sz w:val="32"/>
          <w:szCs w:val="32"/>
          <w:highlight w:val="none"/>
          <w:lang w:val="en-US" w:eastAsia="zh-CN"/>
        </w:rPr>
        <w:fldChar w:fldCharType="separate"/>
      </w:r>
      <w:r>
        <w:rPr>
          <w:rFonts w:hint="eastAsia" w:ascii="Times New Roman" w:hAnsi="Times New Roman" w:eastAsia="仿宋_GB2312" w:cs="仿宋"/>
          <w:bCs/>
          <w:sz w:val="32"/>
          <w:szCs w:val="32"/>
          <w:highlight w:val="none"/>
          <w:lang w:val="en-US" w:eastAsia="zh-CN"/>
        </w:rPr>
        <w:t>cn@plhr.cn</w:t>
      </w:r>
      <w:r>
        <w:rPr>
          <w:rFonts w:hint="eastAsia" w:ascii="Times New Roman" w:hAnsi="Times New Roman" w:eastAsia="仿宋_GB2312" w:cs="仿宋"/>
          <w:bCs/>
          <w:sz w:val="32"/>
          <w:szCs w:val="32"/>
          <w:highlight w:val="none"/>
          <w:lang w:val="en-US" w:eastAsia="zh-CN"/>
        </w:rPr>
        <w:fldChar w:fldCharType="end"/>
      </w:r>
    </w:p>
    <w:p w14:paraId="7A0BDBBE">
      <w:pPr>
        <w:keepNext w:val="0"/>
        <w:keepLines w:val="0"/>
        <w:pageBreakBefore w:val="0"/>
        <w:widowControl w:val="0"/>
        <w:kinsoku/>
        <w:wordWrap w:val="0"/>
        <w:overflowPunct/>
        <w:topLinePunct w:val="0"/>
        <w:autoSpaceDE/>
        <w:autoSpaceDN/>
        <w:bidi w:val="0"/>
        <w:adjustRightInd/>
        <w:snapToGrid/>
        <w:spacing w:beforeLines="30" w:line="560" w:lineRule="exact"/>
        <w:ind w:firstLine="640" w:firstLineChars="200"/>
        <w:jc w:val="right"/>
        <w:textAlignment w:val="auto"/>
        <w:rPr>
          <w:rFonts w:hint="eastAsia" w:ascii="Times New Roman" w:hAnsi="Times New Roman" w:eastAsia="仿宋_GB2312" w:cs="仿宋_GB2312"/>
          <w:bCs/>
          <w:sz w:val="32"/>
          <w:szCs w:val="32"/>
          <w:highlight w:val="none"/>
          <w:lang w:val="en-US" w:eastAsia="zh-CN"/>
        </w:rPr>
      </w:pPr>
      <w:r>
        <w:rPr>
          <w:rFonts w:hint="eastAsia" w:ascii="Times New Roman" w:hAnsi="Times New Roman" w:eastAsia="仿宋_GB2312" w:cs="仿宋_GB2312"/>
          <w:bCs/>
          <w:sz w:val="32"/>
          <w:szCs w:val="32"/>
          <w:highlight w:val="none"/>
          <w:lang w:val="en-US" w:eastAsia="zh-CN"/>
        </w:rPr>
        <w:t xml:space="preserve">                 深圳市鹏劳人力资源管理有限公司</w:t>
      </w:r>
    </w:p>
    <w:p w14:paraId="352F9D22">
      <w:pPr>
        <w:keepNext w:val="0"/>
        <w:keepLines w:val="0"/>
        <w:pageBreakBefore w:val="0"/>
        <w:widowControl w:val="0"/>
        <w:kinsoku/>
        <w:wordWrap w:val="0"/>
        <w:overflowPunct/>
        <w:topLinePunct w:val="0"/>
        <w:autoSpaceDE/>
        <w:autoSpaceDN/>
        <w:bidi w:val="0"/>
        <w:adjustRightInd/>
        <w:snapToGrid/>
        <w:spacing w:beforeLines="30" w:line="560" w:lineRule="exact"/>
        <w:ind w:firstLine="640" w:firstLineChars="200"/>
        <w:jc w:val="right"/>
        <w:textAlignment w:val="auto"/>
        <w:rPr>
          <w:rFonts w:hint="eastAsia" w:ascii="Times New Roman" w:hAnsi="Times New Roman" w:eastAsia="仿宋_GB2312" w:cs="仿宋_GB2312"/>
          <w:b/>
          <w:sz w:val="32"/>
          <w:szCs w:val="32"/>
          <w:highlight w:val="none"/>
          <w:lang w:val="en-US" w:eastAsia="zh-CN"/>
        </w:rPr>
      </w:pPr>
      <w:r>
        <w:rPr>
          <w:rFonts w:hint="eastAsia" w:ascii="Times New Roman" w:hAnsi="Times New Roman" w:eastAsia="仿宋_GB2312" w:cs="仿宋_GB2312"/>
          <w:bCs/>
          <w:color w:val="000000"/>
          <w:sz w:val="32"/>
          <w:szCs w:val="32"/>
          <w:highlight w:val="none"/>
          <w:lang w:val="en-US" w:eastAsia="zh-CN"/>
        </w:rPr>
        <w:t xml:space="preserve">                          2026年10月27日   </w:t>
      </w:r>
    </w:p>
    <w:p w14:paraId="4034F51A">
      <w:pPr>
        <w:keepNext w:val="0"/>
        <w:keepLines w:val="0"/>
        <w:pageBreakBefore w:val="0"/>
        <w:widowControl w:val="0"/>
        <w:kinsoku/>
        <w:wordWrap w:val="0"/>
        <w:overflowPunct/>
        <w:topLinePunct w:val="0"/>
        <w:autoSpaceDE/>
        <w:autoSpaceDN/>
        <w:bidi w:val="0"/>
        <w:adjustRightInd/>
        <w:snapToGrid/>
        <w:spacing w:beforeLines="30" w:line="560" w:lineRule="exact"/>
        <w:ind w:firstLine="643" w:firstLineChars="200"/>
        <w:jc w:val="both"/>
        <w:textAlignment w:val="auto"/>
        <w:rPr>
          <w:rFonts w:hint="eastAsia" w:ascii="仿宋" w:hAnsi="仿宋" w:eastAsia="仿宋" w:cs="仿宋"/>
          <w:b/>
          <w:sz w:val="32"/>
          <w:szCs w:val="32"/>
          <w:highlight w:val="none"/>
          <w:lang w:val="en-US" w:eastAsia="zh-CN"/>
        </w:rPr>
      </w:pPr>
    </w:p>
    <w:p w14:paraId="71BD275E">
      <w:pPr>
        <w:rPr>
          <w:rFonts w:hint="eastAsia"/>
          <w:highlight w:val="none"/>
          <w:lang w:eastAsia="zh-CN"/>
        </w:rPr>
      </w:pPr>
    </w:p>
    <w:p w14:paraId="18BC107B">
      <w:pPr>
        <w:pStyle w:val="2"/>
        <w:rPr>
          <w:rFonts w:hint="eastAsia"/>
          <w:highlight w:val="none"/>
          <w:lang w:eastAsia="zh-CN"/>
        </w:rPr>
      </w:pPr>
    </w:p>
    <w:p w14:paraId="17451E8F">
      <w:pPr>
        <w:rPr>
          <w:rFonts w:hint="eastAsia"/>
          <w:highlight w:val="none"/>
          <w:lang w:eastAsia="zh-CN"/>
        </w:rPr>
      </w:pPr>
    </w:p>
    <w:p w14:paraId="0D3F955E">
      <w:pPr>
        <w:pStyle w:val="2"/>
        <w:rPr>
          <w:rFonts w:hint="eastAsia"/>
          <w:lang w:eastAsia="zh-CN"/>
        </w:rPr>
      </w:pPr>
    </w:p>
    <w:p w14:paraId="40C9CC83">
      <w:pPr>
        <w:rPr>
          <w:rFonts w:hint="eastAsia"/>
          <w:highlight w:val="none"/>
          <w:lang w:eastAsia="zh-CN"/>
        </w:rPr>
      </w:pPr>
    </w:p>
    <w:p w14:paraId="29DD03BB">
      <w:pPr>
        <w:rPr>
          <w:rFonts w:hint="eastAsia"/>
          <w:highlight w:val="none"/>
          <w:lang w:eastAsia="zh-CN"/>
        </w:rPr>
      </w:pPr>
    </w:p>
    <w:p w14:paraId="0F8161EC">
      <w:pPr>
        <w:rPr>
          <w:rFonts w:hint="eastAsia"/>
          <w:highlight w:val="none"/>
          <w:lang w:eastAsia="zh-CN"/>
        </w:rPr>
      </w:pPr>
    </w:p>
    <w:p w14:paraId="1C166DF3">
      <w:pPr>
        <w:rPr>
          <w:rFonts w:hint="eastAsia" w:ascii="黑体" w:hAnsi="黑体" w:eastAsia="黑体" w:cs="黑体"/>
          <w:highlight w:val="none"/>
          <w:lang w:eastAsia="zh-CN"/>
        </w:rPr>
      </w:pPr>
      <w:r>
        <w:rPr>
          <w:rFonts w:hint="eastAsia" w:ascii="黑体" w:hAnsi="黑体" w:eastAsia="黑体" w:cs="黑体"/>
          <w:highlight w:val="none"/>
          <w:lang w:eastAsia="zh-CN"/>
        </w:rPr>
        <w:t>附件：</w:t>
      </w:r>
    </w:p>
    <w:p w14:paraId="37A90246">
      <w:pPr>
        <w:pStyle w:val="4"/>
        <w:keepNext/>
        <w:keepLines/>
        <w:pageBreakBefore w:val="0"/>
        <w:widowControl/>
        <w:numPr>
          <w:ilvl w:val="1"/>
          <w:numId w:val="0"/>
        </w:numPr>
        <w:kinsoku/>
        <w:wordWrap/>
        <w:overflowPunct/>
        <w:topLinePunct w:val="0"/>
        <w:autoSpaceDE/>
        <w:autoSpaceDN/>
        <w:bidi w:val="0"/>
        <w:adjustRightInd w:val="0"/>
        <w:snapToGrid w:val="0"/>
        <w:spacing w:before="0" w:after="0" w:line="400" w:lineRule="exact"/>
        <w:jc w:val="center"/>
        <w:textAlignment w:val="auto"/>
        <w:rPr>
          <w:rFonts w:hint="eastAsia"/>
          <w:b w:val="0"/>
          <w:bCs/>
          <w:sz w:val="36"/>
          <w:szCs w:val="36"/>
          <w:highlight w:val="none"/>
        </w:rPr>
      </w:pPr>
      <w:bookmarkStart w:id="18" w:name="_Toc140285777"/>
      <w:bookmarkStart w:id="19" w:name="_Toc21499"/>
      <w:r>
        <w:rPr>
          <w:rFonts w:hint="eastAsia"/>
          <w:b w:val="0"/>
          <w:bCs/>
          <w:sz w:val="36"/>
          <w:szCs w:val="36"/>
          <w:highlight w:val="none"/>
          <w:lang w:val="en-US" w:eastAsia="zh-CN"/>
        </w:rPr>
        <w:t>深圳市鹏劳人力资源管理有限公司采购招标</w:t>
      </w:r>
      <w:r>
        <w:rPr>
          <w:rFonts w:hint="eastAsia"/>
          <w:b w:val="0"/>
          <w:bCs/>
          <w:sz w:val="36"/>
          <w:szCs w:val="36"/>
          <w:highlight w:val="none"/>
        </w:rPr>
        <w:t>报名表</w:t>
      </w:r>
      <w:bookmarkEnd w:id="18"/>
      <w:bookmarkEnd w:id="19"/>
    </w:p>
    <w:p w14:paraId="1DD2524F">
      <w:pPr>
        <w:rPr>
          <w:rFonts w:hint="eastAsia"/>
          <w:highlight w:val="none"/>
        </w:rPr>
      </w:pPr>
    </w:p>
    <w:tbl>
      <w:tblPr>
        <w:tblStyle w:val="15"/>
        <w:tblW w:w="900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31"/>
        <w:gridCol w:w="1949"/>
        <w:gridCol w:w="1620"/>
        <w:gridCol w:w="900"/>
        <w:gridCol w:w="720"/>
        <w:gridCol w:w="1980"/>
      </w:tblGrid>
      <w:tr w14:paraId="3A6514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831" w:type="dxa"/>
            <w:tcBorders>
              <w:tl2br w:val="nil"/>
              <w:tr2bl w:val="nil"/>
            </w:tcBorders>
            <w:noWrap w:val="0"/>
            <w:vAlign w:val="center"/>
          </w:tcPr>
          <w:p w14:paraId="495EBACD">
            <w:pPr>
              <w:jc w:val="center"/>
              <w:rPr>
                <w:rFonts w:hint="eastAsia" w:ascii="Times New Roman" w:hAnsi="Times New Roman" w:eastAsia="宋体" w:cs="宋体"/>
                <w:b w:val="0"/>
                <w:bCs/>
                <w:sz w:val="21"/>
                <w:szCs w:val="21"/>
                <w:highlight w:val="none"/>
              </w:rPr>
            </w:pPr>
            <w:r>
              <w:rPr>
                <w:rFonts w:hint="eastAsia" w:ascii="Times New Roman" w:hAnsi="Times New Roman" w:eastAsia="宋体" w:cs="宋体"/>
                <w:b w:val="0"/>
                <w:bCs/>
                <w:sz w:val="21"/>
                <w:szCs w:val="21"/>
                <w:highlight w:val="none"/>
              </w:rPr>
              <w:t>项目名称</w:t>
            </w:r>
          </w:p>
        </w:tc>
        <w:tc>
          <w:tcPr>
            <w:tcW w:w="7169" w:type="dxa"/>
            <w:gridSpan w:val="5"/>
            <w:tcBorders>
              <w:tl2br w:val="nil"/>
              <w:tr2bl w:val="nil"/>
            </w:tcBorders>
            <w:noWrap w:val="0"/>
            <w:vAlign w:val="center"/>
          </w:tcPr>
          <w:p w14:paraId="33F569D7">
            <w:pPr>
              <w:jc w:val="center"/>
              <w:rPr>
                <w:rFonts w:hint="eastAsia" w:ascii="Times New Roman" w:hAnsi="Times New Roman" w:eastAsia="宋体" w:cs="宋体"/>
                <w:b w:val="0"/>
                <w:bCs/>
                <w:sz w:val="21"/>
                <w:szCs w:val="21"/>
                <w:highlight w:val="none"/>
                <w:lang w:val="en-US" w:eastAsia="zh-CN"/>
              </w:rPr>
            </w:pPr>
            <w:r>
              <w:rPr>
                <w:rFonts w:hint="eastAsia" w:ascii="Times New Roman" w:hAnsi="Times New Roman" w:eastAsia="宋体" w:cs="宋体"/>
                <w:b w:val="0"/>
                <w:bCs/>
                <w:color w:val="000000"/>
                <w:sz w:val="21"/>
                <w:szCs w:val="21"/>
                <w:highlight w:val="none"/>
                <w:lang w:val="en-US" w:eastAsia="zh-CN"/>
              </w:rPr>
              <w:t>深圳市鹏劳人力资源管理有限公司2026年度外派员工健康体检项目</w:t>
            </w:r>
          </w:p>
        </w:tc>
      </w:tr>
      <w:tr w14:paraId="5B787F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831" w:type="dxa"/>
            <w:tcBorders>
              <w:tl2br w:val="nil"/>
              <w:tr2bl w:val="nil"/>
            </w:tcBorders>
            <w:noWrap w:val="0"/>
            <w:vAlign w:val="center"/>
          </w:tcPr>
          <w:p w14:paraId="3AC88D89">
            <w:pPr>
              <w:jc w:val="center"/>
              <w:rPr>
                <w:rFonts w:hint="eastAsia" w:ascii="Times New Roman" w:hAnsi="Times New Roman" w:eastAsia="宋体" w:cs="宋体"/>
                <w:b w:val="0"/>
                <w:bCs/>
                <w:sz w:val="21"/>
                <w:szCs w:val="21"/>
                <w:highlight w:val="none"/>
              </w:rPr>
            </w:pPr>
            <w:r>
              <w:rPr>
                <w:rFonts w:hint="eastAsia" w:ascii="Times New Roman" w:hAnsi="Times New Roman" w:eastAsia="宋体" w:cs="宋体"/>
                <w:b w:val="0"/>
                <w:bCs/>
                <w:sz w:val="21"/>
                <w:szCs w:val="21"/>
                <w:highlight w:val="none"/>
              </w:rPr>
              <w:t>项目编号</w:t>
            </w:r>
          </w:p>
        </w:tc>
        <w:tc>
          <w:tcPr>
            <w:tcW w:w="3569" w:type="dxa"/>
            <w:gridSpan w:val="2"/>
            <w:tcBorders>
              <w:tl2br w:val="nil"/>
              <w:tr2bl w:val="nil"/>
            </w:tcBorders>
            <w:noWrap w:val="0"/>
            <w:vAlign w:val="center"/>
          </w:tcPr>
          <w:p w14:paraId="1DA54FCB">
            <w:pPr>
              <w:jc w:val="center"/>
              <w:rPr>
                <w:rFonts w:hint="default" w:ascii="Times New Roman" w:hAnsi="Times New Roman" w:eastAsia="宋体" w:cs="宋体"/>
                <w:b w:val="0"/>
                <w:bCs/>
                <w:sz w:val="21"/>
                <w:szCs w:val="21"/>
                <w:highlight w:val="none"/>
                <w:lang w:val="en-US" w:eastAsia="zh-CN"/>
              </w:rPr>
            </w:pPr>
            <w:r>
              <w:rPr>
                <w:rFonts w:hint="eastAsia" w:ascii="Times New Roman" w:hAnsi="Times New Roman" w:eastAsia="宋体" w:cs="宋体"/>
                <w:b w:val="0"/>
                <w:bCs/>
                <w:color w:val="000000"/>
                <w:sz w:val="21"/>
                <w:szCs w:val="21"/>
                <w:highlight w:val="none"/>
                <w:lang w:val="en-US" w:eastAsia="zh-CN"/>
              </w:rPr>
              <w:t>PLHR-ZB-FW-202607</w:t>
            </w:r>
          </w:p>
        </w:tc>
        <w:tc>
          <w:tcPr>
            <w:tcW w:w="1620" w:type="dxa"/>
            <w:gridSpan w:val="2"/>
            <w:tcBorders>
              <w:tl2br w:val="nil"/>
              <w:tr2bl w:val="nil"/>
            </w:tcBorders>
            <w:noWrap w:val="0"/>
            <w:vAlign w:val="center"/>
          </w:tcPr>
          <w:p w14:paraId="071A0D1D">
            <w:pPr>
              <w:rPr>
                <w:rFonts w:hint="eastAsia" w:ascii="Times New Roman" w:hAnsi="Times New Roman" w:eastAsia="宋体" w:cs="宋体"/>
                <w:b w:val="0"/>
                <w:bCs/>
                <w:sz w:val="21"/>
                <w:szCs w:val="21"/>
                <w:highlight w:val="none"/>
              </w:rPr>
            </w:pPr>
            <w:r>
              <w:rPr>
                <w:rFonts w:hint="eastAsia" w:ascii="Times New Roman" w:hAnsi="Times New Roman" w:eastAsia="宋体" w:cs="宋体"/>
                <w:b w:val="0"/>
                <w:bCs/>
                <w:sz w:val="21"/>
                <w:szCs w:val="21"/>
                <w:highlight w:val="none"/>
              </w:rPr>
              <w:t>　所投包号</w:t>
            </w:r>
          </w:p>
        </w:tc>
        <w:tc>
          <w:tcPr>
            <w:tcW w:w="1980" w:type="dxa"/>
            <w:tcBorders>
              <w:tl2br w:val="nil"/>
              <w:tr2bl w:val="nil"/>
            </w:tcBorders>
            <w:noWrap w:val="0"/>
            <w:vAlign w:val="center"/>
          </w:tcPr>
          <w:p w14:paraId="59825164">
            <w:pPr>
              <w:jc w:val="center"/>
              <w:rPr>
                <w:rFonts w:hint="eastAsia" w:ascii="Times New Roman" w:hAnsi="Times New Roman" w:eastAsia="宋体" w:cs="宋体"/>
                <w:b w:val="0"/>
                <w:bCs/>
                <w:sz w:val="21"/>
                <w:szCs w:val="21"/>
                <w:highlight w:val="none"/>
                <w:lang w:val="en-US" w:eastAsia="zh-CN"/>
              </w:rPr>
            </w:pPr>
            <w:r>
              <w:rPr>
                <w:rFonts w:hint="eastAsia" w:ascii="Times New Roman" w:hAnsi="Times New Roman" w:eastAsia="宋体" w:cs="宋体"/>
                <w:b w:val="0"/>
                <w:bCs/>
                <w:sz w:val="21"/>
                <w:szCs w:val="21"/>
                <w:highlight w:val="none"/>
                <w:lang w:val="en-US" w:eastAsia="zh-CN"/>
              </w:rPr>
              <w:t>/</w:t>
            </w:r>
          </w:p>
        </w:tc>
      </w:tr>
      <w:tr w14:paraId="2B0350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1831" w:type="dxa"/>
            <w:tcBorders>
              <w:tl2br w:val="nil"/>
              <w:tr2bl w:val="nil"/>
            </w:tcBorders>
            <w:noWrap w:val="0"/>
            <w:vAlign w:val="center"/>
          </w:tcPr>
          <w:p w14:paraId="305A812B">
            <w:pPr>
              <w:jc w:val="center"/>
              <w:rPr>
                <w:rFonts w:hint="eastAsia" w:ascii="Times New Roman" w:hAnsi="Times New Roman" w:eastAsia="宋体" w:cs="宋体"/>
                <w:b w:val="0"/>
                <w:bCs/>
                <w:sz w:val="21"/>
                <w:szCs w:val="21"/>
                <w:highlight w:val="none"/>
              </w:rPr>
            </w:pPr>
            <w:r>
              <w:rPr>
                <w:rFonts w:hint="eastAsia" w:ascii="Times New Roman" w:hAnsi="Times New Roman" w:eastAsia="宋体" w:cs="宋体"/>
                <w:b w:val="0"/>
                <w:bCs/>
                <w:sz w:val="21"/>
                <w:szCs w:val="21"/>
                <w:highlight w:val="none"/>
                <w:lang w:val="en-US" w:eastAsia="zh-CN"/>
              </w:rPr>
              <w:t>投标人</w:t>
            </w:r>
            <w:r>
              <w:rPr>
                <w:rFonts w:hint="eastAsia" w:ascii="Times New Roman" w:hAnsi="Times New Roman" w:eastAsia="宋体" w:cs="宋体"/>
                <w:b w:val="0"/>
                <w:bCs/>
                <w:sz w:val="21"/>
                <w:szCs w:val="21"/>
                <w:highlight w:val="none"/>
              </w:rPr>
              <w:t>全称</w:t>
            </w:r>
          </w:p>
          <w:p w14:paraId="559A1990">
            <w:pPr>
              <w:jc w:val="center"/>
              <w:rPr>
                <w:rFonts w:hint="eastAsia" w:ascii="Times New Roman" w:hAnsi="Times New Roman" w:eastAsia="宋体" w:cs="宋体"/>
                <w:b w:val="0"/>
                <w:bCs/>
                <w:sz w:val="21"/>
                <w:szCs w:val="21"/>
                <w:highlight w:val="none"/>
                <w:lang w:eastAsia="zh-CN"/>
              </w:rPr>
            </w:pPr>
            <w:r>
              <w:rPr>
                <w:rFonts w:hint="eastAsia" w:ascii="Times New Roman" w:hAnsi="Times New Roman" w:eastAsia="宋体" w:cs="宋体"/>
                <w:b w:val="0"/>
                <w:bCs/>
                <w:sz w:val="21"/>
                <w:szCs w:val="21"/>
                <w:highlight w:val="none"/>
                <w:lang w:eastAsia="zh-CN"/>
              </w:rPr>
              <w:t>（</w:t>
            </w:r>
            <w:r>
              <w:rPr>
                <w:rFonts w:hint="eastAsia" w:ascii="Times New Roman" w:hAnsi="Times New Roman" w:eastAsia="宋体" w:cs="宋体"/>
                <w:b w:val="0"/>
                <w:bCs/>
                <w:sz w:val="21"/>
                <w:szCs w:val="21"/>
                <w:highlight w:val="none"/>
                <w:lang w:val="en-US" w:eastAsia="zh-CN"/>
              </w:rPr>
              <w:t>加盖公章</w:t>
            </w:r>
            <w:r>
              <w:rPr>
                <w:rFonts w:hint="eastAsia" w:ascii="Times New Roman" w:hAnsi="Times New Roman" w:eastAsia="宋体" w:cs="宋体"/>
                <w:b w:val="0"/>
                <w:bCs/>
                <w:sz w:val="21"/>
                <w:szCs w:val="21"/>
                <w:highlight w:val="none"/>
                <w:lang w:eastAsia="zh-CN"/>
              </w:rPr>
              <w:t>）</w:t>
            </w:r>
          </w:p>
        </w:tc>
        <w:tc>
          <w:tcPr>
            <w:tcW w:w="7169" w:type="dxa"/>
            <w:gridSpan w:val="5"/>
            <w:tcBorders>
              <w:tl2br w:val="nil"/>
              <w:tr2bl w:val="nil"/>
            </w:tcBorders>
            <w:noWrap w:val="0"/>
            <w:vAlign w:val="center"/>
          </w:tcPr>
          <w:p w14:paraId="7397BE5B">
            <w:pPr>
              <w:rPr>
                <w:rFonts w:hint="eastAsia" w:ascii="Times New Roman" w:hAnsi="Times New Roman" w:eastAsia="宋体" w:cs="宋体"/>
                <w:b w:val="0"/>
                <w:bCs/>
                <w:sz w:val="21"/>
                <w:szCs w:val="21"/>
                <w:highlight w:val="none"/>
              </w:rPr>
            </w:pPr>
          </w:p>
        </w:tc>
      </w:tr>
      <w:tr w14:paraId="10EBE0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831" w:type="dxa"/>
            <w:tcBorders>
              <w:tl2br w:val="nil"/>
              <w:tr2bl w:val="nil"/>
            </w:tcBorders>
            <w:noWrap w:val="0"/>
            <w:vAlign w:val="center"/>
          </w:tcPr>
          <w:p w14:paraId="374E10A4">
            <w:pPr>
              <w:jc w:val="center"/>
              <w:rPr>
                <w:rFonts w:hint="eastAsia" w:ascii="Times New Roman" w:hAnsi="Times New Roman" w:eastAsia="宋体" w:cs="宋体"/>
                <w:b w:val="0"/>
                <w:bCs/>
                <w:sz w:val="21"/>
                <w:szCs w:val="21"/>
                <w:highlight w:val="none"/>
              </w:rPr>
            </w:pPr>
            <w:r>
              <w:rPr>
                <w:rFonts w:hint="eastAsia" w:ascii="Times New Roman" w:hAnsi="Times New Roman" w:eastAsia="宋体" w:cs="宋体"/>
                <w:b w:val="0"/>
                <w:bCs/>
                <w:sz w:val="21"/>
                <w:szCs w:val="21"/>
                <w:highlight w:val="none"/>
              </w:rPr>
              <w:t>详细地址</w:t>
            </w:r>
          </w:p>
        </w:tc>
        <w:tc>
          <w:tcPr>
            <w:tcW w:w="3569" w:type="dxa"/>
            <w:gridSpan w:val="2"/>
            <w:tcBorders>
              <w:tl2br w:val="nil"/>
              <w:tr2bl w:val="nil"/>
            </w:tcBorders>
            <w:noWrap w:val="0"/>
            <w:vAlign w:val="center"/>
          </w:tcPr>
          <w:p w14:paraId="54D8EB9C">
            <w:pPr>
              <w:rPr>
                <w:rFonts w:hint="eastAsia" w:ascii="Times New Roman" w:hAnsi="Times New Roman" w:eastAsia="宋体" w:cs="宋体"/>
                <w:b w:val="0"/>
                <w:bCs/>
                <w:sz w:val="21"/>
                <w:szCs w:val="21"/>
                <w:highlight w:val="none"/>
              </w:rPr>
            </w:pPr>
          </w:p>
        </w:tc>
        <w:tc>
          <w:tcPr>
            <w:tcW w:w="1620" w:type="dxa"/>
            <w:gridSpan w:val="2"/>
            <w:tcBorders>
              <w:tl2br w:val="nil"/>
              <w:tr2bl w:val="nil"/>
            </w:tcBorders>
            <w:noWrap w:val="0"/>
            <w:vAlign w:val="center"/>
          </w:tcPr>
          <w:p w14:paraId="37825C7D">
            <w:pPr>
              <w:jc w:val="center"/>
              <w:rPr>
                <w:rFonts w:hint="eastAsia" w:ascii="Times New Roman" w:hAnsi="Times New Roman" w:eastAsia="宋体" w:cs="宋体"/>
                <w:b w:val="0"/>
                <w:bCs/>
                <w:sz w:val="21"/>
                <w:szCs w:val="21"/>
                <w:highlight w:val="none"/>
              </w:rPr>
            </w:pPr>
            <w:r>
              <w:rPr>
                <w:rFonts w:hint="eastAsia" w:ascii="Times New Roman" w:hAnsi="Times New Roman" w:eastAsia="宋体" w:cs="宋体"/>
                <w:b w:val="0"/>
                <w:bCs/>
                <w:sz w:val="21"/>
                <w:szCs w:val="21"/>
                <w:highlight w:val="none"/>
              </w:rPr>
              <w:t>邮政编码</w:t>
            </w:r>
          </w:p>
        </w:tc>
        <w:tc>
          <w:tcPr>
            <w:tcW w:w="1980" w:type="dxa"/>
            <w:tcBorders>
              <w:tl2br w:val="nil"/>
              <w:tr2bl w:val="nil"/>
            </w:tcBorders>
            <w:noWrap w:val="0"/>
            <w:vAlign w:val="center"/>
          </w:tcPr>
          <w:p w14:paraId="7A10CE23">
            <w:pPr>
              <w:rPr>
                <w:rFonts w:hint="eastAsia" w:ascii="Times New Roman" w:hAnsi="Times New Roman" w:eastAsia="宋体" w:cs="宋体"/>
                <w:b w:val="0"/>
                <w:bCs/>
                <w:sz w:val="21"/>
                <w:szCs w:val="21"/>
                <w:highlight w:val="none"/>
              </w:rPr>
            </w:pPr>
          </w:p>
        </w:tc>
      </w:tr>
      <w:tr w14:paraId="27DFAC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831" w:type="dxa"/>
            <w:tcBorders>
              <w:tl2br w:val="nil"/>
              <w:tr2bl w:val="nil"/>
            </w:tcBorders>
            <w:noWrap w:val="0"/>
            <w:vAlign w:val="center"/>
          </w:tcPr>
          <w:p w14:paraId="5DE2925A">
            <w:pPr>
              <w:jc w:val="center"/>
              <w:rPr>
                <w:rFonts w:hint="eastAsia" w:ascii="Times New Roman" w:hAnsi="Times New Roman" w:eastAsia="宋体" w:cs="宋体"/>
                <w:b w:val="0"/>
                <w:bCs/>
                <w:sz w:val="21"/>
                <w:szCs w:val="21"/>
                <w:highlight w:val="none"/>
              </w:rPr>
            </w:pPr>
            <w:r>
              <w:rPr>
                <w:rFonts w:hint="eastAsia" w:ascii="Times New Roman" w:hAnsi="Times New Roman" w:eastAsia="宋体" w:cs="宋体"/>
                <w:b w:val="0"/>
                <w:bCs/>
                <w:sz w:val="21"/>
                <w:szCs w:val="21"/>
                <w:highlight w:val="none"/>
              </w:rPr>
              <w:t>法定代表人</w:t>
            </w:r>
          </w:p>
          <w:p w14:paraId="33983F2B">
            <w:pPr>
              <w:jc w:val="center"/>
              <w:rPr>
                <w:rFonts w:hint="eastAsia" w:ascii="Times New Roman" w:hAnsi="Times New Roman" w:eastAsia="宋体" w:cs="宋体"/>
                <w:b w:val="0"/>
                <w:bCs/>
                <w:sz w:val="21"/>
                <w:szCs w:val="21"/>
                <w:highlight w:val="none"/>
              </w:rPr>
            </w:pPr>
            <w:r>
              <w:rPr>
                <w:rFonts w:hint="eastAsia" w:ascii="Times New Roman" w:hAnsi="Times New Roman" w:eastAsia="宋体" w:cs="宋体"/>
                <w:b w:val="0"/>
                <w:bCs/>
                <w:sz w:val="21"/>
                <w:szCs w:val="21"/>
                <w:highlight w:val="none"/>
              </w:rPr>
              <w:t>（负责人）</w:t>
            </w:r>
          </w:p>
        </w:tc>
        <w:tc>
          <w:tcPr>
            <w:tcW w:w="3569" w:type="dxa"/>
            <w:gridSpan w:val="2"/>
            <w:tcBorders>
              <w:tl2br w:val="nil"/>
              <w:tr2bl w:val="nil"/>
            </w:tcBorders>
            <w:noWrap w:val="0"/>
            <w:vAlign w:val="center"/>
          </w:tcPr>
          <w:p w14:paraId="2493C0AD">
            <w:pPr>
              <w:jc w:val="both"/>
              <w:rPr>
                <w:rFonts w:hint="eastAsia" w:ascii="Times New Roman" w:hAnsi="Times New Roman" w:eastAsia="宋体" w:cs="宋体"/>
                <w:b w:val="0"/>
                <w:bCs/>
                <w:sz w:val="21"/>
                <w:szCs w:val="21"/>
                <w:highlight w:val="none"/>
              </w:rPr>
            </w:pPr>
          </w:p>
        </w:tc>
        <w:tc>
          <w:tcPr>
            <w:tcW w:w="1620" w:type="dxa"/>
            <w:gridSpan w:val="2"/>
            <w:tcBorders>
              <w:tl2br w:val="nil"/>
              <w:tr2bl w:val="nil"/>
            </w:tcBorders>
            <w:noWrap w:val="0"/>
            <w:vAlign w:val="center"/>
          </w:tcPr>
          <w:p w14:paraId="075B08DD">
            <w:pPr>
              <w:jc w:val="center"/>
              <w:rPr>
                <w:rFonts w:hint="eastAsia" w:ascii="Times New Roman" w:hAnsi="Times New Roman" w:eastAsia="宋体" w:cs="宋体"/>
                <w:b w:val="0"/>
                <w:bCs/>
                <w:sz w:val="21"/>
                <w:szCs w:val="21"/>
                <w:highlight w:val="none"/>
              </w:rPr>
            </w:pPr>
            <w:r>
              <w:rPr>
                <w:rFonts w:hint="eastAsia" w:ascii="Times New Roman" w:hAnsi="Times New Roman" w:eastAsia="宋体" w:cs="宋体"/>
                <w:b w:val="0"/>
                <w:bCs/>
                <w:sz w:val="21"/>
                <w:szCs w:val="21"/>
                <w:highlight w:val="none"/>
              </w:rPr>
              <w:t>注册资金</w:t>
            </w:r>
          </w:p>
        </w:tc>
        <w:tc>
          <w:tcPr>
            <w:tcW w:w="1980" w:type="dxa"/>
            <w:tcBorders>
              <w:tl2br w:val="nil"/>
              <w:tr2bl w:val="nil"/>
            </w:tcBorders>
            <w:noWrap w:val="0"/>
            <w:vAlign w:val="center"/>
          </w:tcPr>
          <w:p w14:paraId="49044734">
            <w:pPr>
              <w:rPr>
                <w:rFonts w:hint="eastAsia" w:ascii="Times New Roman" w:hAnsi="Times New Roman" w:eastAsia="宋体" w:cs="宋体"/>
                <w:b w:val="0"/>
                <w:bCs/>
                <w:sz w:val="21"/>
                <w:szCs w:val="21"/>
                <w:highlight w:val="none"/>
              </w:rPr>
            </w:pPr>
          </w:p>
        </w:tc>
      </w:tr>
      <w:tr w14:paraId="268854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831" w:type="dxa"/>
            <w:tcBorders>
              <w:tl2br w:val="nil"/>
              <w:tr2bl w:val="nil"/>
            </w:tcBorders>
            <w:noWrap w:val="0"/>
            <w:vAlign w:val="center"/>
          </w:tcPr>
          <w:p w14:paraId="37BA4086">
            <w:pPr>
              <w:jc w:val="center"/>
              <w:rPr>
                <w:rFonts w:hint="eastAsia" w:ascii="Times New Roman" w:hAnsi="Times New Roman" w:eastAsia="宋体" w:cs="宋体"/>
                <w:b w:val="0"/>
                <w:bCs/>
                <w:sz w:val="21"/>
                <w:szCs w:val="21"/>
                <w:highlight w:val="none"/>
              </w:rPr>
            </w:pPr>
            <w:r>
              <w:rPr>
                <w:rFonts w:hint="eastAsia" w:ascii="Times New Roman" w:hAnsi="Times New Roman" w:eastAsia="宋体" w:cs="宋体"/>
                <w:b w:val="0"/>
                <w:bCs/>
                <w:sz w:val="21"/>
                <w:szCs w:val="21"/>
                <w:highlight w:val="none"/>
              </w:rPr>
              <w:t>联系电话</w:t>
            </w:r>
          </w:p>
        </w:tc>
        <w:tc>
          <w:tcPr>
            <w:tcW w:w="3569" w:type="dxa"/>
            <w:gridSpan w:val="2"/>
            <w:tcBorders>
              <w:tl2br w:val="nil"/>
              <w:tr2bl w:val="nil"/>
            </w:tcBorders>
            <w:noWrap w:val="0"/>
            <w:vAlign w:val="center"/>
          </w:tcPr>
          <w:p w14:paraId="48D801D2">
            <w:pPr>
              <w:jc w:val="both"/>
              <w:rPr>
                <w:rFonts w:hint="eastAsia" w:ascii="Times New Roman" w:hAnsi="Times New Roman" w:eastAsia="宋体" w:cs="宋体"/>
                <w:b w:val="0"/>
                <w:bCs/>
                <w:sz w:val="21"/>
                <w:szCs w:val="21"/>
                <w:highlight w:val="none"/>
              </w:rPr>
            </w:pPr>
          </w:p>
        </w:tc>
        <w:tc>
          <w:tcPr>
            <w:tcW w:w="1620" w:type="dxa"/>
            <w:gridSpan w:val="2"/>
            <w:tcBorders>
              <w:tl2br w:val="nil"/>
              <w:tr2bl w:val="nil"/>
            </w:tcBorders>
            <w:noWrap w:val="0"/>
            <w:vAlign w:val="center"/>
          </w:tcPr>
          <w:p w14:paraId="2012A9AE">
            <w:pPr>
              <w:jc w:val="center"/>
              <w:rPr>
                <w:rFonts w:hint="eastAsia" w:ascii="Times New Roman" w:hAnsi="Times New Roman" w:eastAsia="宋体" w:cs="宋体"/>
                <w:b w:val="0"/>
                <w:bCs/>
                <w:sz w:val="21"/>
                <w:szCs w:val="21"/>
                <w:highlight w:val="none"/>
              </w:rPr>
            </w:pPr>
            <w:r>
              <w:rPr>
                <w:rFonts w:hint="eastAsia" w:ascii="Times New Roman" w:hAnsi="Times New Roman" w:eastAsia="宋体" w:cs="宋体"/>
                <w:b w:val="0"/>
                <w:bCs/>
                <w:sz w:val="21"/>
                <w:szCs w:val="21"/>
                <w:highlight w:val="none"/>
              </w:rPr>
              <w:t>传真</w:t>
            </w:r>
          </w:p>
        </w:tc>
        <w:tc>
          <w:tcPr>
            <w:tcW w:w="1980" w:type="dxa"/>
            <w:tcBorders>
              <w:tl2br w:val="nil"/>
              <w:tr2bl w:val="nil"/>
            </w:tcBorders>
            <w:noWrap w:val="0"/>
            <w:vAlign w:val="center"/>
          </w:tcPr>
          <w:p w14:paraId="383016C9">
            <w:pPr>
              <w:rPr>
                <w:rFonts w:hint="eastAsia" w:ascii="Times New Roman" w:hAnsi="Times New Roman" w:eastAsia="宋体" w:cs="宋体"/>
                <w:b w:val="0"/>
                <w:bCs/>
                <w:sz w:val="21"/>
                <w:szCs w:val="21"/>
                <w:highlight w:val="none"/>
              </w:rPr>
            </w:pPr>
          </w:p>
        </w:tc>
      </w:tr>
      <w:tr w14:paraId="2447C5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831" w:type="dxa"/>
            <w:vMerge w:val="restart"/>
            <w:tcBorders>
              <w:tl2br w:val="nil"/>
              <w:tr2bl w:val="nil"/>
            </w:tcBorders>
            <w:noWrap w:val="0"/>
            <w:vAlign w:val="center"/>
          </w:tcPr>
          <w:p w14:paraId="3B709042">
            <w:pPr>
              <w:jc w:val="center"/>
              <w:rPr>
                <w:rFonts w:hint="eastAsia" w:ascii="Times New Roman" w:hAnsi="Times New Roman" w:eastAsia="宋体" w:cs="宋体"/>
                <w:b w:val="0"/>
                <w:bCs/>
                <w:sz w:val="21"/>
                <w:szCs w:val="21"/>
                <w:highlight w:val="none"/>
                <w:lang w:eastAsia="zh-CN"/>
              </w:rPr>
            </w:pPr>
            <w:r>
              <w:rPr>
                <w:rFonts w:hint="eastAsia" w:ascii="Times New Roman" w:hAnsi="Times New Roman" w:eastAsia="宋体" w:cs="宋体"/>
                <w:b w:val="0"/>
                <w:bCs/>
                <w:sz w:val="21"/>
                <w:szCs w:val="21"/>
                <w:highlight w:val="none"/>
              </w:rPr>
              <w:t>投标联系人</w:t>
            </w:r>
            <w:r>
              <w:rPr>
                <w:rFonts w:hint="eastAsia" w:ascii="Times New Roman" w:hAnsi="Times New Roman" w:eastAsia="宋体" w:cs="宋体"/>
                <w:b w:val="0"/>
                <w:bCs/>
                <w:sz w:val="21"/>
                <w:szCs w:val="21"/>
                <w:highlight w:val="none"/>
                <w:lang w:val="en-US" w:eastAsia="zh-CN"/>
              </w:rPr>
              <w:t xml:space="preserve">   </w:t>
            </w:r>
            <w:r>
              <w:rPr>
                <w:rFonts w:hint="eastAsia" w:ascii="Times New Roman" w:hAnsi="Times New Roman" w:eastAsia="宋体" w:cs="宋体"/>
                <w:b w:val="0"/>
                <w:bCs/>
                <w:sz w:val="21"/>
                <w:szCs w:val="21"/>
                <w:highlight w:val="none"/>
                <w:lang w:eastAsia="zh-CN"/>
              </w:rPr>
              <w:t>（</w:t>
            </w:r>
            <w:r>
              <w:rPr>
                <w:rFonts w:hint="eastAsia" w:ascii="Times New Roman" w:hAnsi="Times New Roman" w:eastAsia="宋体" w:cs="宋体"/>
                <w:b w:val="0"/>
                <w:bCs/>
                <w:sz w:val="21"/>
                <w:szCs w:val="21"/>
                <w:highlight w:val="none"/>
                <w:lang w:val="en-US" w:eastAsia="zh-CN"/>
              </w:rPr>
              <w:t>谈判代表</w:t>
            </w:r>
            <w:r>
              <w:rPr>
                <w:rFonts w:hint="eastAsia" w:ascii="Times New Roman" w:hAnsi="Times New Roman" w:eastAsia="宋体" w:cs="宋体"/>
                <w:b w:val="0"/>
                <w:bCs/>
                <w:sz w:val="21"/>
                <w:szCs w:val="21"/>
                <w:highlight w:val="none"/>
                <w:lang w:eastAsia="zh-CN"/>
              </w:rPr>
              <w:t>）</w:t>
            </w:r>
          </w:p>
        </w:tc>
        <w:tc>
          <w:tcPr>
            <w:tcW w:w="1949" w:type="dxa"/>
            <w:tcBorders>
              <w:tl2br w:val="nil"/>
              <w:tr2bl w:val="nil"/>
            </w:tcBorders>
            <w:noWrap w:val="0"/>
            <w:vAlign w:val="center"/>
          </w:tcPr>
          <w:p w14:paraId="26C23863">
            <w:pPr>
              <w:jc w:val="center"/>
              <w:rPr>
                <w:rFonts w:hint="eastAsia" w:ascii="Times New Roman" w:hAnsi="Times New Roman" w:eastAsia="宋体" w:cs="宋体"/>
                <w:b w:val="0"/>
                <w:bCs/>
                <w:sz w:val="21"/>
                <w:szCs w:val="21"/>
                <w:highlight w:val="none"/>
              </w:rPr>
            </w:pPr>
            <w:r>
              <w:rPr>
                <w:rFonts w:hint="eastAsia" w:ascii="Times New Roman" w:hAnsi="Times New Roman" w:eastAsia="宋体" w:cs="宋体"/>
                <w:b w:val="0"/>
                <w:bCs/>
                <w:sz w:val="21"/>
                <w:szCs w:val="21"/>
                <w:highlight w:val="none"/>
              </w:rPr>
              <w:t>姓名</w:t>
            </w:r>
          </w:p>
        </w:tc>
        <w:tc>
          <w:tcPr>
            <w:tcW w:w="2520" w:type="dxa"/>
            <w:gridSpan w:val="2"/>
            <w:tcBorders>
              <w:tl2br w:val="nil"/>
              <w:tr2bl w:val="nil"/>
            </w:tcBorders>
            <w:noWrap w:val="0"/>
            <w:vAlign w:val="center"/>
          </w:tcPr>
          <w:p w14:paraId="18F9D7F6">
            <w:pPr>
              <w:jc w:val="center"/>
              <w:rPr>
                <w:rFonts w:hint="eastAsia" w:ascii="Times New Roman" w:hAnsi="Times New Roman" w:eastAsia="宋体" w:cs="宋体"/>
                <w:b w:val="0"/>
                <w:bCs/>
                <w:sz w:val="21"/>
                <w:szCs w:val="21"/>
                <w:highlight w:val="none"/>
              </w:rPr>
            </w:pPr>
            <w:r>
              <w:rPr>
                <w:rFonts w:hint="eastAsia" w:ascii="Times New Roman" w:hAnsi="Times New Roman" w:eastAsia="宋体" w:cs="宋体"/>
                <w:b w:val="0"/>
                <w:bCs/>
                <w:sz w:val="21"/>
                <w:szCs w:val="21"/>
                <w:highlight w:val="none"/>
              </w:rPr>
              <w:t>电话号码（手机）</w:t>
            </w:r>
          </w:p>
        </w:tc>
        <w:tc>
          <w:tcPr>
            <w:tcW w:w="2700" w:type="dxa"/>
            <w:gridSpan w:val="2"/>
            <w:tcBorders>
              <w:tl2br w:val="nil"/>
              <w:tr2bl w:val="nil"/>
            </w:tcBorders>
            <w:noWrap w:val="0"/>
            <w:vAlign w:val="center"/>
          </w:tcPr>
          <w:p w14:paraId="55C40349">
            <w:pPr>
              <w:jc w:val="center"/>
              <w:rPr>
                <w:rFonts w:hint="eastAsia" w:ascii="Times New Roman" w:hAnsi="Times New Roman" w:eastAsia="宋体" w:cs="宋体"/>
                <w:b w:val="0"/>
                <w:bCs/>
                <w:sz w:val="21"/>
                <w:szCs w:val="21"/>
                <w:highlight w:val="none"/>
              </w:rPr>
            </w:pPr>
            <w:r>
              <w:rPr>
                <w:rFonts w:hint="eastAsia" w:ascii="Times New Roman" w:hAnsi="Times New Roman" w:eastAsia="宋体" w:cs="宋体"/>
                <w:b w:val="0"/>
                <w:bCs/>
                <w:sz w:val="21"/>
                <w:szCs w:val="21"/>
                <w:highlight w:val="none"/>
              </w:rPr>
              <w:t>E-mail</w:t>
            </w:r>
          </w:p>
        </w:tc>
      </w:tr>
      <w:tr w14:paraId="7CA767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831" w:type="dxa"/>
            <w:vMerge w:val="continue"/>
            <w:tcBorders>
              <w:tl2br w:val="nil"/>
              <w:tr2bl w:val="nil"/>
            </w:tcBorders>
            <w:noWrap w:val="0"/>
            <w:vAlign w:val="center"/>
          </w:tcPr>
          <w:p w14:paraId="57625E15">
            <w:pPr>
              <w:jc w:val="center"/>
              <w:rPr>
                <w:rFonts w:hint="eastAsia" w:ascii="Times New Roman" w:hAnsi="Times New Roman" w:eastAsia="宋体" w:cs="宋体"/>
                <w:b w:val="0"/>
                <w:bCs/>
                <w:sz w:val="21"/>
                <w:szCs w:val="21"/>
                <w:highlight w:val="none"/>
              </w:rPr>
            </w:pPr>
          </w:p>
        </w:tc>
        <w:tc>
          <w:tcPr>
            <w:tcW w:w="1949" w:type="dxa"/>
            <w:tcBorders>
              <w:tl2br w:val="nil"/>
              <w:tr2bl w:val="nil"/>
            </w:tcBorders>
            <w:noWrap w:val="0"/>
            <w:vAlign w:val="center"/>
          </w:tcPr>
          <w:p w14:paraId="040EF199">
            <w:pPr>
              <w:jc w:val="center"/>
              <w:rPr>
                <w:rFonts w:hint="eastAsia" w:ascii="Times New Roman" w:hAnsi="Times New Roman" w:eastAsia="宋体" w:cs="宋体"/>
                <w:b w:val="0"/>
                <w:bCs/>
                <w:sz w:val="21"/>
                <w:szCs w:val="21"/>
                <w:highlight w:val="none"/>
              </w:rPr>
            </w:pPr>
          </w:p>
        </w:tc>
        <w:tc>
          <w:tcPr>
            <w:tcW w:w="2520" w:type="dxa"/>
            <w:gridSpan w:val="2"/>
            <w:tcBorders>
              <w:tl2br w:val="nil"/>
              <w:tr2bl w:val="nil"/>
            </w:tcBorders>
            <w:noWrap w:val="0"/>
            <w:vAlign w:val="center"/>
          </w:tcPr>
          <w:p w14:paraId="141BB37E">
            <w:pPr>
              <w:jc w:val="center"/>
              <w:rPr>
                <w:rFonts w:hint="eastAsia" w:ascii="Times New Roman" w:hAnsi="Times New Roman" w:eastAsia="宋体" w:cs="宋体"/>
                <w:b w:val="0"/>
                <w:bCs/>
                <w:sz w:val="21"/>
                <w:szCs w:val="21"/>
                <w:highlight w:val="none"/>
              </w:rPr>
            </w:pPr>
          </w:p>
        </w:tc>
        <w:tc>
          <w:tcPr>
            <w:tcW w:w="2700" w:type="dxa"/>
            <w:gridSpan w:val="2"/>
            <w:tcBorders>
              <w:tl2br w:val="nil"/>
              <w:tr2bl w:val="nil"/>
            </w:tcBorders>
            <w:noWrap w:val="0"/>
            <w:vAlign w:val="center"/>
          </w:tcPr>
          <w:p w14:paraId="7DDDFF97">
            <w:pPr>
              <w:jc w:val="center"/>
              <w:rPr>
                <w:rFonts w:hint="eastAsia" w:ascii="Times New Roman" w:hAnsi="Times New Roman" w:eastAsia="宋体" w:cs="宋体"/>
                <w:b w:val="0"/>
                <w:bCs/>
                <w:sz w:val="21"/>
                <w:szCs w:val="21"/>
                <w:highlight w:val="none"/>
              </w:rPr>
            </w:pPr>
          </w:p>
        </w:tc>
      </w:tr>
      <w:tr w14:paraId="3B021C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23" w:hRule="atLeast"/>
          <w:jc w:val="center"/>
        </w:trPr>
        <w:tc>
          <w:tcPr>
            <w:tcW w:w="1831" w:type="dxa"/>
            <w:tcBorders>
              <w:tl2br w:val="nil"/>
              <w:tr2bl w:val="nil"/>
            </w:tcBorders>
            <w:noWrap w:val="0"/>
            <w:vAlign w:val="center"/>
          </w:tcPr>
          <w:p w14:paraId="2C8E9876">
            <w:pPr>
              <w:jc w:val="center"/>
              <w:rPr>
                <w:rFonts w:hint="eastAsia" w:ascii="Times New Roman" w:hAnsi="Times New Roman" w:eastAsia="宋体" w:cs="宋体"/>
                <w:b w:val="0"/>
                <w:bCs/>
                <w:sz w:val="21"/>
                <w:szCs w:val="21"/>
                <w:highlight w:val="none"/>
                <w:lang w:val="en-US" w:eastAsia="zh-CN"/>
              </w:rPr>
            </w:pPr>
            <w:r>
              <w:rPr>
                <w:rFonts w:hint="eastAsia" w:ascii="Times New Roman" w:hAnsi="Times New Roman" w:eastAsia="宋体" w:cs="宋体"/>
                <w:b w:val="0"/>
                <w:bCs/>
                <w:sz w:val="21"/>
                <w:szCs w:val="21"/>
                <w:highlight w:val="none"/>
                <w:lang w:val="en-US" w:eastAsia="zh-CN"/>
              </w:rPr>
              <w:t>资格预审文件</w:t>
            </w:r>
          </w:p>
          <w:p w14:paraId="1CB2184D">
            <w:pPr>
              <w:jc w:val="center"/>
              <w:rPr>
                <w:rFonts w:hint="eastAsia" w:ascii="Times New Roman" w:hAnsi="Times New Roman" w:eastAsia="宋体" w:cs="宋体"/>
                <w:b w:val="0"/>
                <w:bCs/>
                <w:sz w:val="21"/>
                <w:szCs w:val="21"/>
                <w:highlight w:val="none"/>
                <w:lang w:val="en-US" w:eastAsia="zh-CN"/>
              </w:rPr>
            </w:pPr>
            <w:r>
              <w:rPr>
                <w:rFonts w:hint="eastAsia" w:ascii="Times New Roman" w:hAnsi="Times New Roman" w:eastAsia="宋体" w:cs="宋体"/>
                <w:b w:val="0"/>
                <w:bCs/>
                <w:sz w:val="21"/>
                <w:szCs w:val="21"/>
                <w:highlight w:val="none"/>
                <w:lang w:val="en-US" w:eastAsia="zh-CN"/>
              </w:rPr>
              <w:t>清单</w:t>
            </w:r>
          </w:p>
        </w:tc>
        <w:tc>
          <w:tcPr>
            <w:tcW w:w="7169" w:type="dxa"/>
            <w:gridSpan w:val="5"/>
            <w:tcBorders>
              <w:tl2br w:val="nil"/>
              <w:tr2bl w:val="nil"/>
            </w:tcBorders>
            <w:noWrap w:val="0"/>
            <w:vAlign w:val="center"/>
          </w:tcPr>
          <w:p w14:paraId="73A9811E">
            <w:pPr>
              <w:numPr>
                <w:ilvl w:val="0"/>
                <w:numId w:val="4"/>
              </w:numPr>
              <w:bidi w:val="0"/>
              <w:rPr>
                <w:rFonts w:hint="eastAsia" w:ascii="Times New Roman" w:hAnsi="Times New Roman" w:eastAsia="宋体" w:cs="宋体"/>
                <w:b w:val="0"/>
                <w:bCs/>
                <w:sz w:val="21"/>
                <w:szCs w:val="21"/>
                <w:highlight w:val="none"/>
                <w:lang w:val="en-US" w:eastAsia="zh-CN"/>
              </w:rPr>
            </w:pPr>
            <w:r>
              <w:rPr>
                <w:rFonts w:hint="eastAsia" w:ascii="Times New Roman" w:hAnsi="Times New Roman" w:eastAsia="宋体" w:cs="宋体"/>
                <w:b w:val="0"/>
                <w:bCs/>
                <w:sz w:val="21"/>
                <w:szCs w:val="21"/>
                <w:highlight w:val="none"/>
                <w:lang w:val="en-US" w:eastAsia="zh-CN"/>
              </w:rPr>
              <w:t>《统一社会信用代码营业执照》副本或组织机构代码证</w:t>
            </w:r>
            <w:r>
              <w:rPr>
                <w:rFonts w:hint="eastAsia" w:ascii="Times New Roman" w:hAnsi="Times New Roman" w:eastAsia="宋体" w:cs="宋体"/>
                <w:b w:val="0"/>
                <w:bCs/>
                <w:sz w:val="21"/>
                <w:szCs w:val="21"/>
                <w:highlight w:val="none"/>
                <w:lang w:val="en-US" w:eastAsia="zh-CN"/>
              </w:rPr>
              <w:sym w:font="Wingdings" w:char="00A8"/>
            </w:r>
          </w:p>
          <w:p w14:paraId="14200774">
            <w:pPr>
              <w:numPr>
                <w:ilvl w:val="0"/>
                <w:numId w:val="4"/>
              </w:numPr>
              <w:bidi w:val="0"/>
              <w:rPr>
                <w:rFonts w:hint="eastAsia" w:ascii="Times New Roman" w:hAnsi="Times New Roman" w:eastAsia="宋体" w:cs="宋体"/>
                <w:b w:val="0"/>
                <w:bCs/>
                <w:sz w:val="21"/>
                <w:szCs w:val="21"/>
                <w:highlight w:val="none"/>
                <w:lang w:val="en-US" w:eastAsia="zh-CN"/>
              </w:rPr>
            </w:pPr>
            <w:r>
              <w:rPr>
                <w:rFonts w:hint="eastAsia" w:ascii="Times New Roman" w:hAnsi="Times New Roman" w:eastAsia="宋体" w:cs="宋体"/>
                <w:b w:val="0"/>
                <w:bCs/>
                <w:sz w:val="21"/>
                <w:szCs w:val="21"/>
                <w:highlight w:val="none"/>
                <w:lang w:val="en-US" w:eastAsia="zh-CN"/>
              </w:rPr>
              <w:t>法定代表人身份证明书及法人身份证复印件（格式自拟）</w:t>
            </w:r>
            <w:r>
              <w:rPr>
                <w:rFonts w:hint="eastAsia" w:ascii="Times New Roman" w:hAnsi="Times New Roman" w:eastAsia="宋体" w:cs="宋体"/>
                <w:b w:val="0"/>
                <w:bCs/>
                <w:sz w:val="21"/>
                <w:szCs w:val="21"/>
                <w:highlight w:val="none"/>
                <w:lang w:val="en-US" w:eastAsia="zh-CN"/>
              </w:rPr>
              <w:sym w:font="Wingdings" w:char="00A8"/>
            </w:r>
          </w:p>
          <w:p w14:paraId="5E70F319">
            <w:pPr>
              <w:numPr>
                <w:ilvl w:val="0"/>
                <w:numId w:val="4"/>
              </w:numPr>
              <w:bidi w:val="0"/>
              <w:rPr>
                <w:rFonts w:hint="eastAsia" w:ascii="Times New Roman" w:hAnsi="Times New Roman" w:eastAsia="宋体" w:cs="宋体"/>
                <w:b w:val="0"/>
                <w:bCs/>
                <w:sz w:val="21"/>
                <w:szCs w:val="21"/>
                <w:highlight w:val="none"/>
                <w:lang w:val="en-US" w:eastAsia="zh-CN"/>
              </w:rPr>
            </w:pPr>
            <w:r>
              <w:rPr>
                <w:rFonts w:hint="eastAsia" w:ascii="Times New Roman" w:hAnsi="Times New Roman" w:eastAsia="宋体" w:cs="宋体"/>
                <w:b w:val="0"/>
                <w:bCs/>
                <w:sz w:val="21"/>
                <w:szCs w:val="21"/>
                <w:highlight w:val="none"/>
                <w:lang w:val="en-US" w:eastAsia="zh-CN"/>
              </w:rPr>
              <w:t>法定代表人授权委托书及被委托人身份证复印件（格式自拟）</w:t>
            </w:r>
            <w:r>
              <w:rPr>
                <w:rFonts w:hint="eastAsia" w:ascii="Times New Roman" w:hAnsi="Times New Roman" w:eastAsia="宋体" w:cs="宋体"/>
                <w:b w:val="0"/>
                <w:bCs/>
                <w:sz w:val="21"/>
                <w:szCs w:val="21"/>
                <w:highlight w:val="none"/>
                <w:lang w:val="en-US" w:eastAsia="zh-CN"/>
              </w:rPr>
              <w:sym w:font="Wingdings" w:char="00A8"/>
            </w:r>
          </w:p>
          <w:p w14:paraId="230B4B79">
            <w:pPr>
              <w:numPr>
                <w:ilvl w:val="0"/>
                <w:numId w:val="4"/>
              </w:numPr>
              <w:bidi w:val="0"/>
              <w:rPr>
                <w:rFonts w:hint="eastAsia" w:ascii="Times New Roman" w:hAnsi="Times New Roman" w:eastAsia="宋体" w:cs="宋体"/>
                <w:b w:val="0"/>
                <w:bCs/>
                <w:sz w:val="21"/>
                <w:szCs w:val="21"/>
                <w:highlight w:val="none"/>
                <w:lang w:val="en-US" w:eastAsia="zh-CN"/>
              </w:rPr>
            </w:pPr>
            <w:r>
              <w:rPr>
                <w:rFonts w:hint="eastAsia" w:ascii="Times New Roman" w:hAnsi="Times New Roman" w:eastAsia="宋体" w:cs="宋体"/>
                <w:b w:val="0"/>
                <w:bCs/>
                <w:sz w:val="21"/>
                <w:szCs w:val="21"/>
                <w:highlight w:val="none"/>
                <w:lang w:val="en-US" w:eastAsia="zh-CN"/>
              </w:rPr>
              <w:t>医疗行业执业许可证（需备注健康体检资质）</w:t>
            </w:r>
            <w:r>
              <w:rPr>
                <w:rFonts w:hint="eastAsia" w:ascii="Times New Roman" w:hAnsi="Times New Roman" w:eastAsia="宋体" w:cs="宋体"/>
                <w:b w:val="0"/>
                <w:bCs/>
                <w:sz w:val="21"/>
                <w:szCs w:val="21"/>
                <w:highlight w:val="none"/>
                <w:lang w:val="en-US" w:eastAsia="zh-CN"/>
              </w:rPr>
              <w:sym w:font="Wingdings" w:char="00A8"/>
            </w:r>
          </w:p>
        </w:tc>
      </w:tr>
      <w:tr w14:paraId="3F6E84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0" w:hRule="atLeast"/>
          <w:jc w:val="center"/>
        </w:trPr>
        <w:tc>
          <w:tcPr>
            <w:tcW w:w="1831" w:type="dxa"/>
            <w:tcBorders>
              <w:tl2br w:val="nil"/>
              <w:tr2bl w:val="nil"/>
            </w:tcBorders>
            <w:noWrap w:val="0"/>
            <w:vAlign w:val="center"/>
          </w:tcPr>
          <w:p w14:paraId="7BA10789">
            <w:pPr>
              <w:jc w:val="center"/>
              <w:rPr>
                <w:rFonts w:hint="eastAsia" w:ascii="Times New Roman" w:hAnsi="Times New Roman" w:eastAsia="宋体" w:cs="宋体"/>
                <w:b w:val="0"/>
                <w:bCs/>
                <w:sz w:val="21"/>
                <w:szCs w:val="21"/>
                <w:highlight w:val="none"/>
              </w:rPr>
            </w:pPr>
            <w:r>
              <w:rPr>
                <w:rFonts w:hint="eastAsia" w:ascii="Times New Roman" w:hAnsi="Times New Roman" w:eastAsia="宋体" w:cs="宋体"/>
                <w:b w:val="0"/>
                <w:bCs/>
                <w:sz w:val="21"/>
                <w:szCs w:val="21"/>
                <w:highlight w:val="none"/>
              </w:rPr>
              <w:t>备注</w:t>
            </w:r>
          </w:p>
        </w:tc>
        <w:tc>
          <w:tcPr>
            <w:tcW w:w="7169" w:type="dxa"/>
            <w:gridSpan w:val="5"/>
            <w:tcBorders>
              <w:tl2br w:val="nil"/>
              <w:tr2bl w:val="nil"/>
            </w:tcBorders>
            <w:noWrap w:val="0"/>
            <w:vAlign w:val="bottom"/>
          </w:tcPr>
          <w:p w14:paraId="685C0B5B">
            <w:pPr>
              <w:rPr>
                <w:rFonts w:hint="eastAsia" w:ascii="Times New Roman" w:hAnsi="Times New Roman" w:eastAsia="宋体" w:cs="宋体"/>
                <w:b w:val="0"/>
                <w:bCs/>
                <w:sz w:val="21"/>
                <w:szCs w:val="21"/>
                <w:highlight w:val="none"/>
              </w:rPr>
            </w:pPr>
          </w:p>
          <w:p w14:paraId="06C24963">
            <w:pPr>
              <w:rPr>
                <w:rFonts w:hint="eastAsia" w:ascii="Times New Roman" w:hAnsi="Times New Roman" w:eastAsia="宋体" w:cs="宋体"/>
                <w:b w:val="0"/>
                <w:bCs/>
                <w:sz w:val="21"/>
                <w:szCs w:val="21"/>
                <w:highlight w:val="none"/>
              </w:rPr>
            </w:pPr>
          </w:p>
          <w:p w14:paraId="09A0E344">
            <w:pPr>
              <w:rPr>
                <w:rFonts w:hint="eastAsia" w:ascii="Times New Roman" w:hAnsi="Times New Roman" w:eastAsia="宋体" w:cs="宋体"/>
                <w:b w:val="0"/>
                <w:bCs/>
                <w:sz w:val="21"/>
                <w:szCs w:val="21"/>
                <w:highlight w:val="none"/>
              </w:rPr>
            </w:pPr>
          </w:p>
          <w:p w14:paraId="79E5DE11">
            <w:pPr>
              <w:rPr>
                <w:rFonts w:hint="eastAsia" w:ascii="Times New Roman" w:hAnsi="Times New Roman" w:eastAsia="宋体" w:cs="宋体"/>
                <w:b w:val="0"/>
                <w:bCs/>
                <w:sz w:val="21"/>
                <w:szCs w:val="21"/>
                <w:highlight w:val="none"/>
              </w:rPr>
            </w:pPr>
          </w:p>
        </w:tc>
      </w:tr>
    </w:tbl>
    <w:p w14:paraId="6A3DBD36">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Times New Roman" w:hAnsi="Times New Roman" w:eastAsia="仿宋_GB2312" w:cs="仿宋_GB2312"/>
          <w:sz w:val="22"/>
          <w:szCs w:val="24"/>
          <w:highlight w:val="none"/>
        </w:rPr>
      </w:pPr>
      <w:r>
        <w:rPr>
          <w:rFonts w:hint="eastAsia" w:ascii="Times New Roman" w:hAnsi="Times New Roman" w:eastAsia="仿宋_GB2312" w:cs="仿宋_GB2312"/>
          <w:b w:val="0"/>
          <w:bCs/>
          <w:color w:val="000000"/>
          <w:sz w:val="22"/>
          <w:szCs w:val="22"/>
          <w:highlight w:val="none"/>
          <w:lang w:val="en-US" w:eastAsia="zh-CN"/>
        </w:rPr>
        <w:t>填报说明：本表为招标公告附件，请有意向参与的投标人填报本表，并按序提交资格预审文件电子版（加盖公章扫描PDF格式，与本表压缩至文件包，以“拟投标人全称-响应文件”为格式,于2026年11月6日17时前发送至cn@plhr.cn）</w:t>
      </w:r>
    </w:p>
    <w:p w14:paraId="30F82708">
      <w:pPr>
        <w:rPr>
          <w:highlight w:val="none"/>
        </w:rPr>
      </w:pPr>
    </w:p>
    <w:p w14:paraId="6896BFEE">
      <w:pPr>
        <w:widowControl/>
        <w:spacing w:beforeLines="30" w:line="360" w:lineRule="auto"/>
        <w:ind w:firstLine="442" w:firstLineChars="200"/>
        <w:jc w:val="left"/>
        <w:rPr>
          <w:rFonts w:asciiTheme="minorEastAsia" w:hAnsiTheme="minorEastAsia"/>
          <w:b/>
          <w:sz w:val="22"/>
          <w:highlight w:val="none"/>
        </w:rPr>
      </w:pPr>
    </w:p>
    <w:p w14:paraId="3F73C5F9">
      <w:pPr>
        <w:widowControl/>
        <w:spacing w:beforeLines="30" w:line="360" w:lineRule="auto"/>
        <w:ind w:firstLine="442" w:firstLineChars="200"/>
        <w:jc w:val="left"/>
        <w:rPr>
          <w:rFonts w:asciiTheme="minorEastAsia" w:hAnsiTheme="minorEastAsia"/>
          <w:b/>
          <w:sz w:val="22"/>
          <w:highlight w:val="none"/>
        </w:rPr>
      </w:pPr>
    </w:p>
    <w:p w14:paraId="449958C3">
      <w:pPr>
        <w:widowControl/>
        <w:spacing w:beforeLines="30" w:line="360" w:lineRule="auto"/>
        <w:ind w:firstLine="442" w:firstLineChars="200"/>
        <w:jc w:val="left"/>
        <w:rPr>
          <w:rFonts w:asciiTheme="minorEastAsia" w:hAnsiTheme="minorEastAsia"/>
          <w:b/>
          <w:sz w:val="22"/>
          <w:highlight w:val="none"/>
        </w:rPr>
      </w:pPr>
    </w:p>
    <w:p w14:paraId="766FC689">
      <w:pPr>
        <w:pStyle w:val="3"/>
        <w:keepNext/>
        <w:keepLines/>
        <w:pageBreakBefore w:val="0"/>
        <w:widowControl w:val="0"/>
        <w:kinsoku/>
        <w:wordWrap/>
        <w:overflowPunct/>
        <w:topLinePunct w:val="0"/>
        <w:autoSpaceDE/>
        <w:autoSpaceDN/>
        <w:bidi w:val="0"/>
        <w:adjustRightInd/>
        <w:snapToGrid/>
        <w:spacing w:line="560" w:lineRule="exact"/>
        <w:jc w:val="center"/>
        <w:textAlignment w:val="auto"/>
        <w:rPr>
          <w:rFonts w:ascii="黑体" w:hAnsi="黑体" w:eastAsia="黑体" w:cs="黑体"/>
          <w:b w:val="0"/>
          <w:bCs/>
          <w:sz w:val="32"/>
          <w:szCs w:val="32"/>
          <w:highlight w:val="none"/>
        </w:rPr>
      </w:pPr>
      <w:bookmarkStart w:id="20" w:name="_Toc12088"/>
      <w:bookmarkStart w:id="21" w:name="_Toc10392"/>
      <w:bookmarkStart w:id="22" w:name="_Toc9871"/>
      <w:r>
        <w:rPr>
          <w:rFonts w:hint="eastAsia" w:ascii="黑体" w:hAnsi="黑体" w:eastAsia="黑体" w:cs="黑体"/>
          <w:b w:val="0"/>
          <w:bCs/>
          <w:sz w:val="32"/>
          <w:szCs w:val="32"/>
          <w:highlight w:val="none"/>
        </w:rPr>
        <w:t>第二部分 招标文件</w:t>
      </w:r>
      <w:bookmarkEnd w:id="20"/>
      <w:bookmarkEnd w:id="21"/>
      <w:bookmarkEnd w:id="22"/>
    </w:p>
    <w:p w14:paraId="2BE6DCA8">
      <w:pPr>
        <w:pStyle w:val="4"/>
        <w:keepNext/>
        <w:keepLines/>
        <w:pageBreakBefore w:val="0"/>
        <w:widowControl w:val="0"/>
        <w:kinsoku/>
        <w:wordWrap/>
        <w:overflowPunct/>
        <w:topLinePunct w:val="0"/>
        <w:autoSpaceDE/>
        <w:autoSpaceDN/>
        <w:bidi w:val="0"/>
        <w:adjustRightInd/>
        <w:snapToGrid/>
        <w:spacing w:line="560" w:lineRule="exact"/>
        <w:jc w:val="center"/>
        <w:textAlignment w:val="auto"/>
        <w:rPr>
          <w:rFonts w:ascii="宋体" w:hAnsi="宋体" w:eastAsia="宋体" w:cs="宋体"/>
          <w:b w:val="0"/>
          <w:bCs/>
          <w:sz w:val="28"/>
          <w:szCs w:val="28"/>
          <w:highlight w:val="none"/>
        </w:rPr>
      </w:pPr>
      <w:bookmarkStart w:id="23" w:name="_Toc4395"/>
      <w:bookmarkStart w:id="24" w:name="_Toc13245"/>
      <w:r>
        <w:rPr>
          <w:rFonts w:hint="eastAsia" w:ascii="黑体" w:hAnsi="黑体" w:eastAsia="黑体" w:cs="黑体"/>
          <w:b w:val="0"/>
          <w:bCs/>
          <w:sz w:val="32"/>
          <w:szCs w:val="32"/>
          <w:highlight w:val="none"/>
        </w:rPr>
        <w:t>第一章 项目概况及招标程序</w:t>
      </w:r>
      <w:bookmarkEnd w:id="23"/>
      <w:bookmarkEnd w:id="24"/>
    </w:p>
    <w:p w14:paraId="5ACF6F5B">
      <w:pPr>
        <w:pStyle w:val="5"/>
        <w:pageBreakBefore w:val="0"/>
        <w:widowControl w:val="0"/>
        <w:kinsoku/>
        <w:wordWrap/>
        <w:overflowPunct/>
        <w:topLinePunct w:val="0"/>
        <w:autoSpaceDE/>
        <w:autoSpaceDN/>
        <w:bidi w:val="0"/>
        <w:spacing w:before="0" w:after="0" w:line="560" w:lineRule="exact"/>
        <w:ind w:firstLine="640" w:firstLineChars="200"/>
        <w:textAlignment w:val="auto"/>
        <w:rPr>
          <w:rFonts w:hint="eastAsia" w:ascii="黑体" w:hAnsi="黑体" w:eastAsia="黑体" w:cs="黑体"/>
          <w:b w:val="0"/>
          <w:sz w:val="32"/>
          <w:szCs w:val="32"/>
          <w:highlight w:val="none"/>
          <w:lang w:val="zh-CN"/>
        </w:rPr>
      </w:pPr>
      <w:bookmarkStart w:id="25" w:name="_Toc10276"/>
      <w:r>
        <w:rPr>
          <w:rFonts w:hint="eastAsia" w:ascii="黑体" w:hAnsi="黑体" w:eastAsia="黑体" w:cs="黑体"/>
          <w:b w:val="0"/>
          <w:sz w:val="32"/>
          <w:szCs w:val="32"/>
          <w:highlight w:val="none"/>
          <w:lang w:val="zh-CN"/>
        </w:rPr>
        <w:t>一、项目名称</w:t>
      </w:r>
      <w:bookmarkEnd w:id="25"/>
    </w:p>
    <w:p w14:paraId="3E3BF8C8">
      <w:pPr>
        <w:pStyle w:val="8"/>
        <w:pageBreakBefore w:val="0"/>
        <w:widowControl w:val="0"/>
        <w:tabs>
          <w:tab w:val="left" w:pos="7740"/>
        </w:tabs>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
          <w:bCs/>
          <w:kern w:val="2"/>
          <w:sz w:val="32"/>
          <w:szCs w:val="32"/>
          <w:highlight w:val="none"/>
          <w:lang w:val="en-US" w:eastAsia="zh-CN"/>
        </w:rPr>
      </w:pPr>
      <w:r>
        <w:rPr>
          <w:rFonts w:hint="eastAsia" w:ascii="Times New Roman" w:hAnsi="Times New Roman" w:eastAsia="仿宋_GB2312" w:cs="仿宋"/>
          <w:bCs/>
          <w:kern w:val="2"/>
          <w:sz w:val="32"/>
          <w:szCs w:val="32"/>
          <w:highlight w:val="none"/>
          <w:lang w:val="zh-CN"/>
        </w:rPr>
        <w:t>深圳市鹏劳人力资源管理有限公司</w:t>
      </w:r>
      <w:r>
        <w:rPr>
          <w:rFonts w:hint="eastAsia" w:ascii="Times New Roman" w:hAnsi="Times New Roman" w:eastAsia="仿宋_GB2312" w:cs="仿宋"/>
          <w:bCs/>
          <w:kern w:val="2"/>
          <w:sz w:val="32"/>
          <w:szCs w:val="32"/>
          <w:highlight w:val="none"/>
          <w:lang w:val="en-US" w:eastAsia="zh-CN"/>
        </w:rPr>
        <w:t>2026年度</w:t>
      </w:r>
      <w:r>
        <w:rPr>
          <w:rFonts w:hint="eastAsia" w:ascii="Times New Roman" w:hAnsi="Times New Roman" w:eastAsia="仿宋_GB2312" w:cs="仿宋"/>
          <w:bCs/>
          <w:kern w:val="2"/>
          <w:sz w:val="32"/>
          <w:szCs w:val="32"/>
          <w:highlight w:val="none"/>
          <w:lang w:val="zh-CN"/>
        </w:rPr>
        <w:t>外派员工</w:t>
      </w:r>
      <w:r>
        <w:rPr>
          <w:rFonts w:hint="eastAsia" w:ascii="Times New Roman" w:hAnsi="Times New Roman" w:eastAsia="仿宋_GB2312" w:cs="仿宋"/>
          <w:bCs/>
          <w:kern w:val="2"/>
          <w:sz w:val="32"/>
          <w:szCs w:val="32"/>
          <w:highlight w:val="none"/>
          <w:lang w:val="en-US" w:eastAsia="zh-CN"/>
        </w:rPr>
        <w:t>健康</w:t>
      </w:r>
      <w:r>
        <w:rPr>
          <w:rFonts w:hint="eastAsia" w:ascii="Times New Roman" w:hAnsi="Times New Roman" w:eastAsia="仿宋_GB2312" w:cs="仿宋"/>
          <w:bCs/>
          <w:kern w:val="2"/>
          <w:sz w:val="32"/>
          <w:szCs w:val="32"/>
          <w:highlight w:val="none"/>
          <w:lang w:val="zh-CN"/>
        </w:rPr>
        <w:t>体检</w:t>
      </w:r>
      <w:r>
        <w:rPr>
          <w:rFonts w:hint="eastAsia" w:ascii="Times New Roman" w:hAnsi="Times New Roman" w:eastAsia="仿宋_GB2312" w:cs="仿宋"/>
          <w:bCs/>
          <w:kern w:val="2"/>
          <w:sz w:val="32"/>
          <w:szCs w:val="32"/>
          <w:highlight w:val="none"/>
          <w:lang w:val="en-US" w:eastAsia="zh-CN"/>
        </w:rPr>
        <w:t>项目</w:t>
      </w:r>
    </w:p>
    <w:p w14:paraId="12979BD7">
      <w:pPr>
        <w:pStyle w:val="5"/>
        <w:pageBreakBefore w:val="0"/>
        <w:widowControl w:val="0"/>
        <w:kinsoku/>
        <w:wordWrap/>
        <w:overflowPunct/>
        <w:topLinePunct w:val="0"/>
        <w:autoSpaceDE/>
        <w:autoSpaceDN/>
        <w:bidi w:val="0"/>
        <w:spacing w:before="0" w:after="0" w:line="560" w:lineRule="exact"/>
        <w:ind w:firstLine="640" w:firstLineChars="200"/>
        <w:textAlignment w:val="auto"/>
        <w:rPr>
          <w:rFonts w:hint="eastAsia" w:ascii="黑体" w:hAnsi="黑体" w:eastAsia="黑体" w:cs="黑体"/>
          <w:b w:val="0"/>
          <w:sz w:val="32"/>
          <w:szCs w:val="32"/>
          <w:highlight w:val="none"/>
          <w:lang w:val="zh-CN"/>
        </w:rPr>
      </w:pPr>
      <w:bookmarkStart w:id="26" w:name="_Toc14096"/>
      <w:r>
        <w:rPr>
          <w:rFonts w:hint="eastAsia" w:ascii="黑体" w:hAnsi="黑体" w:eastAsia="黑体" w:cs="黑体"/>
          <w:b w:val="0"/>
          <w:sz w:val="32"/>
          <w:szCs w:val="32"/>
          <w:highlight w:val="none"/>
          <w:lang w:val="zh-CN"/>
        </w:rPr>
        <w:t>二、招标编号</w:t>
      </w:r>
      <w:bookmarkEnd w:id="26"/>
    </w:p>
    <w:p w14:paraId="1C4B9A64">
      <w:pPr>
        <w:pStyle w:val="8"/>
        <w:pageBreakBefore w:val="0"/>
        <w:widowControl w:val="0"/>
        <w:tabs>
          <w:tab w:val="left" w:pos="7740"/>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仿宋"/>
          <w:bCs/>
          <w:kern w:val="2"/>
          <w:sz w:val="32"/>
          <w:szCs w:val="32"/>
          <w:highlight w:val="none"/>
          <w:lang w:val="en-US" w:eastAsia="zh-CN"/>
        </w:rPr>
      </w:pPr>
      <w:r>
        <w:rPr>
          <w:rFonts w:hint="eastAsia" w:ascii="Times New Roman" w:hAnsi="Times New Roman" w:eastAsia="仿宋_GB2312" w:cs="仿宋"/>
          <w:bCs/>
          <w:color w:val="000000"/>
          <w:kern w:val="2"/>
          <w:sz w:val="32"/>
          <w:szCs w:val="32"/>
          <w:highlight w:val="none"/>
        </w:rPr>
        <w:t>PLHR-ZB-FW-202607</w:t>
      </w:r>
    </w:p>
    <w:p w14:paraId="72280F20">
      <w:pPr>
        <w:pStyle w:val="5"/>
        <w:pageBreakBefore w:val="0"/>
        <w:widowControl w:val="0"/>
        <w:kinsoku/>
        <w:wordWrap/>
        <w:overflowPunct/>
        <w:topLinePunct w:val="0"/>
        <w:autoSpaceDE/>
        <w:autoSpaceDN/>
        <w:bidi w:val="0"/>
        <w:spacing w:before="0" w:after="0" w:line="560" w:lineRule="exact"/>
        <w:ind w:firstLine="640" w:firstLineChars="200"/>
        <w:textAlignment w:val="auto"/>
        <w:rPr>
          <w:rFonts w:hint="eastAsia" w:ascii="黑体" w:hAnsi="黑体" w:eastAsia="黑体" w:cs="黑体"/>
          <w:b w:val="0"/>
          <w:sz w:val="32"/>
          <w:szCs w:val="32"/>
          <w:highlight w:val="none"/>
        </w:rPr>
      </w:pPr>
      <w:bookmarkStart w:id="27" w:name="_Toc17939"/>
      <w:r>
        <w:rPr>
          <w:rFonts w:hint="eastAsia" w:ascii="黑体" w:hAnsi="黑体" w:eastAsia="黑体" w:cs="黑体"/>
          <w:b w:val="0"/>
          <w:sz w:val="32"/>
          <w:szCs w:val="32"/>
          <w:highlight w:val="none"/>
        </w:rPr>
        <w:t>三、投标人资质要求</w:t>
      </w:r>
      <w:bookmarkEnd w:id="27"/>
    </w:p>
    <w:p w14:paraId="71FD10F9">
      <w:pPr>
        <w:pStyle w:val="8"/>
        <w:pageBreakBefore w:val="0"/>
        <w:widowControl w:val="0"/>
        <w:tabs>
          <w:tab w:val="left" w:pos="7740"/>
        </w:tabs>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（一）投标人为国内注册（指按国家有关规定要求注册的），经营本次采购内容，具备法人资格且具有国家卫生行政部门颁发的《中华人民共和国医疗经营许可证》</w:t>
      </w:r>
      <w:r>
        <w:rPr>
          <w:rFonts w:hint="eastAsia" w:ascii="仿宋_GB2312" w:hAnsi="仿宋_GB2312" w:eastAsia="仿宋_GB2312" w:cs="仿宋_GB2312"/>
          <w:bCs/>
          <w:sz w:val="32"/>
          <w:szCs w:val="32"/>
          <w:highlight w:val="none"/>
          <w:lang w:val="en-US" w:eastAsia="zh-CN"/>
        </w:rPr>
        <w:t>的</w:t>
      </w:r>
      <w:r>
        <w:rPr>
          <w:rFonts w:hint="eastAsia" w:ascii="仿宋_GB2312" w:hAnsi="仿宋_GB2312" w:eastAsia="仿宋_GB2312" w:cs="仿宋_GB2312"/>
          <w:bCs/>
          <w:sz w:val="32"/>
          <w:szCs w:val="32"/>
          <w:highlight w:val="none"/>
        </w:rPr>
        <w:t>专业体检机构</w:t>
      </w:r>
      <w:r>
        <w:rPr>
          <w:rFonts w:hint="eastAsia" w:ascii="仿宋_GB2312" w:hAnsi="仿宋_GB2312" w:eastAsia="仿宋_GB2312" w:cs="仿宋_GB2312"/>
          <w:bCs/>
          <w:sz w:val="32"/>
          <w:szCs w:val="32"/>
          <w:highlight w:val="none"/>
          <w:lang w:val="en-US" w:eastAsia="zh-CN"/>
        </w:rPr>
        <w:t>（若投标人为分公司，需同时提供总公司的营业执照及授权盖章证明文件）</w:t>
      </w:r>
      <w:r>
        <w:rPr>
          <w:rFonts w:hint="eastAsia" w:ascii="仿宋_GB2312" w:hAnsi="仿宋_GB2312" w:eastAsia="仿宋_GB2312" w:cs="仿宋_GB2312"/>
          <w:bCs/>
          <w:sz w:val="32"/>
          <w:szCs w:val="32"/>
          <w:highlight w:val="none"/>
        </w:rPr>
        <w:t>；</w:t>
      </w:r>
    </w:p>
    <w:p w14:paraId="45BF76CE">
      <w:pPr>
        <w:pStyle w:val="8"/>
        <w:pageBreakBefore w:val="0"/>
        <w:widowControl w:val="0"/>
        <w:tabs>
          <w:tab w:val="left" w:pos="7740"/>
        </w:tabs>
        <w:kinsoku/>
        <w:wordWrap/>
        <w:overflowPunct/>
        <w:topLinePunct w:val="0"/>
        <w:autoSpaceDE/>
        <w:autoSpaceDN/>
        <w:bidi w:val="0"/>
        <w:adjustRightInd w:val="0"/>
        <w:snapToGrid w:val="0"/>
        <w:spacing w:line="560" w:lineRule="exact"/>
        <w:ind w:firstLine="56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（二）投标人具有完全响应本项目采购需求的能力；</w:t>
      </w:r>
    </w:p>
    <w:p w14:paraId="0C0D497A">
      <w:pPr>
        <w:pStyle w:val="8"/>
        <w:keepNext w:val="0"/>
        <w:keepLines w:val="0"/>
        <w:pageBreakBefore w:val="0"/>
        <w:widowControl w:val="0"/>
        <w:tabs>
          <w:tab w:val="left" w:pos="7740"/>
        </w:tabs>
        <w:kinsoku/>
        <w:wordWrap w:val="0"/>
        <w:overflowPunct/>
        <w:topLinePunct w:val="0"/>
        <w:autoSpaceDE/>
        <w:autoSpaceDN/>
        <w:bidi w:val="0"/>
        <w:adjustRightInd w:val="0"/>
        <w:snapToGrid w:val="0"/>
        <w:spacing w:line="560" w:lineRule="exact"/>
        <w:ind w:firstLine="56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w:t>
      </w:r>
      <w:r>
        <w:rPr>
          <w:rFonts w:hint="eastAsia" w:ascii="仿宋_GB2312" w:hAnsi="仿宋_GB2312" w:eastAsia="仿宋_GB2312" w:cs="仿宋_GB2312"/>
          <w:bCs/>
          <w:sz w:val="32"/>
          <w:szCs w:val="32"/>
          <w:highlight w:val="none"/>
          <w:lang w:val="en-US" w:eastAsia="zh-CN"/>
        </w:rPr>
        <w:t>三</w:t>
      </w:r>
      <w:r>
        <w:rPr>
          <w:rFonts w:hint="eastAsia" w:ascii="仿宋_GB2312" w:hAnsi="仿宋_GB2312" w:eastAsia="仿宋_GB2312" w:cs="仿宋_GB2312"/>
          <w:bCs/>
          <w:sz w:val="32"/>
          <w:szCs w:val="32"/>
          <w:highlight w:val="none"/>
        </w:rPr>
        <w:t>）投标人无在“信用中国”网站(www.creditchina.gov.cn)、中国政府采购网(www.ccgp.gov.cn)等渠道列入失信被执行人、重大税收违法案件当事人名单、政府采购严重违法失信行为记录名单的情况；</w:t>
      </w:r>
    </w:p>
    <w:p w14:paraId="36C4B85E">
      <w:pPr>
        <w:pStyle w:val="8"/>
        <w:pageBreakBefore w:val="0"/>
        <w:widowControl w:val="0"/>
        <w:tabs>
          <w:tab w:val="left" w:pos="7740"/>
        </w:tabs>
        <w:kinsoku/>
        <w:wordWrap/>
        <w:overflowPunct/>
        <w:topLinePunct w:val="0"/>
        <w:autoSpaceDE/>
        <w:autoSpaceDN/>
        <w:bidi w:val="0"/>
        <w:adjustRightInd w:val="0"/>
        <w:snapToGrid w:val="0"/>
        <w:spacing w:line="560" w:lineRule="exact"/>
        <w:ind w:firstLine="56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（四）投标人如为与招标人合作的既往供应商，需满足招标人关于供应商的管理规定，同时既往三年内无重大事故、服务投诉或质量不符合记录；</w:t>
      </w:r>
    </w:p>
    <w:p w14:paraId="54F8CC27">
      <w:pPr>
        <w:pStyle w:val="8"/>
        <w:pageBreakBefore w:val="0"/>
        <w:widowControl w:val="0"/>
        <w:tabs>
          <w:tab w:val="left" w:pos="7740"/>
        </w:tabs>
        <w:kinsoku/>
        <w:wordWrap/>
        <w:overflowPunct/>
        <w:topLinePunct w:val="0"/>
        <w:autoSpaceDE/>
        <w:autoSpaceDN/>
        <w:bidi w:val="0"/>
        <w:adjustRightInd w:val="0"/>
        <w:snapToGrid w:val="0"/>
        <w:spacing w:line="560" w:lineRule="exact"/>
        <w:ind w:firstLine="56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（五）投标人能够开具符合国家法律法规规定的增值税发票，如所提供的产品或服务税率不同，须按照相应税率分别开具发票；</w:t>
      </w:r>
    </w:p>
    <w:p w14:paraId="2E016CC6">
      <w:pPr>
        <w:pStyle w:val="8"/>
        <w:pageBreakBefore w:val="0"/>
        <w:widowControl w:val="0"/>
        <w:tabs>
          <w:tab w:val="left" w:pos="7740"/>
        </w:tabs>
        <w:kinsoku/>
        <w:wordWrap/>
        <w:overflowPunct/>
        <w:topLinePunct w:val="0"/>
        <w:autoSpaceDE/>
        <w:autoSpaceDN/>
        <w:bidi w:val="0"/>
        <w:adjustRightInd w:val="0"/>
        <w:snapToGrid w:val="0"/>
        <w:spacing w:line="560" w:lineRule="exact"/>
        <w:ind w:firstLine="560"/>
        <w:textAlignment w:val="auto"/>
        <w:rPr>
          <w:rFonts w:hint="eastAsia" w:ascii="仿宋_GB2312" w:hAnsi="仿宋_GB2312" w:eastAsia="仿宋_GB2312" w:cs="仿宋_GB2312"/>
          <w:bCs/>
          <w:kern w:val="2"/>
          <w:sz w:val="32"/>
          <w:szCs w:val="32"/>
          <w:highlight w:val="none"/>
        </w:rPr>
      </w:pPr>
      <w:r>
        <w:rPr>
          <w:rFonts w:hint="eastAsia" w:ascii="仿宋_GB2312" w:hAnsi="仿宋_GB2312" w:eastAsia="仿宋_GB2312" w:cs="仿宋_GB2312"/>
          <w:bCs/>
          <w:sz w:val="32"/>
          <w:szCs w:val="32"/>
          <w:highlight w:val="none"/>
        </w:rPr>
        <w:t>本项目不接受联合体竞标或分标段投标。</w:t>
      </w:r>
      <w:r>
        <w:rPr>
          <w:rFonts w:hint="eastAsia" w:ascii="仿宋_GB2312" w:hAnsi="仿宋_GB2312" w:eastAsia="仿宋_GB2312" w:cs="仿宋_GB2312"/>
          <w:bCs/>
          <w:kern w:val="2"/>
          <w:sz w:val="32"/>
          <w:szCs w:val="32"/>
          <w:highlight w:val="none"/>
        </w:rPr>
        <w:t>投标人应如实提供资质信息及随附证明文件，不得弄虚作假，提供虚假资质信息或虚假的随附证明文件一经查实，取消本项目投标资格，同时三年内不得参加招标人其他项目招标或采购。</w:t>
      </w:r>
    </w:p>
    <w:p w14:paraId="22A6CD25">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黑体" w:hAnsi="黑体" w:eastAsia="黑体" w:cs="黑体"/>
          <w:b w:val="0"/>
          <w:sz w:val="32"/>
          <w:szCs w:val="32"/>
          <w:highlight w:val="none"/>
          <w:lang w:val="en-US" w:eastAsia="zh-CN"/>
        </w:rPr>
      </w:pPr>
      <w:bookmarkStart w:id="28" w:name="_Toc9504"/>
      <w:r>
        <w:rPr>
          <w:rFonts w:hint="eastAsia" w:ascii="黑体" w:hAnsi="黑体" w:eastAsia="黑体" w:cs="黑体"/>
          <w:b w:val="0"/>
          <w:sz w:val="32"/>
          <w:szCs w:val="32"/>
          <w:highlight w:val="none"/>
          <w:lang w:val="en-US" w:eastAsia="zh-CN"/>
        </w:rPr>
        <w:t>四、项目概况及服务需求</w:t>
      </w:r>
      <w:bookmarkEnd w:id="28"/>
    </w:p>
    <w:p w14:paraId="529FFA78">
      <w:pPr>
        <w:keepNext w:val="0"/>
        <w:keepLines w:val="0"/>
        <w:pageBreakBefore w:val="0"/>
        <w:widowControl w:val="0"/>
        <w:numPr>
          <w:ilvl w:val="0"/>
          <w:numId w:val="5"/>
        </w:numPr>
        <w:kinsoku/>
        <w:wordWrap w:val="0"/>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Cs/>
          <w:sz w:val="32"/>
          <w:szCs w:val="32"/>
          <w:highlight w:val="none"/>
          <w:lang w:val="en-US" w:eastAsia="zh-CN"/>
        </w:rPr>
      </w:pPr>
      <w:bookmarkStart w:id="29" w:name="_Toc15949_WPSOffice_Level2"/>
      <w:r>
        <w:rPr>
          <w:rFonts w:hint="eastAsia" w:ascii="楷体_GB2312" w:hAnsi="楷体_GB2312" w:eastAsia="楷体_GB2312" w:cs="楷体_GB2312"/>
          <w:bCs/>
          <w:sz w:val="32"/>
          <w:szCs w:val="32"/>
          <w:highlight w:val="none"/>
          <w:lang w:val="en-US" w:eastAsia="zh-CN"/>
        </w:rPr>
        <w:t>项目内容</w:t>
      </w:r>
      <w:bookmarkEnd w:id="29"/>
    </w:p>
    <w:p w14:paraId="36D045BE">
      <w:pPr>
        <w:keepNext w:val="0"/>
        <w:keepLines w:val="0"/>
        <w:pageBreakBefore w:val="0"/>
        <w:widowControl/>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在项目周期内，根据招标人外派员工性别、年龄，根据分项限价设计适宜于招标人外派员工体检套餐并提供体检服务，</w:t>
      </w:r>
      <w:r>
        <w:rPr>
          <w:rFonts w:hint="eastAsia" w:ascii="仿宋_GB2312" w:hAnsi="仿宋_GB2312" w:eastAsia="仿宋_GB2312" w:cs="仿宋_GB2312"/>
          <w:bCs/>
          <w:sz w:val="32"/>
          <w:szCs w:val="32"/>
          <w:highlight w:val="none"/>
          <w:lang w:val="en-US" w:eastAsia="zh-CN"/>
        </w:rPr>
        <w:t>及时</w:t>
      </w:r>
      <w:r>
        <w:rPr>
          <w:rFonts w:hint="eastAsia" w:ascii="仿宋_GB2312" w:hAnsi="仿宋_GB2312" w:eastAsia="仿宋_GB2312" w:cs="仿宋_GB2312"/>
          <w:bCs/>
          <w:sz w:val="32"/>
          <w:szCs w:val="32"/>
          <w:highlight w:val="none"/>
        </w:rPr>
        <w:t xml:space="preserve">出具体检结果与报告，提供健康管理建议。  </w:t>
      </w:r>
    </w:p>
    <w:p w14:paraId="5CDDCD27">
      <w:pPr>
        <w:keepNext w:val="0"/>
        <w:keepLines w:val="0"/>
        <w:pageBreakBefore w:val="0"/>
        <w:widowControl w:val="0"/>
        <w:numPr>
          <w:ilvl w:val="0"/>
          <w:numId w:val="5"/>
        </w:numPr>
        <w:kinsoku/>
        <w:wordWrap w:val="0"/>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Cs/>
          <w:sz w:val="32"/>
          <w:szCs w:val="32"/>
          <w:highlight w:val="none"/>
          <w:lang w:val="en-US" w:eastAsia="zh-CN"/>
        </w:rPr>
      </w:pPr>
      <w:r>
        <w:rPr>
          <w:rFonts w:hint="eastAsia" w:ascii="楷体_GB2312" w:hAnsi="楷体_GB2312" w:eastAsia="楷体_GB2312" w:cs="楷体_GB2312"/>
          <w:bCs/>
          <w:sz w:val="32"/>
          <w:szCs w:val="32"/>
          <w:highlight w:val="none"/>
          <w:lang w:val="en-US" w:eastAsia="zh-CN"/>
        </w:rPr>
        <w:t>项目期限</w:t>
      </w:r>
    </w:p>
    <w:p w14:paraId="02D516B4">
      <w:pPr>
        <w:keepNext w:val="0"/>
        <w:keepLines w:val="0"/>
        <w:pageBreakBefore w:val="0"/>
        <w:widowControl/>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 xml:space="preserve">本项目期限为订立合同之日起至招标人指定外派员工年度体检全部完成。 </w:t>
      </w:r>
    </w:p>
    <w:p w14:paraId="10B323B4">
      <w:pPr>
        <w:keepNext w:val="0"/>
        <w:keepLines w:val="0"/>
        <w:pageBreakBefore w:val="0"/>
        <w:widowControl w:val="0"/>
        <w:numPr>
          <w:ilvl w:val="0"/>
          <w:numId w:val="5"/>
        </w:numPr>
        <w:kinsoku/>
        <w:wordWrap w:val="0"/>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Cs/>
          <w:sz w:val="32"/>
          <w:szCs w:val="32"/>
          <w:highlight w:val="none"/>
          <w:lang w:eastAsia="zh-CN"/>
        </w:rPr>
      </w:pPr>
      <w:r>
        <w:rPr>
          <w:rFonts w:hint="eastAsia" w:ascii="楷体_GB2312" w:hAnsi="楷体_GB2312" w:eastAsia="楷体_GB2312" w:cs="楷体_GB2312"/>
          <w:bCs/>
          <w:sz w:val="32"/>
          <w:szCs w:val="32"/>
          <w:highlight w:val="none"/>
          <w:lang w:eastAsia="zh-CN"/>
        </w:rPr>
        <w:t>项目总限价</w:t>
      </w:r>
    </w:p>
    <w:p w14:paraId="69744DB4">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Cs/>
          <w:sz w:val="32"/>
          <w:szCs w:val="32"/>
          <w:highlight w:val="none"/>
          <w:lang w:eastAsia="zh-CN"/>
        </w:rPr>
      </w:pPr>
      <w:r>
        <w:rPr>
          <w:rFonts w:hint="eastAsia" w:ascii="Times New Roman" w:hAnsi="Times New Roman" w:eastAsia="仿宋_GB2312" w:cs="仿宋_GB2312"/>
          <w:bCs/>
          <w:color w:val="000000"/>
          <w:sz w:val="32"/>
          <w:szCs w:val="32"/>
          <w:highlight w:val="none"/>
          <w:lang w:eastAsia="zh-CN"/>
        </w:rPr>
        <w:t>不超过人民币462,620元（含增值税）。</w:t>
      </w:r>
    </w:p>
    <w:p w14:paraId="6689E4D2">
      <w:pPr>
        <w:keepNext w:val="0"/>
        <w:keepLines w:val="0"/>
        <w:pageBreakBefore w:val="0"/>
        <w:widowControl w:val="0"/>
        <w:numPr>
          <w:ilvl w:val="0"/>
          <w:numId w:val="5"/>
        </w:numPr>
        <w:kinsoku/>
        <w:wordWrap w:val="0"/>
        <w:overflowPunct/>
        <w:topLinePunct w:val="0"/>
        <w:autoSpaceDE/>
        <w:autoSpaceDN/>
        <w:bidi w:val="0"/>
        <w:adjustRightInd/>
        <w:snapToGrid/>
        <w:spacing w:line="560" w:lineRule="exact"/>
        <w:ind w:firstLine="640" w:firstLineChars="200"/>
        <w:jc w:val="both"/>
        <w:textAlignment w:val="auto"/>
        <w:rPr>
          <w:rFonts w:hint="default" w:ascii="楷体_GB2312" w:hAnsi="楷体_GB2312" w:eastAsia="楷体_GB2312" w:cs="楷体_GB2312"/>
          <w:bCs/>
          <w:sz w:val="32"/>
          <w:szCs w:val="32"/>
          <w:highlight w:val="none"/>
          <w:lang w:val="en-US" w:eastAsia="zh-CN"/>
        </w:rPr>
      </w:pPr>
      <w:r>
        <w:rPr>
          <w:rFonts w:hint="eastAsia" w:ascii="楷体_GB2312" w:hAnsi="楷体_GB2312" w:eastAsia="楷体_GB2312" w:cs="楷体_GB2312"/>
          <w:bCs/>
          <w:sz w:val="32"/>
          <w:szCs w:val="32"/>
          <w:highlight w:val="none"/>
          <w:lang w:val="en-US" w:eastAsia="zh-CN"/>
        </w:rPr>
        <w:t>项目执行分项限价</w:t>
      </w:r>
    </w:p>
    <w:tbl>
      <w:tblPr>
        <w:tblStyle w:val="15"/>
        <w:tblpPr w:leftFromText="180" w:rightFromText="180" w:vertAnchor="text" w:horzAnchor="page" w:tblpX="1250" w:tblpY="232"/>
        <w:tblOverlap w:val="never"/>
        <w:tblW w:w="875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188"/>
        <w:gridCol w:w="1866"/>
        <w:gridCol w:w="2510"/>
        <w:gridCol w:w="2188"/>
      </w:tblGrid>
      <w:tr w14:paraId="191945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2188" w:type="dxa"/>
            <w:tcBorders>
              <w:tl2br w:val="nil"/>
              <w:tr2bl w:val="nil"/>
            </w:tcBorders>
            <w:noWrap w:val="0"/>
            <w:tcMar>
              <w:top w:w="15" w:type="dxa"/>
              <w:left w:w="15" w:type="dxa"/>
              <w:right w:w="15" w:type="dxa"/>
            </w:tcMar>
            <w:vAlign w:val="center"/>
          </w:tcPr>
          <w:p w14:paraId="3869CC4D">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
                <w:color w:val="000000"/>
                <w:sz w:val="22"/>
                <w:szCs w:val="22"/>
                <w:highlight w:val="none"/>
              </w:rPr>
            </w:pPr>
            <w:r>
              <w:rPr>
                <w:rFonts w:hint="eastAsia" w:ascii="Times New Roman" w:hAnsi="Times New Roman" w:eastAsia="宋体" w:cs="宋体"/>
                <w:b/>
                <w:color w:val="000000"/>
                <w:kern w:val="0"/>
                <w:sz w:val="22"/>
                <w:szCs w:val="22"/>
                <w:highlight w:val="none"/>
              </w:rPr>
              <w:t>体检套餐标准限价</w:t>
            </w:r>
          </w:p>
        </w:tc>
        <w:tc>
          <w:tcPr>
            <w:tcW w:w="1866" w:type="dxa"/>
            <w:tcBorders>
              <w:tl2br w:val="nil"/>
              <w:tr2bl w:val="nil"/>
            </w:tcBorders>
            <w:noWrap w:val="0"/>
            <w:tcMar>
              <w:top w:w="15" w:type="dxa"/>
              <w:left w:w="15" w:type="dxa"/>
              <w:right w:w="15" w:type="dxa"/>
            </w:tcMar>
            <w:vAlign w:val="center"/>
          </w:tcPr>
          <w:p w14:paraId="5A060BFA">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
                <w:color w:val="000000"/>
                <w:sz w:val="22"/>
                <w:szCs w:val="22"/>
                <w:highlight w:val="none"/>
              </w:rPr>
            </w:pPr>
            <w:r>
              <w:rPr>
                <w:rFonts w:hint="eastAsia" w:ascii="Times New Roman" w:hAnsi="Times New Roman" w:eastAsia="宋体" w:cs="宋体"/>
                <w:b/>
                <w:color w:val="000000"/>
                <w:kern w:val="0"/>
                <w:sz w:val="22"/>
                <w:szCs w:val="22"/>
                <w:highlight w:val="none"/>
              </w:rPr>
              <w:t>预计体检人数</w:t>
            </w:r>
          </w:p>
        </w:tc>
        <w:tc>
          <w:tcPr>
            <w:tcW w:w="2510" w:type="dxa"/>
            <w:tcBorders>
              <w:tl2br w:val="nil"/>
              <w:tr2bl w:val="nil"/>
            </w:tcBorders>
            <w:noWrap w:val="0"/>
            <w:tcMar>
              <w:top w:w="15" w:type="dxa"/>
              <w:left w:w="15" w:type="dxa"/>
              <w:right w:w="15" w:type="dxa"/>
            </w:tcMar>
            <w:vAlign w:val="center"/>
          </w:tcPr>
          <w:p w14:paraId="283FA62D">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
                <w:color w:val="000000"/>
                <w:sz w:val="22"/>
                <w:szCs w:val="22"/>
                <w:highlight w:val="none"/>
              </w:rPr>
            </w:pPr>
            <w:r>
              <w:rPr>
                <w:rFonts w:hint="eastAsia" w:ascii="Times New Roman" w:hAnsi="Times New Roman" w:eastAsia="宋体" w:cs="宋体"/>
                <w:b/>
                <w:color w:val="000000"/>
                <w:kern w:val="0"/>
                <w:sz w:val="22"/>
                <w:szCs w:val="22"/>
                <w:highlight w:val="none"/>
              </w:rPr>
              <w:t>服务地点</w:t>
            </w:r>
          </w:p>
        </w:tc>
        <w:tc>
          <w:tcPr>
            <w:tcW w:w="2188" w:type="dxa"/>
            <w:tcBorders>
              <w:tl2br w:val="nil"/>
              <w:tr2bl w:val="nil"/>
            </w:tcBorders>
            <w:noWrap w:val="0"/>
            <w:tcMar>
              <w:top w:w="15" w:type="dxa"/>
              <w:left w:w="15" w:type="dxa"/>
              <w:right w:w="15" w:type="dxa"/>
            </w:tcMar>
            <w:vAlign w:val="center"/>
          </w:tcPr>
          <w:p w14:paraId="64B8C7FB">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
                <w:color w:val="000000"/>
                <w:sz w:val="22"/>
                <w:szCs w:val="22"/>
                <w:highlight w:val="none"/>
              </w:rPr>
            </w:pPr>
            <w:r>
              <w:rPr>
                <w:rFonts w:hint="eastAsia" w:ascii="Times New Roman" w:hAnsi="Times New Roman" w:eastAsia="宋体" w:cs="宋体"/>
                <w:b/>
                <w:color w:val="000000"/>
                <w:kern w:val="0"/>
                <w:sz w:val="22"/>
                <w:szCs w:val="22"/>
                <w:highlight w:val="none"/>
              </w:rPr>
              <w:t>备注</w:t>
            </w:r>
          </w:p>
        </w:tc>
      </w:tr>
      <w:tr w14:paraId="0CF20B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2188" w:type="dxa"/>
            <w:tcBorders>
              <w:tl2br w:val="nil"/>
              <w:tr2bl w:val="nil"/>
            </w:tcBorders>
            <w:noWrap w:val="0"/>
            <w:tcMar>
              <w:top w:w="15" w:type="dxa"/>
              <w:left w:w="15" w:type="dxa"/>
              <w:right w:w="15" w:type="dxa"/>
            </w:tcMar>
            <w:vAlign w:val="center"/>
          </w:tcPr>
          <w:p w14:paraId="7C7F1DF7">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标准不超过360元/人</w:t>
            </w:r>
          </w:p>
        </w:tc>
        <w:tc>
          <w:tcPr>
            <w:tcW w:w="1866" w:type="dxa"/>
            <w:tcBorders>
              <w:tl2br w:val="nil"/>
              <w:tr2bl w:val="nil"/>
            </w:tcBorders>
            <w:noWrap w:val="0"/>
            <w:tcMar>
              <w:top w:w="15" w:type="dxa"/>
              <w:left w:w="15" w:type="dxa"/>
              <w:right w:w="15" w:type="dxa"/>
            </w:tcMar>
            <w:vAlign w:val="center"/>
          </w:tcPr>
          <w:p w14:paraId="0B91C1BE">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150</w:t>
            </w:r>
          </w:p>
        </w:tc>
        <w:tc>
          <w:tcPr>
            <w:tcW w:w="2510" w:type="dxa"/>
            <w:tcBorders>
              <w:tl2br w:val="nil"/>
              <w:tr2bl w:val="nil"/>
            </w:tcBorders>
            <w:noWrap w:val="0"/>
            <w:tcMar>
              <w:top w:w="15" w:type="dxa"/>
              <w:left w:w="15" w:type="dxa"/>
              <w:right w:w="15" w:type="dxa"/>
            </w:tcMar>
            <w:vAlign w:val="center"/>
          </w:tcPr>
          <w:p w14:paraId="68A58181">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深圳市光明区</w:t>
            </w:r>
          </w:p>
        </w:tc>
        <w:tc>
          <w:tcPr>
            <w:tcW w:w="2188" w:type="dxa"/>
            <w:tcBorders>
              <w:tl2br w:val="nil"/>
              <w:tr2bl w:val="nil"/>
            </w:tcBorders>
            <w:noWrap w:val="0"/>
            <w:tcMar>
              <w:top w:w="15" w:type="dxa"/>
              <w:left w:w="15" w:type="dxa"/>
              <w:right w:w="15" w:type="dxa"/>
            </w:tcMar>
            <w:vAlign w:val="center"/>
          </w:tcPr>
          <w:p w14:paraId="4600EE05">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男141人，女9人（未婚3，已婚6）</w:t>
            </w:r>
          </w:p>
        </w:tc>
      </w:tr>
      <w:tr w14:paraId="7B8F55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2188" w:type="dxa"/>
            <w:tcBorders>
              <w:tl2br w:val="nil"/>
              <w:tr2bl w:val="nil"/>
            </w:tcBorders>
            <w:noWrap w:val="0"/>
            <w:tcMar>
              <w:top w:w="15" w:type="dxa"/>
              <w:left w:w="15" w:type="dxa"/>
              <w:right w:w="15" w:type="dxa"/>
            </w:tcMar>
            <w:vAlign w:val="center"/>
          </w:tcPr>
          <w:p w14:paraId="3DE792D0">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标准不超过390元/人</w:t>
            </w:r>
          </w:p>
        </w:tc>
        <w:tc>
          <w:tcPr>
            <w:tcW w:w="1866" w:type="dxa"/>
            <w:tcBorders>
              <w:tl2br w:val="nil"/>
              <w:tr2bl w:val="nil"/>
            </w:tcBorders>
            <w:noWrap w:val="0"/>
            <w:tcMar>
              <w:top w:w="15" w:type="dxa"/>
              <w:left w:w="15" w:type="dxa"/>
              <w:right w:w="15" w:type="dxa"/>
            </w:tcMar>
            <w:vAlign w:val="center"/>
          </w:tcPr>
          <w:p w14:paraId="2568FB7C">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208</w:t>
            </w:r>
          </w:p>
        </w:tc>
        <w:tc>
          <w:tcPr>
            <w:tcW w:w="2510" w:type="dxa"/>
            <w:tcBorders>
              <w:tl2br w:val="nil"/>
              <w:tr2bl w:val="nil"/>
            </w:tcBorders>
            <w:noWrap w:val="0"/>
            <w:tcMar>
              <w:top w:w="15" w:type="dxa"/>
              <w:left w:w="15" w:type="dxa"/>
              <w:right w:w="15" w:type="dxa"/>
            </w:tcMar>
            <w:vAlign w:val="center"/>
          </w:tcPr>
          <w:p w14:paraId="42669ED6">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深圳龙岗、苏州、惠州大亚湾、深圳福田</w:t>
            </w:r>
          </w:p>
        </w:tc>
        <w:tc>
          <w:tcPr>
            <w:tcW w:w="2188" w:type="dxa"/>
            <w:tcBorders>
              <w:tl2br w:val="nil"/>
              <w:tr2bl w:val="nil"/>
            </w:tcBorders>
            <w:noWrap w:val="0"/>
            <w:tcMar>
              <w:top w:w="15" w:type="dxa"/>
              <w:left w:w="15" w:type="dxa"/>
              <w:right w:w="15" w:type="dxa"/>
            </w:tcMar>
            <w:vAlign w:val="center"/>
          </w:tcPr>
          <w:p w14:paraId="5588924C">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男23人，女185人（未婚71，已婚114）</w:t>
            </w:r>
          </w:p>
        </w:tc>
      </w:tr>
      <w:tr w14:paraId="7C6B50F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2188" w:type="dxa"/>
            <w:tcBorders>
              <w:tl2br w:val="nil"/>
              <w:tr2bl w:val="nil"/>
            </w:tcBorders>
            <w:noWrap w:val="0"/>
            <w:tcMar>
              <w:top w:w="15" w:type="dxa"/>
              <w:left w:w="15" w:type="dxa"/>
              <w:right w:w="15" w:type="dxa"/>
            </w:tcMar>
            <w:vAlign w:val="center"/>
          </w:tcPr>
          <w:p w14:paraId="6B47C09F">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标准不超过500元/人</w:t>
            </w:r>
          </w:p>
        </w:tc>
        <w:tc>
          <w:tcPr>
            <w:tcW w:w="1866" w:type="dxa"/>
            <w:tcBorders>
              <w:tl2br w:val="nil"/>
              <w:tr2bl w:val="nil"/>
            </w:tcBorders>
            <w:noWrap w:val="0"/>
            <w:tcMar>
              <w:top w:w="15" w:type="dxa"/>
              <w:left w:w="15" w:type="dxa"/>
              <w:right w:w="15" w:type="dxa"/>
            </w:tcMar>
            <w:vAlign w:val="center"/>
          </w:tcPr>
          <w:p w14:paraId="5B4D84BC">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625</w:t>
            </w:r>
          </w:p>
        </w:tc>
        <w:tc>
          <w:tcPr>
            <w:tcW w:w="2510" w:type="dxa"/>
            <w:tcBorders>
              <w:tl2br w:val="nil"/>
              <w:tr2bl w:val="nil"/>
            </w:tcBorders>
            <w:noWrap w:val="0"/>
            <w:tcMar>
              <w:top w:w="15" w:type="dxa"/>
              <w:left w:w="15" w:type="dxa"/>
              <w:right w:w="15" w:type="dxa"/>
            </w:tcMar>
            <w:vAlign w:val="center"/>
          </w:tcPr>
          <w:p w14:paraId="52AF07AE">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深圳（龙岗、大鹏、福田）、台山、惠州大亚湾、中山、成都、大连、苏州、防城港、阳江、广州</w:t>
            </w:r>
          </w:p>
        </w:tc>
        <w:tc>
          <w:tcPr>
            <w:tcW w:w="2188" w:type="dxa"/>
            <w:tcBorders>
              <w:tl2br w:val="nil"/>
              <w:tr2bl w:val="nil"/>
            </w:tcBorders>
            <w:noWrap w:val="0"/>
            <w:tcMar>
              <w:top w:w="15" w:type="dxa"/>
              <w:left w:w="15" w:type="dxa"/>
              <w:right w:w="15" w:type="dxa"/>
            </w:tcMar>
            <w:vAlign w:val="center"/>
          </w:tcPr>
          <w:p w14:paraId="2F53BADB">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男211人，女414人（未婚163，已婚251）</w:t>
            </w:r>
          </w:p>
        </w:tc>
      </w:tr>
      <w:tr w14:paraId="6A12E1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2188" w:type="dxa"/>
            <w:tcBorders>
              <w:tl2br w:val="nil"/>
              <w:tr2bl w:val="nil"/>
            </w:tcBorders>
            <w:noWrap w:val="0"/>
            <w:tcMar>
              <w:top w:w="15" w:type="dxa"/>
              <w:left w:w="15" w:type="dxa"/>
              <w:right w:w="15" w:type="dxa"/>
            </w:tcMar>
            <w:vAlign w:val="center"/>
          </w:tcPr>
          <w:p w14:paraId="2741F90B">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标准不超过1000元/人</w:t>
            </w:r>
          </w:p>
        </w:tc>
        <w:tc>
          <w:tcPr>
            <w:tcW w:w="1866" w:type="dxa"/>
            <w:tcBorders>
              <w:tl2br w:val="nil"/>
              <w:tr2bl w:val="nil"/>
            </w:tcBorders>
            <w:noWrap w:val="0"/>
            <w:tcMar>
              <w:top w:w="15" w:type="dxa"/>
              <w:left w:w="15" w:type="dxa"/>
              <w:right w:w="15" w:type="dxa"/>
            </w:tcMar>
            <w:vAlign w:val="center"/>
          </w:tcPr>
          <w:p w14:paraId="7BA34180">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15</w:t>
            </w:r>
          </w:p>
        </w:tc>
        <w:tc>
          <w:tcPr>
            <w:tcW w:w="2510" w:type="dxa"/>
            <w:tcBorders>
              <w:tl2br w:val="nil"/>
              <w:tr2bl w:val="nil"/>
            </w:tcBorders>
            <w:noWrap w:val="0"/>
            <w:tcMar>
              <w:top w:w="15" w:type="dxa"/>
              <w:left w:w="15" w:type="dxa"/>
              <w:right w:w="15" w:type="dxa"/>
            </w:tcMar>
            <w:vAlign w:val="center"/>
          </w:tcPr>
          <w:p w14:paraId="727B641A">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深圳（龙岗、大鹏）、成都、上海、苏州</w:t>
            </w:r>
          </w:p>
        </w:tc>
        <w:tc>
          <w:tcPr>
            <w:tcW w:w="2188" w:type="dxa"/>
            <w:tcBorders>
              <w:tl2br w:val="nil"/>
              <w:tr2bl w:val="nil"/>
            </w:tcBorders>
            <w:noWrap w:val="0"/>
            <w:tcMar>
              <w:top w:w="15" w:type="dxa"/>
              <w:left w:w="15" w:type="dxa"/>
              <w:right w:w="15" w:type="dxa"/>
            </w:tcMar>
            <w:vAlign w:val="center"/>
          </w:tcPr>
          <w:p w14:paraId="117717BD">
            <w:pPr>
              <w:keepNext w:val="0"/>
              <w:keepLines w:val="0"/>
              <w:pageBreakBefore w:val="0"/>
              <w:widowControl w:val="0"/>
              <w:kinsoku/>
              <w:wordWrap w:val="0"/>
              <w:overflowPunct/>
              <w:topLinePunct w:val="0"/>
              <w:autoSpaceDE/>
              <w:autoSpaceDN/>
              <w:bidi w:val="0"/>
              <w:adjustRightInd/>
              <w:snapToGrid/>
              <w:spacing w:line="280" w:lineRule="exact"/>
              <w:jc w:val="center"/>
              <w:textAlignment w:val="center"/>
              <w:rPr>
                <w:rFonts w:ascii="Times New Roman" w:hAnsi="Times New Roman" w:eastAsia="宋体" w:cs="宋体"/>
                <w:bCs/>
                <w:color w:val="000000"/>
                <w:sz w:val="22"/>
                <w:szCs w:val="22"/>
                <w:highlight w:val="none"/>
              </w:rPr>
            </w:pPr>
            <w:r>
              <w:rPr>
                <w:rFonts w:hint="eastAsia" w:ascii="Times New Roman" w:hAnsi="Times New Roman" w:eastAsia="宋体" w:cs="宋体"/>
                <w:bCs/>
                <w:color w:val="000000"/>
                <w:kern w:val="0"/>
                <w:sz w:val="22"/>
                <w:szCs w:val="22"/>
                <w:highlight w:val="none"/>
              </w:rPr>
              <w:t>男10人，女5人（未婚0，已婚5）</w:t>
            </w:r>
          </w:p>
        </w:tc>
      </w:tr>
      <w:tr w14:paraId="2F7475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2188" w:type="dxa"/>
            <w:tcBorders>
              <w:tl2br w:val="nil"/>
              <w:tr2bl w:val="nil"/>
            </w:tcBorders>
            <w:noWrap w:val="0"/>
            <w:tcMar>
              <w:top w:w="15" w:type="dxa"/>
              <w:left w:w="15" w:type="dxa"/>
              <w:right w:w="15" w:type="dxa"/>
            </w:tcMar>
            <w:vAlign w:val="center"/>
          </w:tcPr>
          <w:p w14:paraId="2E4BAB38">
            <w:pPr>
              <w:keepNext w:val="0"/>
              <w:keepLines w:val="0"/>
              <w:pageBreakBefore w:val="0"/>
              <w:widowControl w:val="0"/>
              <w:kinsoku/>
              <w:wordWrap w:val="0"/>
              <w:overflowPunct/>
              <w:topLinePunct w:val="0"/>
              <w:autoSpaceDE/>
              <w:autoSpaceDN/>
              <w:bidi w:val="0"/>
              <w:adjustRightInd/>
              <w:snapToGrid/>
              <w:spacing w:line="280" w:lineRule="exact"/>
              <w:ind w:firstLine="220" w:firstLineChars="100"/>
              <w:jc w:val="center"/>
              <w:textAlignment w:val="center"/>
              <w:rPr>
                <w:rFonts w:hint="default" w:ascii="Times New Roman" w:hAnsi="Times New Roman" w:eastAsia="宋体" w:cs="宋体"/>
                <w:b w:val="0"/>
                <w:bCs w:val="0"/>
                <w:color w:val="000000"/>
                <w:sz w:val="22"/>
                <w:szCs w:val="22"/>
                <w:highlight w:val="none"/>
                <w:lang w:val="en-US" w:eastAsia="zh-CN"/>
              </w:rPr>
            </w:pPr>
            <w:r>
              <w:rPr>
                <w:rFonts w:hint="eastAsia" w:ascii="Times New Roman" w:hAnsi="Times New Roman" w:eastAsia="宋体" w:cs="宋体"/>
                <w:b w:val="0"/>
                <w:bCs w:val="0"/>
                <w:color w:val="000000"/>
                <w:sz w:val="22"/>
                <w:szCs w:val="22"/>
                <w:highlight w:val="none"/>
                <w:lang w:val="en-US" w:eastAsia="zh-CN"/>
              </w:rPr>
              <w:t>合计</w:t>
            </w:r>
          </w:p>
        </w:tc>
        <w:tc>
          <w:tcPr>
            <w:tcW w:w="1866" w:type="dxa"/>
            <w:tcBorders>
              <w:tl2br w:val="nil"/>
              <w:tr2bl w:val="nil"/>
            </w:tcBorders>
            <w:noWrap w:val="0"/>
            <w:tcMar>
              <w:top w:w="15" w:type="dxa"/>
              <w:left w:w="15" w:type="dxa"/>
              <w:right w:w="15" w:type="dxa"/>
            </w:tcMar>
            <w:vAlign w:val="center"/>
          </w:tcPr>
          <w:p w14:paraId="2B36AED0">
            <w:pPr>
              <w:keepNext w:val="0"/>
              <w:keepLines w:val="0"/>
              <w:pageBreakBefore w:val="0"/>
              <w:widowControl w:val="0"/>
              <w:kinsoku/>
              <w:wordWrap w:val="0"/>
              <w:overflowPunct/>
              <w:topLinePunct w:val="0"/>
              <w:autoSpaceDE/>
              <w:autoSpaceDN/>
              <w:bidi w:val="0"/>
              <w:adjustRightInd/>
              <w:snapToGrid/>
              <w:spacing w:line="280" w:lineRule="exact"/>
              <w:ind w:firstLine="220" w:firstLineChars="100"/>
              <w:jc w:val="center"/>
              <w:textAlignment w:val="center"/>
              <w:rPr>
                <w:rFonts w:hint="default" w:ascii="Times New Roman" w:hAnsi="Times New Roman" w:eastAsia="宋体" w:cs="宋体"/>
                <w:b w:val="0"/>
                <w:bCs w:val="0"/>
                <w:color w:val="000000"/>
                <w:sz w:val="22"/>
                <w:szCs w:val="22"/>
                <w:highlight w:val="none"/>
                <w:lang w:val="en-US" w:eastAsia="zh-CN"/>
              </w:rPr>
            </w:pPr>
            <w:r>
              <w:rPr>
                <w:rFonts w:hint="eastAsia" w:ascii="Times New Roman" w:hAnsi="Times New Roman" w:eastAsia="宋体" w:cs="宋体"/>
                <w:b w:val="0"/>
                <w:bCs w:val="0"/>
                <w:color w:val="000000"/>
                <w:sz w:val="22"/>
                <w:szCs w:val="22"/>
                <w:highlight w:val="none"/>
                <w:lang w:val="en-US" w:eastAsia="zh-CN"/>
              </w:rPr>
              <w:t>998</w:t>
            </w:r>
          </w:p>
        </w:tc>
        <w:tc>
          <w:tcPr>
            <w:tcW w:w="2510" w:type="dxa"/>
            <w:tcBorders>
              <w:tl2br w:val="nil"/>
              <w:tr2bl w:val="nil"/>
            </w:tcBorders>
            <w:noWrap w:val="0"/>
            <w:tcMar>
              <w:top w:w="15" w:type="dxa"/>
              <w:left w:w="15" w:type="dxa"/>
              <w:right w:w="15" w:type="dxa"/>
            </w:tcMar>
            <w:vAlign w:val="center"/>
          </w:tcPr>
          <w:p w14:paraId="5E867351">
            <w:pPr>
              <w:keepNext w:val="0"/>
              <w:keepLines w:val="0"/>
              <w:pageBreakBefore w:val="0"/>
              <w:widowControl w:val="0"/>
              <w:kinsoku/>
              <w:wordWrap w:val="0"/>
              <w:overflowPunct/>
              <w:topLinePunct w:val="0"/>
              <w:autoSpaceDE/>
              <w:autoSpaceDN/>
              <w:bidi w:val="0"/>
              <w:adjustRightInd/>
              <w:snapToGrid/>
              <w:spacing w:line="280" w:lineRule="exact"/>
              <w:ind w:firstLine="220" w:firstLineChars="100"/>
              <w:jc w:val="center"/>
              <w:textAlignment w:val="center"/>
              <w:rPr>
                <w:rFonts w:hint="default" w:ascii="Times New Roman" w:hAnsi="Times New Roman" w:eastAsia="宋体" w:cs="宋体"/>
                <w:b w:val="0"/>
                <w:bCs w:val="0"/>
                <w:color w:val="000000"/>
                <w:sz w:val="22"/>
                <w:szCs w:val="22"/>
                <w:highlight w:val="none"/>
                <w:lang w:val="en-US" w:eastAsia="zh-CN"/>
              </w:rPr>
            </w:pPr>
            <w:r>
              <w:rPr>
                <w:rFonts w:hint="eastAsia" w:ascii="Times New Roman" w:hAnsi="Times New Roman" w:eastAsia="宋体" w:cs="宋体"/>
                <w:b w:val="0"/>
                <w:bCs w:val="0"/>
                <w:color w:val="000000"/>
                <w:sz w:val="22"/>
                <w:szCs w:val="22"/>
                <w:highlight w:val="none"/>
                <w:lang w:val="en-US" w:eastAsia="zh-CN"/>
              </w:rPr>
              <w:t>/</w:t>
            </w:r>
          </w:p>
        </w:tc>
        <w:tc>
          <w:tcPr>
            <w:tcW w:w="2188" w:type="dxa"/>
            <w:tcBorders>
              <w:tl2br w:val="nil"/>
              <w:tr2bl w:val="nil"/>
            </w:tcBorders>
            <w:noWrap w:val="0"/>
            <w:tcMar>
              <w:top w:w="15" w:type="dxa"/>
              <w:left w:w="15" w:type="dxa"/>
              <w:right w:w="15" w:type="dxa"/>
            </w:tcMar>
            <w:vAlign w:val="center"/>
          </w:tcPr>
          <w:p w14:paraId="5316BA2E">
            <w:pPr>
              <w:keepNext w:val="0"/>
              <w:keepLines w:val="0"/>
              <w:pageBreakBefore w:val="0"/>
              <w:widowControl w:val="0"/>
              <w:kinsoku/>
              <w:wordWrap w:val="0"/>
              <w:overflowPunct/>
              <w:topLinePunct w:val="0"/>
              <w:autoSpaceDE/>
              <w:autoSpaceDN/>
              <w:bidi w:val="0"/>
              <w:adjustRightInd/>
              <w:snapToGrid/>
              <w:spacing w:line="280" w:lineRule="exact"/>
              <w:ind w:firstLine="220" w:firstLineChars="100"/>
              <w:jc w:val="center"/>
              <w:textAlignment w:val="center"/>
              <w:rPr>
                <w:rFonts w:hint="default" w:ascii="Times New Roman" w:hAnsi="Times New Roman" w:eastAsia="宋体" w:cs="宋体"/>
                <w:b w:val="0"/>
                <w:bCs w:val="0"/>
                <w:color w:val="000000"/>
                <w:sz w:val="22"/>
                <w:szCs w:val="22"/>
                <w:highlight w:val="none"/>
                <w:lang w:val="en-US" w:eastAsia="zh-CN"/>
              </w:rPr>
            </w:pPr>
            <w:r>
              <w:rPr>
                <w:rFonts w:hint="eastAsia" w:ascii="Times New Roman" w:hAnsi="Times New Roman" w:eastAsia="宋体" w:cs="宋体"/>
                <w:b w:val="0"/>
                <w:bCs w:val="0"/>
                <w:color w:val="000000"/>
                <w:sz w:val="22"/>
                <w:szCs w:val="22"/>
                <w:highlight w:val="none"/>
                <w:lang w:val="en-US" w:eastAsia="zh-CN"/>
              </w:rPr>
              <w:t>/</w:t>
            </w:r>
          </w:p>
        </w:tc>
      </w:tr>
      <w:tr w14:paraId="2C2DD7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8752" w:type="dxa"/>
            <w:gridSpan w:val="4"/>
            <w:tcBorders>
              <w:tl2br w:val="nil"/>
              <w:tr2bl w:val="nil"/>
            </w:tcBorders>
            <w:noWrap w:val="0"/>
            <w:tcMar>
              <w:top w:w="15" w:type="dxa"/>
              <w:left w:w="15" w:type="dxa"/>
              <w:right w:w="15" w:type="dxa"/>
            </w:tcMar>
            <w:vAlign w:val="center"/>
          </w:tcPr>
          <w:p w14:paraId="4BE18DCE">
            <w:pPr>
              <w:keepNext w:val="0"/>
              <w:keepLines w:val="0"/>
              <w:pageBreakBefore w:val="0"/>
              <w:widowControl w:val="0"/>
              <w:kinsoku/>
              <w:wordWrap w:val="0"/>
              <w:overflowPunct/>
              <w:topLinePunct w:val="0"/>
              <w:autoSpaceDE/>
              <w:autoSpaceDN/>
              <w:bidi w:val="0"/>
              <w:adjustRightInd/>
              <w:snapToGrid/>
              <w:spacing w:line="280" w:lineRule="exact"/>
              <w:ind w:firstLine="440" w:firstLineChars="200"/>
              <w:jc w:val="left"/>
              <w:textAlignment w:val="center"/>
              <w:rPr>
                <w:rFonts w:hint="eastAsia" w:ascii="Times New Roman" w:hAnsi="Times New Roman" w:eastAsia="宋体" w:cs="宋体"/>
                <w:b w:val="0"/>
                <w:bCs/>
                <w:color w:val="000000"/>
                <w:kern w:val="0"/>
                <w:sz w:val="22"/>
                <w:szCs w:val="22"/>
                <w:highlight w:val="none"/>
                <w:lang w:val="en-US" w:eastAsia="zh-CN"/>
              </w:rPr>
            </w:pPr>
            <w:r>
              <w:rPr>
                <w:rFonts w:hint="eastAsia" w:ascii="Times New Roman" w:hAnsi="Times New Roman" w:eastAsia="宋体" w:cs="宋体"/>
                <w:b w:val="0"/>
                <w:bCs/>
                <w:color w:val="000000"/>
                <w:kern w:val="0"/>
                <w:sz w:val="22"/>
                <w:szCs w:val="22"/>
                <w:highlight w:val="none"/>
                <w:lang w:val="en-US" w:eastAsia="zh-CN"/>
              </w:rPr>
              <w:t>补充说明：</w:t>
            </w:r>
          </w:p>
          <w:p w14:paraId="7BFAB10F">
            <w:pPr>
              <w:keepNext w:val="0"/>
              <w:keepLines w:val="0"/>
              <w:pageBreakBefore w:val="0"/>
              <w:widowControl w:val="0"/>
              <w:kinsoku/>
              <w:wordWrap w:val="0"/>
              <w:overflowPunct/>
              <w:topLinePunct w:val="0"/>
              <w:autoSpaceDE/>
              <w:autoSpaceDN/>
              <w:bidi w:val="0"/>
              <w:adjustRightInd/>
              <w:snapToGrid/>
              <w:spacing w:line="280" w:lineRule="exact"/>
              <w:ind w:firstLine="440" w:firstLineChars="200"/>
              <w:jc w:val="left"/>
              <w:textAlignment w:val="center"/>
              <w:rPr>
                <w:rFonts w:hint="eastAsia" w:ascii="Times New Roman" w:hAnsi="Times New Roman" w:eastAsia="宋体" w:cs="宋体"/>
                <w:b w:val="0"/>
                <w:bCs/>
                <w:color w:val="000000"/>
                <w:kern w:val="0"/>
                <w:sz w:val="22"/>
                <w:szCs w:val="22"/>
                <w:highlight w:val="none"/>
                <w:lang w:val="en-US" w:eastAsia="zh-CN"/>
              </w:rPr>
            </w:pPr>
            <w:r>
              <w:rPr>
                <w:rFonts w:hint="eastAsia" w:ascii="Times New Roman" w:hAnsi="Times New Roman" w:eastAsia="宋体" w:cs="宋体"/>
                <w:b w:val="0"/>
                <w:bCs/>
                <w:color w:val="000000"/>
                <w:kern w:val="0"/>
                <w:sz w:val="22"/>
                <w:szCs w:val="22"/>
                <w:highlight w:val="none"/>
                <w:lang w:val="en-US" w:eastAsia="zh-CN"/>
              </w:rPr>
              <w:t>1.本文件内所有预计人数为招标人根据项目清单及目前需求情况进行的预估，如后续发生变化的，以实际参加体检人数进行结算。</w:t>
            </w:r>
          </w:p>
          <w:p w14:paraId="49223F22">
            <w:pPr>
              <w:keepNext w:val="0"/>
              <w:keepLines w:val="0"/>
              <w:pageBreakBefore w:val="0"/>
              <w:widowControl w:val="0"/>
              <w:kinsoku/>
              <w:wordWrap w:val="0"/>
              <w:overflowPunct/>
              <w:topLinePunct w:val="0"/>
              <w:autoSpaceDE/>
              <w:autoSpaceDN/>
              <w:bidi w:val="0"/>
              <w:adjustRightInd/>
              <w:snapToGrid/>
              <w:spacing w:line="280" w:lineRule="exact"/>
              <w:ind w:firstLine="440" w:firstLineChars="200"/>
              <w:jc w:val="left"/>
              <w:textAlignment w:val="center"/>
              <w:rPr>
                <w:rFonts w:hint="eastAsia" w:ascii="Times New Roman" w:hAnsi="Times New Roman" w:eastAsia="宋体" w:cs="宋体"/>
                <w:b w:val="0"/>
                <w:bCs/>
                <w:color w:val="000000"/>
                <w:kern w:val="0"/>
                <w:sz w:val="22"/>
                <w:szCs w:val="22"/>
                <w:highlight w:val="none"/>
                <w:lang w:val="en-US" w:eastAsia="zh-CN"/>
              </w:rPr>
            </w:pPr>
            <w:r>
              <w:rPr>
                <w:rFonts w:hint="eastAsia" w:ascii="Times New Roman" w:hAnsi="Times New Roman" w:eastAsia="宋体" w:cs="宋体"/>
                <w:b w:val="0"/>
                <w:bCs/>
                <w:color w:val="000000"/>
                <w:kern w:val="0"/>
                <w:sz w:val="22"/>
                <w:szCs w:val="22"/>
                <w:highlight w:val="none"/>
                <w:lang w:val="en-US" w:eastAsia="zh-CN"/>
              </w:rPr>
              <w:t>2.服务地区包括深圳（龙岗、大鹏、福田、光明）、惠州大亚湾、广州、中山、台山、阳江、成都、上海、苏州、大连、防城港等地；各套餐对应服务区域以本表为准。</w:t>
            </w:r>
          </w:p>
          <w:p w14:paraId="77EA800A">
            <w:pPr>
              <w:keepNext w:val="0"/>
              <w:keepLines w:val="0"/>
              <w:pageBreakBefore w:val="0"/>
              <w:widowControl w:val="0"/>
              <w:kinsoku/>
              <w:wordWrap w:val="0"/>
              <w:overflowPunct/>
              <w:topLinePunct w:val="0"/>
              <w:autoSpaceDE/>
              <w:autoSpaceDN/>
              <w:bidi w:val="0"/>
              <w:adjustRightInd/>
              <w:snapToGrid/>
              <w:spacing w:line="280" w:lineRule="exact"/>
              <w:ind w:firstLine="440" w:firstLineChars="200"/>
              <w:jc w:val="left"/>
              <w:textAlignment w:val="center"/>
              <w:rPr>
                <w:rFonts w:hint="eastAsia" w:ascii="Times New Roman" w:hAnsi="Times New Roman" w:eastAsia="宋体" w:cs="宋体"/>
                <w:b w:val="0"/>
                <w:bCs/>
                <w:color w:val="000000"/>
                <w:kern w:val="0"/>
                <w:sz w:val="22"/>
                <w:szCs w:val="22"/>
                <w:highlight w:val="none"/>
                <w:lang w:val="en-US" w:eastAsia="zh-CN"/>
              </w:rPr>
            </w:pPr>
            <w:r>
              <w:rPr>
                <w:rFonts w:hint="eastAsia" w:ascii="Times New Roman" w:hAnsi="Times New Roman" w:eastAsia="宋体" w:cs="宋体"/>
                <w:b w:val="0"/>
                <w:bCs/>
                <w:color w:val="000000"/>
                <w:kern w:val="0"/>
                <w:sz w:val="22"/>
                <w:szCs w:val="22"/>
                <w:highlight w:val="none"/>
                <w:lang w:val="en-US" w:eastAsia="zh-CN"/>
              </w:rPr>
              <w:t>3.分批次车辆接送路线包括宝龙工程大厦、苏州市区、大亚湾基地及光明区指定乘车点至体检机构往返，具体批次、乘车人数和接送安排由招标人另行通知。</w:t>
            </w:r>
          </w:p>
        </w:tc>
      </w:tr>
    </w:tbl>
    <w:p w14:paraId="26A3232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
          <w:sz w:val="32"/>
          <w:szCs w:val="32"/>
          <w:highlight w:val="none"/>
        </w:rPr>
      </w:pPr>
      <w:r>
        <w:rPr>
          <w:rFonts w:hint="eastAsia" w:ascii="仿宋_GB2312" w:hAnsi="仿宋_GB2312" w:eastAsia="仿宋_GB2312" w:cs="仿宋_GB2312"/>
          <w:bCs/>
          <w:sz w:val="32"/>
          <w:szCs w:val="32"/>
          <w:highlight w:val="none"/>
        </w:rPr>
        <w:t>投标人应于报价文件中明确列示各标准下单价及项目总价，无论总价或各类别分项单价超出上述对应限额的均作为废标处理。</w:t>
      </w:r>
    </w:p>
    <w:p w14:paraId="5AB3EB0F">
      <w:pPr>
        <w:keepNext w:val="0"/>
        <w:keepLines w:val="0"/>
        <w:pageBreakBefore w:val="0"/>
        <w:widowControl w:val="0"/>
        <w:numPr>
          <w:ilvl w:val="0"/>
          <w:numId w:val="5"/>
        </w:numPr>
        <w:kinsoku/>
        <w:wordWrap w:val="0"/>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Cs/>
          <w:sz w:val="32"/>
          <w:szCs w:val="32"/>
          <w:highlight w:val="none"/>
          <w:lang w:val="en-US" w:eastAsia="zh-CN"/>
        </w:rPr>
      </w:pPr>
      <w:r>
        <w:rPr>
          <w:rFonts w:hint="eastAsia" w:ascii="楷体_GB2312" w:hAnsi="楷体_GB2312" w:eastAsia="楷体_GB2312" w:cs="楷体_GB2312"/>
          <w:bCs/>
          <w:sz w:val="32"/>
          <w:szCs w:val="32"/>
          <w:highlight w:val="none"/>
          <w:lang w:val="en-US" w:eastAsia="zh-CN"/>
        </w:rPr>
        <w:t>项目需求</w:t>
      </w:r>
    </w:p>
    <w:p w14:paraId="025AAED2">
      <w:pPr>
        <w:keepNext w:val="0"/>
        <w:keepLines w:val="0"/>
        <w:pageBreakBefore w:val="0"/>
        <w:widowControl w:val="0"/>
        <w:kinsoku/>
        <w:wordWrap w:val="0"/>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1.投标人应为在中国境内注册并具有独立法人资格、经营范围具有相关资格的合法企业，有能力按照本招标文件规定的要求提供招标服务，能独立承担本招标文件所示民事等法律责任和合同义务。</w:t>
      </w:r>
    </w:p>
    <w:p w14:paraId="6886BB9D">
      <w:pPr>
        <w:keepNext w:val="0"/>
        <w:keepLines w:val="0"/>
        <w:pageBreakBefore w:val="0"/>
        <w:widowControl w:val="0"/>
        <w:kinsoku/>
        <w:wordWrap w:val="0"/>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2.投标人应为招标人外派员工提供便利的线上、线下体检预约渠道，同时设置合理体检服务期限，开设企业综合专场，同时为逾期未能参加综合专场体检服务员工提供灵活、机动、合理的体检服务补检；</w:t>
      </w:r>
    </w:p>
    <w:p w14:paraId="49C3F10C">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3.投标人配备的体检医生团队具备合法合规的执业资质、扎实的临床诊疗能力、丰富的体检服务经验及良好的职业素养，确保体检结果的准确性、解读的专业性及服务的规范性，为员工提供科学、可靠的健康评估。</w:t>
      </w:r>
    </w:p>
    <w:p w14:paraId="3433BAB0">
      <w:pPr>
        <w:keepNext w:val="0"/>
        <w:keepLines w:val="0"/>
        <w:pageBreakBefore w:val="0"/>
        <w:widowControl w:val="0"/>
        <w:kinsoku/>
        <w:wordWrap w:val="0"/>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color w:val="000000"/>
          <w:sz w:val="32"/>
          <w:szCs w:val="32"/>
          <w:highlight w:val="none"/>
          <w:lang w:val="en-US" w:eastAsia="zh-CN"/>
        </w:rPr>
        <w:t>4.投标人提供的体检服务地点应至少包含以下区域：深圳（含龙岗、大鹏、福田、光明）、惠州大亚湾、广州、中山、台山、阳江、成都、上海、苏州、大连、防城港等地区；各套餐对应服务区域、人数及结算上限见第一章分项限价表。</w:t>
      </w:r>
    </w:p>
    <w:p w14:paraId="5DCC28A1">
      <w:pPr>
        <w:keepNext w:val="0"/>
        <w:keepLines w:val="0"/>
        <w:pageBreakBefore w:val="0"/>
        <w:widowControl w:val="0"/>
        <w:kinsoku/>
        <w:wordWrap w:val="0"/>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val="en-US" w:eastAsia="zh-CN"/>
        </w:rPr>
        <w:t>5</w:t>
      </w:r>
      <w:r>
        <w:rPr>
          <w:rFonts w:hint="eastAsia" w:ascii="仿宋_GB2312" w:hAnsi="仿宋_GB2312" w:eastAsia="仿宋_GB2312" w:cs="仿宋_GB2312"/>
          <w:bCs/>
          <w:sz w:val="32"/>
          <w:szCs w:val="32"/>
          <w:highlight w:val="none"/>
        </w:rPr>
        <w:t>.投标人应为招标人外派员工提供至少包含以下内容的随附服务：</w:t>
      </w:r>
    </w:p>
    <w:p w14:paraId="54B56BDB">
      <w:pPr>
        <w:keepNext w:val="0"/>
        <w:keepLines w:val="0"/>
        <w:pageBreakBefore w:val="0"/>
        <w:widowControl w:val="0"/>
        <w:kinsoku/>
        <w:wordWrap w:val="0"/>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color w:val="000000"/>
          <w:sz w:val="32"/>
          <w:szCs w:val="32"/>
          <w:highlight w:val="none"/>
          <w:lang w:eastAsia="zh-CN"/>
        </w:rPr>
      </w:pPr>
      <w:r>
        <w:rPr>
          <w:rFonts w:hint="eastAsia" w:ascii="仿宋_GB2312" w:hAnsi="仿宋_GB2312" w:eastAsia="仿宋_GB2312" w:cs="仿宋_GB2312"/>
          <w:bCs/>
          <w:color w:val="000000"/>
          <w:sz w:val="32"/>
          <w:szCs w:val="32"/>
          <w:highlight w:val="none"/>
          <w:lang w:eastAsia="zh-CN"/>
        </w:rPr>
        <w:t>（1）投标人应按下表路线提供分批次车辆接送服务，具体批次由招标人另行通知：</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4"/>
        <w:gridCol w:w="1186"/>
        <w:gridCol w:w="1534"/>
        <w:gridCol w:w="1799"/>
        <w:gridCol w:w="1933"/>
      </w:tblGrid>
      <w:tr w14:paraId="44F05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2234" w:type="dxa"/>
            <w:vAlign w:val="center"/>
          </w:tcPr>
          <w:p w14:paraId="44A5A35F">
            <w:pPr>
              <w:keepNext w:val="0"/>
              <w:keepLines w:val="0"/>
              <w:pageBreakBefore w:val="0"/>
              <w:widowControl w:val="0"/>
              <w:kinsoku/>
              <w:wordWrap w:val="0"/>
              <w:overflowPunct/>
              <w:topLinePunct w:val="0"/>
              <w:autoSpaceDE/>
              <w:autoSpaceDN/>
              <w:bidi w:val="0"/>
              <w:adjustRightInd/>
              <w:snapToGrid w:val="0"/>
              <w:spacing w:line="280" w:lineRule="exact"/>
              <w:jc w:val="center"/>
              <w:textAlignment w:val="auto"/>
              <w:rPr>
                <w:rFonts w:hint="default" w:ascii="Times New Roman Regular" w:hAnsi="Times New Roman Regular" w:eastAsia="黑体" w:cs="Times New Roman Regular"/>
                <w:b w:val="0"/>
                <w:bCs/>
                <w:color w:val="000000"/>
                <w:sz w:val="20"/>
                <w:szCs w:val="20"/>
                <w:highlight w:val="none"/>
                <w:vertAlign w:val="baseline"/>
                <w:lang w:val="en-US" w:eastAsia="zh-CN"/>
              </w:rPr>
            </w:pPr>
            <w:r>
              <w:rPr>
                <w:rFonts w:hint="default" w:ascii="Times New Roman Regular" w:hAnsi="Times New Roman Regular" w:eastAsia="黑体" w:cs="Times New Roman Regular"/>
                <w:b w:val="0"/>
                <w:bCs/>
                <w:color w:val="000000"/>
                <w:sz w:val="20"/>
                <w:szCs w:val="20"/>
                <w:highlight w:val="none"/>
                <w:vertAlign w:val="baseline"/>
                <w:lang w:val="en-US" w:eastAsia="zh-CN"/>
              </w:rPr>
              <w:t>需要接送地区</w:t>
            </w:r>
          </w:p>
        </w:tc>
        <w:tc>
          <w:tcPr>
            <w:tcW w:w="1186" w:type="dxa"/>
            <w:vAlign w:val="center"/>
          </w:tcPr>
          <w:p w14:paraId="2CA45CDC">
            <w:pPr>
              <w:keepNext w:val="0"/>
              <w:keepLines w:val="0"/>
              <w:pageBreakBefore w:val="0"/>
              <w:widowControl w:val="0"/>
              <w:kinsoku/>
              <w:wordWrap w:val="0"/>
              <w:overflowPunct/>
              <w:topLinePunct w:val="0"/>
              <w:autoSpaceDE/>
              <w:autoSpaceDN/>
              <w:bidi w:val="0"/>
              <w:adjustRightInd/>
              <w:snapToGrid w:val="0"/>
              <w:spacing w:line="280" w:lineRule="exact"/>
              <w:jc w:val="center"/>
              <w:textAlignment w:val="auto"/>
              <w:rPr>
                <w:rFonts w:hint="default" w:ascii="Times New Roman Regular" w:hAnsi="Times New Roman Regular" w:eastAsia="黑体" w:cs="Times New Roman Regular"/>
                <w:b w:val="0"/>
                <w:bCs/>
                <w:color w:val="000000"/>
                <w:sz w:val="20"/>
                <w:szCs w:val="20"/>
                <w:highlight w:val="none"/>
                <w:vertAlign w:val="baseline"/>
                <w:lang w:val="en-US" w:eastAsia="zh-CN"/>
              </w:rPr>
            </w:pPr>
            <w:r>
              <w:rPr>
                <w:rFonts w:hint="default" w:ascii="Times New Roman Regular" w:hAnsi="Times New Roman Regular" w:eastAsia="黑体" w:cs="Times New Roman Regular"/>
                <w:b w:val="0"/>
                <w:bCs/>
                <w:color w:val="000000"/>
                <w:sz w:val="20"/>
                <w:szCs w:val="20"/>
                <w:highlight w:val="none"/>
                <w:vertAlign w:val="baseline"/>
                <w:lang w:val="en-US" w:eastAsia="zh-CN"/>
              </w:rPr>
              <w:t>计划参检人数</w:t>
            </w:r>
          </w:p>
        </w:tc>
        <w:tc>
          <w:tcPr>
            <w:tcW w:w="1534" w:type="dxa"/>
            <w:vAlign w:val="center"/>
          </w:tcPr>
          <w:p w14:paraId="27D3CC98">
            <w:pPr>
              <w:keepNext w:val="0"/>
              <w:keepLines w:val="0"/>
              <w:pageBreakBefore w:val="0"/>
              <w:widowControl w:val="0"/>
              <w:kinsoku/>
              <w:wordWrap w:val="0"/>
              <w:overflowPunct/>
              <w:topLinePunct w:val="0"/>
              <w:autoSpaceDE/>
              <w:autoSpaceDN/>
              <w:bidi w:val="0"/>
              <w:adjustRightInd/>
              <w:snapToGrid w:val="0"/>
              <w:spacing w:line="280" w:lineRule="exact"/>
              <w:jc w:val="center"/>
              <w:textAlignment w:val="auto"/>
              <w:rPr>
                <w:rFonts w:hint="default" w:ascii="Times New Roman Regular" w:hAnsi="Times New Roman Regular" w:eastAsia="黑体" w:cs="Times New Roman Regular"/>
                <w:b w:val="0"/>
                <w:bCs/>
                <w:color w:val="000000"/>
                <w:sz w:val="20"/>
                <w:szCs w:val="20"/>
                <w:highlight w:val="none"/>
                <w:vertAlign w:val="baseline"/>
                <w:lang w:val="en-US" w:eastAsia="zh-CN"/>
              </w:rPr>
            </w:pPr>
            <w:r>
              <w:rPr>
                <w:rFonts w:hint="default" w:ascii="Times New Roman Regular" w:hAnsi="Times New Roman Regular" w:eastAsia="黑体" w:cs="Times New Roman Regular"/>
                <w:b w:val="0"/>
                <w:bCs/>
                <w:color w:val="000000"/>
                <w:sz w:val="20"/>
                <w:szCs w:val="20"/>
                <w:highlight w:val="none"/>
                <w:vertAlign w:val="baseline"/>
                <w:lang w:val="en-US" w:eastAsia="zh-CN"/>
              </w:rPr>
              <w:t>出发地</w:t>
            </w:r>
          </w:p>
        </w:tc>
        <w:tc>
          <w:tcPr>
            <w:tcW w:w="1799" w:type="dxa"/>
            <w:vAlign w:val="center"/>
          </w:tcPr>
          <w:p w14:paraId="302A2CBE">
            <w:pPr>
              <w:keepNext w:val="0"/>
              <w:keepLines w:val="0"/>
              <w:pageBreakBefore w:val="0"/>
              <w:widowControl w:val="0"/>
              <w:kinsoku/>
              <w:wordWrap w:val="0"/>
              <w:overflowPunct/>
              <w:topLinePunct w:val="0"/>
              <w:autoSpaceDE/>
              <w:autoSpaceDN/>
              <w:bidi w:val="0"/>
              <w:adjustRightInd/>
              <w:snapToGrid w:val="0"/>
              <w:spacing w:line="280" w:lineRule="exact"/>
              <w:jc w:val="center"/>
              <w:textAlignment w:val="auto"/>
              <w:rPr>
                <w:rFonts w:hint="eastAsia" w:ascii="黑体" w:hAnsi="黑体" w:eastAsia="黑体" w:cs="黑体"/>
                <w:b w:val="0"/>
                <w:bCs/>
                <w:color w:val="000000"/>
                <w:sz w:val="20"/>
                <w:szCs w:val="20"/>
                <w:highlight w:val="none"/>
                <w:vertAlign w:val="baseline"/>
                <w:lang w:val="en-US" w:eastAsia="zh-CN"/>
              </w:rPr>
            </w:pPr>
            <w:r>
              <w:rPr>
                <w:rFonts w:hint="eastAsia" w:ascii="黑体" w:hAnsi="黑体" w:eastAsia="黑体" w:cs="黑体"/>
                <w:b w:val="0"/>
                <w:bCs/>
                <w:color w:val="000000"/>
                <w:sz w:val="20"/>
                <w:szCs w:val="20"/>
                <w:highlight w:val="none"/>
                <w:vertAlign w:val="baseline"/>
                <w:lang w:val="en-US" w:eastAsia="zh-CN"/>
              </w:rPr>
              <w:t>目的地</w:t>
            </w:r>
          </w:p>
        </w:tc>
        <w:tc>
          <w:tcPr>
            <w:tcW w:w="1933" w:type="dxa"/>
            <w:vAlign w:val="center"/>
          </w:tcPr>
          <w:p w14:paraId="02DFD952">
            <w:pPr>
              <w:keepNext w:val="0"/>
              <w:keepLines w:val="0"/>
              <w:pageBreakBefore w:val="0"/>
              <w:widowControl w:val="0"/>
              <w:kinsoku/>
              <w:wordWrap w:val="0"/>
              <w:overflowPunct/>
              <w:topLinePunct w:val="0"/>
              <w:autoSpaceDE/>
              <w:autoSpaceDN/>
              <w:bidi w:val="0"/>
              <w:adjustRightInd/>
              <w:snapToGrid w:val="0"/>
              <w:spacing w:line="280" w:lineRule="exact"/>
              <w:jc w:val="center"/>
              <w:textAlignment w:val="auto"/>
              <w:rPr>
                <w:rFonts w:hint="eastAsia" w:ascii="黑体" w:hAnsi="黑体" w:eastAsia="黑体" w:cs="黑体"/>
                <w:b w:val="0"/>
                <w:bCs/>
                <w:color w:val="000000"/>
                <w:sz w:val="20"/>
                <w:szCs w:val="20"/>
                <w:highlight w:val="none"/>
                <w:vertAlign w:val="baseline"/>
                <w:lang w:val="en-US" w:eastAsia="zh-CN"/>
              </w:rPr>
            </w:pPr>
            <w:r>
              <w:rPr>
                <w:rFonts w:hint="eastAsia" w:ascii="黑体" w:hAnsi="黑体" w:eastAsia="黑体" w:cs="黑体"/>
                <w:b w:val="0"/>
                <w:bCs/>
                <w:color w:val="000000"/>
                <w:sz w:val="20"/>
                <w:szCs w:val="20"/>
                <w:highlight w:val="none"/>
                <w:vertAlign w:val="baseline"/>
                <w:lang w:val="en-US" w:eastAsia="zh-CN"/>
              </w:rPr>
              <w:t>其他服务要求</w:t>
            </w:r>
          </w:p>
        </w:tc>
      </w:tr>
      <w:tr w14:paraId="7E566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4" w:type="dxa"/>
          </w:tcPr>
          <w:p w14:paraId="60AC506E">
            <w:pPr>
              <w:keepNext w:val="0"/>
              <w:keepLines w:val="0"/>
              <w:pageBreakBefore w:val="0"/>
              <w:widowControl w:val="0"/>
              <w:kinsoku/>
              <w:wordWrap w:val="0"/>
              <w:overflowPunct/>
              <w:topLinePunct w:val="0"/>
              <w:autoSpaceDE/>
              <w:autoSpaceDN/>
              <w:bidi w:val="0"/>
              <w:adjustRightInd/>
              <w:snapToGrid w:val="0"/>
              <w:spacing w:line="280" w:lineRule="exact"/>
              <w:jc w:val="left"/>
              <w:textAlignment w:val="auto"/>
              <w:rPr>
                <w:rFonts w:hint="default" w:ascii="Times New Roman Regular" w:hAnsi="Times New Roman Regular" w:cs="Times New Roman Regular" w:eastAsiaTheme="majorEastAsia"/>
                <w:bCs/>
                <w:color w:val="000000"/>
                <w:sz w:val="20"/>
                <w:szCs w:val="20"/>
                <w:highlight w:val="none"/>
                <w:vertAlign w:val="baseline"/>
                <w:lang w:val="en-US" w:eastAsia="zh-CN"/>
              </w:rPr>
            </w:pPr>
            <w:r>
              <w:rPr>
                <w:rFonts w:hint="default" w:ascii="Times New Roman Regular" w:hAnsi="Times New Roman Regular" w:cs="Times New Roman Regular"/>
                <w:color w:val="000000"/>
                <w:sz w:val="20"/>
                <w:szCs w:val="20"/>
              </w:rPr>
              <w:t>深圳市龙岗区</w:t>
            </w:r>
          </w:p>
        </w:tc>
        <w:tc>
          <w:tcPr>
            <w:tcW w:w="1186" w:type="dxa"/>
          </w:tcPr>
          <w:p w14:paraId="5A3674E3">
            <w:pPr>
              <w:keepNext w:val="0"/>
              <w:keepLines w:val="0"/>
              <w:pageBreakBefore w:val="0"/>
              <w:widowControl w:val="0"/>
              <w:kinsoku/>
              <w:wordWrap w:val="0"/>
              <w:overflowPunct/>
              <w:topLinePunct w:val="0"/>
              <w:autoSpaceDE/>
              <w:autoSpaceDN/>
              <w:bidi w:val="0"/>
              <w:adjustRightInd/>
              <w:snapToGrid w:val="0"/>
              <w:spacing w:line="280" w:lineRule="exact"/>
              <w:jc w:val="left"/>
              <w:textAlignment w:val="auto"/>
              <w:rPr>
                <w:rFonts w:hint="default" w:ascii="Times New Roman Regular" w:hAnsi="Times New Roman Regular" w:cs="Times New Roman Regular" w:eastAsiaTheme="majorEastAsia"/>
                <w:bCs/>
                <w:color w:val="000000"/>
                <w:sz w:val="20"/>
                <w:szCs w:val="20"/>
                <w:highlight w:val="none"/>
                <w:vertAlign w:val="baseline"/>
                <w:lang w:val="en-US" w:eastAsia="zh-CN"/>
              </w:rPr>
            </w:pPr>
            <w:r>
              <w:rPr>
                <w:rFonts w:hint="default" w:ascii="Times New Roman Regular" w:hAnsi="Times New Roman Regular" w:cs="Times New Roman Regular"/>
                <w:color w:val="000000"/>
                <w:sz w:val="20"/>
                <w:szCs w:val="20"/>
              </w:rPr>
              <w:t>316</w:t>
            </w:r>
          </w:p>
        </w:tc>
        <w:tc>
          <w:tcPr>
            <w:tcW w:w="1534" w:type="dxa"/>
          </w:tcPr>
          <w:p w14:paraId="6271D15C">
            <w:pPr>
              <w:keepNext w:val="0"/>
              <w:keepLines w:val="0"/>
              <w:pageBreakBefore w:val="0"/>
              <w:widowControl w:val="0"/>
              <w:kinsoku/>
              <w:wordWrap w:val="0"/>
              <w:overflowPunct/>
              <w:topLinePunct w:val="0"/>
              <w:autoSpaceDE/>
              <w:autoSpaceDN/>
              <w:bidi w:val="0"/>
              <w:adjustRightInd/>
              <w:snapToGrid w:val="0"/>
              <w:spacing w:line="280" w:lineRule="exact"/>
              <w:jc w:val="left"/>
              <w:textAlignment w:val="auto"/>
              <w:rPr>
                <w:rFonts w:hint="default" w:ascii="Times New Roman Regular" w:hAnsi="Times New Roman Regular" w:cs="Times New Roman Regular" w:eastAsiaTheme="majorEastAsia"/>
                <w:bCs/>
                <w:color w:val="000000"/>
                <w:sz w:val="20"/>
                <w:szCs w:val="20"/>
                <w:highlight w:val="none"/>
                <w:vertAlign w:val="baseline"/>
                <w:lang w:val="en-US" w:eastAsia="zh-CN"/>
              </w:rPr>
            </w:pPr>
            <w:r>
              <w:rPr>
                <w:rFonts w:hint="default" w:ascii="Times New Roman Regular" w:hAnsi="Times New Roman Regular" w:cs="Times New Roman Regular"/>
                <w:color w:val="000000"/>
                <w:sz w:val="20"/>
                <w:szCs w:val="20"/>
              </w:rPr>
              <w:t>宝龙工程大厦</w:t>
            </w:r>
          </w:p>
        </w:tc>
        <w:tc>
          <w:tcPr>
            <w:tcW w:w="1799" w:type="dxa"/>
            <w:vMerge w:val="restart"/>
            <w:vAlign w:val="center"/>
          </w:tcPr>
          <w:p w14:paraId="14578B57">
            <w:pPr>
              <w:keepNext w:val="0"/>
              <w:keepLines w:val="0"/>
              <w:pageBreakBefore w:val="0"/>
              <w:widowControl w:val="0"/>
              <w:kinsoku/>
              <w:wordWrap w:val="0"/>
              <w:overflowPunct/>
              <w:topLinePunct w:val="0"/>
              <w:autoSpaceDE/>
              <w:autoSpaceDN/>
              <w:bidi w:val="0"/>
              <w:adjustRightInd/>
              <w:snapToGrid w:val="0"/>
              <w:spacing w:line="280" w:lineRule="exact"/>
              <w:jc w:val="center"/>
              <w:textAlignment w:val="auto"/>
              <w:rPr>
                <w:rFonts w:hint="eastAsia" w:asciiTheme="majorEastAsia" w:hAnsiTheme="majorEastAsia" w:eastAsiaTheme="majorEastAsia" w:cstheme="majorEastAsia"/>
                <w:bCs/>
                <w:color w:val="000000"/>
                <w:sz w:val="20"/>
                <w:szCs w:val="20"/>
                <w:highlight w:val="none"/>
                <w:vertAlign w:val="baseline"/>
                <w:lang w:val="en-US" w:eastAsia="zh-CN"/>
              </w:rPr>
            </w:pPr>
            <w:r>
              <w:rPr>
                <w:rFonts w:hint="eastAsia" w:asciiTheme="majorEastAsia" w:hAnsiTheme="majorEastAsia" w:eastAsiaTheme="majorEastAsia" w:cstheme="majorEastAsia"/>
                <w:bCs/>
                <w:color w:val="000000"/>
                <w:sz w:val="20"/>
                <w:szCs w:val="20"/>
                <w:highlight w:val="none"/>
                <w:vertAlign w:val="baseline"/>
                <w:lang w:val="en-US" w:eastAsia="zh-CN"/>
              </w:rPr>
              <w:t>中标人服务本项目的体检机构</w:t>
            </w:r>
          </w:p>
        </w:tc>
        <w:tc>
          <w:tcPr>
            <w:tcW w:w="1933" w:type="dxa"/>
            <w:vMerge w:val="restart"/>
            <w:vAlign w:val="center"/>
          </w:tcPr>
          <w:p w14:paraId="2BCDB233">
            <w:pPr>
              <w:keepNext w:val="0"/>
              <w:keepLines w:val="0"/>
              <w:pageBreakBefore w:val="0"/>
              <w:widowControl w:val="0"/>
              <w:kinsoku/>
              <w:wordWrap w:val="0"/>
              <w:overflowPunct/>
              <w:topLinePunct w:val="0"/>
              <w:autoSpaceDE/>
              <w:autoSpaceDN/>
              <w:bidi w:val="0"/>
              <w:adjustRightInd/>
              <w:snapToGrid w:val="0"/>
              <w:spacing w:line="280" w:lineRule="exact"/>
              <w:jc w:val="center"/>
              <w:textAlignment w:val="auto"/>
              <w:rPr>
                <w:rFonts w:hint="eastAsia" w:asciiTheme="majorEastAsia" w:hAnsiTheme="majorEastAsia" w:eastAsiaTheme="majorEastAsia" w:cstheme="majorEastAsia"/>
                <w:bCs/>
                <w:color w:val="000000"/>
                <w:sz w:val="20"/>
                <w:szCs w:val="20"/>
                <w:highlight w:val="none"/>
                <w:vertAlign w:val="baseline"/>
                <w:lang w:val="en-US" w:eastAsia="zh-CN"/>
              </w:rPr>
            </w:pPr>
            <w:r>
              <w:rPr>
                <w:rFonts w:hint="eastAsia" w:asciiTheme="majorEastAsia" w:hAnsiTheme="majorEastAsia" w:eastAsiaTheme="majorEastAsia" w:cstheme="majorEastAsia"/>
                <w:bCs/>
                <w:color w:val="000000"/>
                <w:sz w:val="20"/>
                <w:szCs w:val="20"/>
                <w:highlight w:val="none"/>
                <w:vertAlign w:val="baseline"/>
                <w:lang w:val="en-US" w:eastAsia="zh-CN"/>
              </w:rPr>
              <w:t>安排分批次车辆接送；单批次集合人数达到25人以上提供车辆接送，同时为乘客购买交通保险</w:t>
            </w:r>
          </w:p>
        </w:tc>
      </w:tr>
      <w:tr w14:paraId="053FA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4" w:type="dxa"/>
          </w:tcPr>
          <w:p w14:paraId="5249F2E2">
            <w:pPr>
              <w:keepNext w:val="0"/>
              <w:keepLines w:val="0"/>
              <w:pageBreakBefore w:val="0"/>
              <w:widowControl w:val="0"/>
              <w:kinsoku/>
              <w:wordWrap w:val="0"/>
              <w:overflowPunct/>
              <w:topLinePunct w:val="0"/>
              <w:autoSpaceDE/>
              <w:autoSpaceDN/>
              <w:bidi w:val="0"/>
              <w:adjustRightInd/>
              <w:snapToGrid w:val="0"/>
              <w:spacing w:line="560" w:lineRule="exact"/>
              <w:jc w:val="left"/>
              <w:textAlignment w:val="auto"/>
              <w:rPr>
                <w:rFonts w:hint="default" w:ascii="Times New Roman Regular" w:hAnsi="Times New Roman Regular" w:cs="Times New Roman Regular" w:eastAsiaTheme="majorEastAsia"/>
                <w:bCs/>
                <w:color w:val="000000"/>
                <w:sz w:val="20"/>
                <w:szCs w:val="20"/>
                <w:highlight w:val="none"/>
                <w:vertAlign w:val="baseline"/>
                <w:lang w:val="en-US" w:eastAsia="zh-CN"/>
              </w:rPr>
            </w:pPr>
            <w:r>
              <w:rPr>
                <w:rFonts w:hint="default" w:ascii="Times New Roman Regular" w:hAnsi="Times New Roman Regular" w:cs="Times New Roman Regular"/>
                <w:color w:val="000000"/>
                <w:sz w:val="20"/>
                <w:szCs w:val="20"/>
              </w:rPr>
              <w:t>苏州市区</w:t>
            </w:r>
          </w:p>
        </w:tc>
        <w:tc>
          <w:tcPr>
            <w:tcW w:w="1186" w:type="dxa"/>
          </w:tcPr>
          <w:p w14:paraId="4F3C832E">
            <w:pPr>
              <w:keepNext w:val="0"/>
              <w:keepLines w:val="0"/>
              <w:pageBreakBefore w:val="0"/>
              <w:widowControl w:val="0"/>
              <w:kinsoku/>
              <w:wordWrap w:val="0"/>
              <w:overflowPunct/>
              <w:topLinePunct w:val="0"/>
              <w:autoSpaceDE/>
              <w:autoSpaceDN/>
              <w:bidi w:val="0"/>
              <w:adjustRightInd/>
              <w:snapToGrid w:val="0"/>
              <w:spacing w:line="560" w:lineRule="exact"/>
              <w:jc w:val="left"/>
              <w:textAlignment w:val="auto"/>
              <w:rPr>
                <w:rFonts w:hint="default" w:ascii="Times New Roman Regular" w:hAnsi="Times New Roman Regular" w:cs="Times New Roman Regular" w:eastAsiaTheme="majorEastAsia"/>
                <w:bCs/>
                <w:color w:val="000000"/>
                <w:sz w:val="20"/>
                <w:szCs w:val="20"/>
                <w:highlight w:val="none"/>
                <w:vertAlign w:val="baseline"/>
                <w:lang w:val="en-US" w:eastAsia="zh-CN"/>
              </w:rPr>
            </w:pPr>
            <w:r>
              <w:rPr>
                <w:rFonts w:hint="default" w:ascii="Times New Roman Regular" w:hAnsi="Times New Roman Regular" w:cs="Times New Roman Regular"/>
                <w:color w:val="000000"/>
                <w:sz w:val="20"/>
                <w:szCs w:val="20"/>
              </w:rPr>
              <w:t>50</w:t>
            </w:r>
          </w:p>
        </w:tc>
        <w:tc>
          <w:tcPr>
            <w:tcW w:w="1534" w:type="dxa"/>
          </w:tcPr>
          <w:p w14:paraId="4EDC6E53">
            <w:pPr>
              <w:keepNext w:val="0"/>
              <w:keepLines w:val="0"/>
              <w:pageBreakBefore w:val="0"/>
              <w:widowControl w:val="0"/>
              <w:kinsoku/>
              <w:wordWrap w:val="0"/>
              <w:overflowPunct/>
              <w:topLinePunct w:val="0"/>
              <w:autoSpaceDE/>
              <w:autoSpaceDN/>
              <w:bidi w:val="0"/>
              <w:adjustRightInd/>
              <w:snapToGrid w:val="0"/>
              <w:spacing w:line="560" w:lineRule="exact"/>
              <w:jc w:val="left"/>
              <w:textAlignment w:val="auto"/>
              <w:rPr>
                <w:rFonts w:hint="default" w:ascii="Times New Roman Regular" w:hAnsi="Times New Roman Regular" w:cs="Times New Roman Regular" w:eastAsiaTheme="majorEastAsia"/>
                <w:bCs/>
                <w:color w:val="000000"/>
                <w:sz w:val="20"/>
                <w:szCs w:val="20"/>
                <w:highlight w:val="none"/>
                <w:vertAlign w:val="baseline"/>
                <w:lang w:val="en-US" w:eastAsia="zh-CN"/>
              </w:rPr>
            </w:pPr>
            <w:r>
              <w:rPr>
                <w:rFonts w:hint="default" w:ascii="Times New Roman Regular" w:hAnsi="Times New Roman Regular" w:cs="Times New Roman Regular"/>
                <w:color w:val="000000"/>
                <w:sz w:val="20"/>
                <w:szCs w:val="20"/>
              </w:rPr>
              <w:t>苏州市区</w:t>
            </w:r>
          </w:p>
        </w:tc>
        <w:tc>
          <w:tcPr>
            <w:tcW w:w="1799" w:type="dxa"/>
            <w:vMerge w:val="continue"/>
          </w:tcPr>
          <w:p w14:paraId="793E60AB">
            <w:pPr>
              <w:keepNext w:val="0"/>
              <w:keepLines w:val="0"/>
              <w:pageBreakBefore w:val="0"/>
              <w:widowControl w:val="0"/>
              <w:kinsoku/>
              <w:wordWrap w:val="0"/>
              <w:overflowPunct/>
              <w:topLinePunct w:val="0"/>
              <w:autoSpaceDE/>
              <w:autoSpaceDN/>
              <w:bidi w:val="0"/>
              <w:adjustRightInd/>
              <w:snapToGrid w:val="0"/>
              <w:spacing w:line="560" w:lineRule="exact"/>
              <w:jc w:val="left"/>
              <w:textAlignment w:val="auto"/>
              <w:rPr>
                <w:rFonts w:hint="eastAsia" w:asciiTheme="majorEastAsia" w:hAnsiTheme="majorEastAsia" w:eastAsiaTheme="majorEastAsia" w:cstheme="majorEastAsia"/>
                <w:bCs/>
                <w:color w:val="000000"/>
                <w:sz w:val="24"/>
                <w:szCs w:val="24"/>
                <w:highlight w:val="none"/>
                <w:vertAlign w:val="baseline"/>
                <w:lang w:val="en-US" w:eastAsia="zh-CN"/>
              </w:rPr>
            </w:pPr>
          </w:p>
        </w:tc>
        <w:tc>
          <w:tcPr>
            <w:tcW w:w="1933" w:type="dxa"/>
            <w:vMerge w:val="continue"/>
          </w:tcPr>
          <w:p w14:paraId="33AB41E8">
            <w:pPr>
              <w:keepNext w:val="0"/>
              <w:keepLines w:val="0"/>
              <w:pageBreakBefore w:val="0"/>
              <w:widowControl w:val="0"/>
              <w:kinsoku/>
              <w:wordWrap w:val="0"/>
              <w:overflowPunct/>
              <w:topLinePunct w:val="0"/>
              <w:autoSpaceDE/>
              <w:autoSpaceDN/>
              <w:bidi w:val="0"/>
              <w:adjustRightInd/>
              <w:snapToGrid w:val="0"/>
              <w:spacing w:line="560" w:lineRule="exact"/>
              <w:jc w:val="left"/>
              <w:textAlignment w:val="auto"/>
              <w:rPr>
                <w:rFonts w:hint="eastAsia" w:asciiTheme="majorEastAsia" w:hAnsiTheme="majorEastAsia" w:eastAsiaTheme="majorEastAsia" w:cstheme="majorEastAsia"/>
                <w:bCs/>
                <w:color w:val="000000"/>
                <w:sz w:val="24"/>
                <w:szCs w:val="24"/>
                <w:highlight w:val="none"/>
                <w:vertAlign w:val="baseline"/>
                <w:lang w:val="en-US" w:eastAsia="zh-CN"/>
              </w:rPr>
            </w:pPr>
          </w:p>
        </w:tc>
      </w:tr>
      <w:tr w14:paraId="587C2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4" w:type="dxa"/>
          </w:tcPr>
          <w:p w14:paraId="2F2F760B">
            <w:pPr>
              <w:keepNext w:val="0"/>
              <w:keepLines w:val="0"/>
              <w:pageBreakBefore w:val="0"/>
              <w:widowControl w:val="0"/>
              <w:kinsoku/>
              <w:wordWrap w:val="0"/>
              <w:overflowPunct/>
              <w:topLinePunct w:val="0"/>
              <w:autoSpaceDE/>
              <w:autoSpaceDN/>
              <w:bidi w:val="0"/>
              <w:adjustRightInd/>
              <w:snapToGrid w:val="0"/>
              <w:spacing w:line="560" w:lineRule="exact"/>
              <w:jc w:val="left"/>
              <w:textAlignment w:val="auto"/>
              <w:rPr>
                <w:rFonts w:hint="default" w:ascii="Times New Roman Regular" w:hAnsi="Times New Roman Regular" w:cs="Times New Roman Regular" w:eastAsiaTheme="majorEastAsia"/>
                <w:bCs/>
                <w:color w:val="000000"/>
                <w:sz w:val="20"/>
                <w:szCs w:val="20"/>
                <w:highlight w:val="none"/>
                <w:vertAlign w:val="baseline"/>
                <w:lang w:val="en-US" w:eastAsia="zh-CN"/>
              </w:rPr>
            </w:pPr>
            <w:r>
              <w:rPr>
                <w:rFonts w:hint="default" w:ascii="Times New Roman Regular" w:hAnsi="Times New Roman Regular" w:cs="Times New Roman Regular"/>
                <w:color w:val="000000"/>
                <w:sz w:val="20"/>
                <w:szCs w:val="20"/>
              </w:rPr>
              <w:t>大亚湾基地</w:t>
            </w:r>
          </w:p>
        </w:tc>
        <w:tc>
          <w:tcPr>
            <w:tcW w:w="1186" w:type="dxa"/>
          </w:tcPr>
          <w:p w14:paraId="4DA0A162">
            <w:pPr>
              <w:keepNext w:val="0"/>
              <w:keepLines w:val="0"/>
              <w:pageBreakBefore w:val="0"/>
              <w:widowControl w:val="0"/>
              <w:kinsoku/>
              <w:wordWrap w:val="0"/>
              <w:overflowPunct/>
              <w:topLinePunct w:val="0"/>
              <w:autoSpaceDE/>
              <w:autoSpaceDN/>
              <w:bidi w:val="0"/>
              <w:adjustRightInd/>
              <w:snapToGrid w:val="0"/>
              <w:spacing w:line="560" w:lineRule="exact"/>
              <w:jc w:val="left"/>
              <w:textAlignment w:val="auto"/>
              <w:rPr>
                <w:rFonts w:hint="default" w:ascii="Times New Roman Regular" w:hAnsi="Times New Roman Regular" w:cs="Times New Roman Regular" w:eastAsiaTheme="majorEastAsia"/>
                <w:bCs/>
                <w:color w:val="000000"/>
                <w:sz w:val="20"/>
                <w:szCs w:val="20"/>
                <w:highlight w:val="none"/>
                <w:vertAlign w:val="baseline"/>
                <w:lang w:val="en-US" w:eastAsia="zh-CN"/>
              </w:rPr>
            </w:pPr>
            <w:r>
              <w:rPr>
                <w:rFonts w:hint="default" w:ascii="Times New Roman Regular" w:hAnsi="Times New Roman Regular" w:cs="Times New Roman Regular"/>
                <w:color w:val="000000"/>
                <w:sz w:val="20"/>
                <w:szCs w:val="20"/>
              </w:rPr>
              <w:t>425</w:t>
            </w:r>
          </w:p>
        </w:tc>
        <w:tc>
          <w:tcPr>
            <w:tcW w:w="1534" w:type="dxa"/>
          </w:tcPr>
          <w:p w14:paraId="72EB7E00">
            <w:pPr>
              <w:keepNext w:val="0"/>
              <w:keepLines w:val="0"/>
              <w:pageBreakBefore w:val="0"/>
              <w:widowControl w:val="0"/>
              <w:kinsoku/>
              <w:wordWrap w:val="0"/>
              <w:overflowPunct/>
              <w:topLinePunct w:val="0"/>
              <w:autoSpaceDE/>
              <w:autoSpaceDN/>
              <w:bidi w:val="0"/>
              <w:adjustRightInd/>
              <w:snapToGrid w:val="0"/>
              <w:spacing w:line="560" w:lineRule="exact"/>
              <w:jc w:val="left"/>
              <w:textAlignment w:val="auto"/>
              <w:rPr>
                <w:rFonts w:hint="default" w:ascii="Times New Roman Regular" w:hAnsi="Times New Roman Regular" w:cs="Times New Roman Regular" w:eastAsiaTheme="majorEastAsia"/>
                <w:bCs/>
                <w:color w:val="000000"/>
                <w:sz w:val="20"/>
                <w:szCs w:val="20"/>
                <w:highlight w:val="none"/>
                <w:vertAlign w:val="baseline"/>
                <w:lang w:val="en-US" w:eastAsia="zh-CN"/>
              </w:rPr>
            </w:pPr>
            <w:r>
              <w:rPr>
                <w:rFonts w:hint="default" w:ascii="Times New Roman Regular" w:hAnsi="Times New Roman Regular" w:cs="Times New Roman Regular"/>
                <w:color w:val="000000"/>
                <w:sz w:val="20"/>
                <w:szCs w:val="20"/>
              </w:rPr>
              <w:t>大亚湾基地</w:t>
            </w:r>
          </w:p>
        </w:tc>
        <w:tc>
          <w:tcPr>
            <w:tcW w:w="1799" w:type="dxa"/>
            <w:vMerge w:val="continue"/>
          </w:tcPr>
          <w:p w14:paraId="51FCC7A1">
            <w:pPr>
              <w:keepNext w:val="0"/>
              <w:keepLines w:val="0"/>
              <w:pageBreakBefore w:val="0"/>
              <w:widowControl w:val="0"/>
              <w:kinsoku/>
              <w:wordWrap w:val="0"/>
              <w:overflowPunct/>
              <w:topLinePunct w:val="0"/>
              <w:autoSpaceDE/>
              <w:autoSpaceDN/>
              <w:bidi w:val="0"/>
              <w:adjustRightInd/>
              <w:snapToGrid w:val="0"/>
              <w:spacing w:line="560" w:lineRule="exact"/>
              <w:jc w:val="left"/>
              <w:textAlignment w:val="auto"/>
              <w:rPr>
                <w:rFonts w:hint="eastAsia" w:asciiTheme="majorEastAsia" w:hAnsiTheme="majorEastAsia" w:eastAsiaTheme="majorEastAsia" w:cstheme="majorEastAsia"/>
                <w:bCs/>
                <w:color w:val="000000"/>
                <w:sz w:val="24"/>
                <w:szCs w:val="24"/>
                <w:highlight w:val="none"/>
                <w:vertAlign w:val="baseline"/>
                <w:lang w:val="en-US" w:eastAsia="zh-CN"/>
              </w:rPr>
            </w:pPr>
          </w:p>
        </w:tc>
        <w:tc>
          <w:tcPr>
            <w:tcW w:w="1933" w:type="dxa"/>
            <w:vMerge w:val="continue"/>
          </w:tcPr>
          <w:p w14:paraId="4E5326E0">
            <w:pPr>
              <w:keepNext w:val="0"/>
              <w:keepLines w:val="0"/>
              <w:pageBreakBefore w:val="0"/>
              <w:widowControl w:val="0"/>
              <w:kinsoku/>
              <w:wordWrap w:val="0"/>
              <w:overflowPunct/>
              <w:topLinePunct w:val="0"/>
              <w:autoSpaceDE/>
              <w:autoSpaceDN/>
              <w:bidi w:val="0"/>
              <w:adjustRightInd/>
              <w:snapToGrid w:val="0"/>
              <w:spacing w:line="560" w:lineRule="exact"/>
              <w:jc w:val="left"/>
              <w:textAlignment w:val="auto"/>
              <w:rPr>
                <w:rFonts w:hint="eastAsia" w:asciiTheme="majorEastAsia" w:hAnsiTheme="majorEastAsia" w:eastAsiaTheme="majorEastAsia" w:cstheme="majorEastAsia"/>
                <w:bCs/>
                <w:color w:val="000000"/>
                <w:sz w:val="24"/>
                <w:szCs w:val="24"/>
                <w:highlight w:val="none"/>
                <w:vertAlign w:val="baseline"/>
                <w:lang w:val="en-US" w:eastAsia="zh-CN"/>
              </w:rPr>
            </w:pPr>
          </w:p>
        </w:tc>
      </w:tr>
      <w:tr w14:paraId="1C89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4" w:type="dxa"/>
          </w:tcPr>
          <w:p w14:paraId="20D5F65F">
            <w:pPr>
              <w:keepNext w:val="0"/>
              <w:keepLines w:val="0"/>
              <w:pageBreakBefore w:val="0"/>
              <w:widowControl w:val="0"/>
              <w:kinsoku/>
              <w:wordWrap w:val="0"/>
              <w:overflowPunct/>
              <w:topLinePunct w:val="0"/>
              <w:autoSpaceDE/>
              <w:autoSpaceDN/>
              <w:bidi w:val="0"/>
              <w:adjustRightInd/>
              <w:snapToGrid w:val="0"/>
              <w:spacing w:line="560" w:lineRule="exact"/>
              <w:jc w:val="left"/>
              <w:textAlignment w:val="auto"/>
              <w:rPr>
                <w:rFonts w:hint="default" w:ascii="Times New Roman Regular" w:hAnsi="Times New Roman Regular" w:cs="Times New Roman Regular" w:eastAsiaTheme="majorEastAsia"/>
                <w:bCs/>
                <w:color w:val="000000"/>
                <w:sz w:val="20"/>
                <w:szCs w:val="20"/>
                <w:highlight w:val="none"/>
                <w:vertAlign w:val="baseline"/>
                <w:lang w:val="en-US" w:eastAsia="zh-CN"/>
              </w:rPr>
            </w:pPr>
            <w:r>
              <w:rPr>
                <w:rFonts w:hint="default" w:ascii="Times New Roman Regular" w:hAnsi="Times New Roman Regular" w:cs="Times New Roman Regular"/>
                <w:color w:val="000000"/>
                <w:sz w:val="20"/>
                <w:szCs w:val="20"/>
              </w:rPr>
              <w:t>深圳市光明区</w:t>
            </w:r>
          </w:p>
        </w:tc>
        <w:tc>
          <w:tcPr>
            <w:tcW w:w="1186" w:type="dxa"/>
          </w:tcPr>
          <w:p w14:paraId="05DF9A10">
            <w:pPr>
              <w:keepNext w:val="0"/>
              <w:keepLines w:val="0"/>
              <w:pageBreakBefore w:val="0"/>
              <w:widowControl w:val="0"/>
              <w:kinsoku/>
              <w:wordWrap w:val="0"/>
              <w:overflowPunct/>
              <w:topLinePunct w:val="0"/>
              <w:autoSpaceDE/>
              <w:autoSpaceDN/>
              <w:bidi w:val="0"/>
              <w:adjustRightInd/>
              <w:snapToGrid w:val="0"/>
              <w:spacing w:line="560" w:lineRule="exact"/>
              <w:jc w:val="left"/>
              <w:textAlignment w:val="auto"/>
              <w:rPr>
                <w:rFonts w:hint="default" w:ascii="Times New Roman Regular" w:hAnsi="Times New Roman Regular" w:cs="Times New Roman Regular" w:eastAsiaTheme="majorEastAsia"/>
                <w:bCs/>
                <w:color w:val="000000"/>
                <w:sz w:val="20"/>
                <w:szCs w:val="20"/>
                <w:highlight w:val="none"/>
                <w:vertAlign w:val="baseline"/>
                <w:lang w:val="en-US" w:eastAsia="zh-CN"/>
              </w:rPr>
            </w:pPr>
            <w:r>
              <w:rPr>
                <w:rFonts w:hint="default" w:ascii="Times New Roman Regular" w:hAnsi="Times New Roman Regular" w:cs="Times New Roman Regular"/>
                <w:color w:val="000000"/>
                <w:sz w:val="20"/>
                <w:szCs w:val="20"/>
              </w:rPr>
              <w:t>150</w:t>
            </w:r>
          </w:p>
        </w:tc>
        <w:tc>
          <w:tcPr>
            <w:tcW w:w="1534" w:type="dxa"/>
          </w:tcPr>
          <w:p w14:paraId="5CE54218">
            <w:pPr>
              <w:keepNext w:val="0"/>
              <w:keepLines w:val="0"/>
              <w:pageBreakBefore w:val="0"/>
              <w:widowControl w:val="0"/>
              <w:kinsoku/>
              <w:wordWrap w:val="0"/>
              <w:overflowPunct/>
              <w:topLinePunct w:val="0"/>
              <w:autoSpaceDE/>
              <w:autoSpaceDN/>
              <w:bidi w:val="0"/>
              <w:adjustRightInd/>
              <w:snapToGrid w:val="0"/>
              <w:spacing w:line="560" w:lineRule="exact"/>
              <w:jc w:val="left"/>
              <w:textAlignment w:val="auto"/>
              <w:rPr>
                <w:rFonts w:hint="default" w:ascii="Times New Roman Regular" w:hAnsi="Times New Roman Regular" w:cs="Times New Roman Regular" w:eastAsiaTheme="majorEastAsia"/>
                <w:bCs/>
                <w:color w:val="000000"/>
                <w:sz w:val="20"/>
                <w:szCs w:val="20"/>
                <w:highlight w:val="none"/>
                <w:vertAlign w:val="baseline"/>
                <w:lang w:val="en-US" w:eastAsia="zh-CN"/>
              </w:rPr>
            </w:pPr>
            <w:r>
              <w:rPr>
                <w:rFonts w:hint="default" w:ascii="Times New Roman Regular" w:hAnsi="Times New Roman Regular" w:cs="Times New Roman Regular"/>
                <w:color w:val="000000"/>
                <w:sz w:val="20"/>
                <w:szCs w:val="20"/>
              </w:rPr>
              <w:t>光明区公明滨河东路268号</w:t>
            </w:r>
          </w:p>
        </w:tc>
        <w:tc>
          <w:tcPr>
            <w:tcW w:w="1799" w:type="dxa"/>
            <w:vMerge w:val="continue"/>
          </w:tcPr>
          <w:p w14:paraId="7DF6A22B">
            <w:pPr>
              <w:keepNext w:val="0"/>
              <w:keepLines w:val="0"/>
              <w:pageBreakBefore w:val="0"/>
              <w:widowControl w:val="0"/>
              <w:kinsoku/>
              <w:wordWrap w:val="0"/>
              <w:overflowPunct/>
              <w:topLinePunct w:val="0"/>
              <w:autoSpaceDE/>
              <w:autoSpaceDN/>
              <w:bidi w:val="0"/>
              <w:adjustRightInd/>
              <w:snapToGrid w:val="0"/>
              <w:spacing w:line="560" w:lineRule="exact"/>
              <w:jc w:val="left"/>
              <w:textAlignment w:val="auto"/>
              <w:rPr>
                <w:rFonts w:hint="eastAsia" w:asciiTheme="majorEastAsia" w:hAnsiTheme="majorEastAsia" w:eastAsiaTheme="majorEastAsia" w:cstheme="majorEastAsia"/>
                <w:bCs/>
                <w:color w:val="000000"/>
                <w:sz w:val="24"/>
                <w:szCs w:val="24"/>
                <w:highlight w:val="none"/>
                <w:vertAlign w:val="baseline"/>
                <w:lang w:val="en-US" w:eastAsia="zh-CN"/>
              </w:rPr>
            </w:pPr>
          </w:p>
        </w:tc>
        <w:tc>
          <w:tcPr>
            <w:tcW w:w="1933" w:type="dxa"/>
            <w:vMerge w:val="continue"/>
          </w:tcPr>
          <w:p w14:paraId="5B8B18EF">
            <w:pPr>
              <w:keepNext w:val="0"/>
              <w:keepLines w:val="0"/>
              <w:pageBreakBefore w:val="0"/>
              <w:widowControl w:val="0"/>
              <w:kinsoku/>
              <w:wordWrap w:val="0"/>
              <w:overflowPunct/>
              <w:topLinePunct w:val="0"/>
              <w:autoSpaceDE/>
              <w:autoSpaceDN/>
              <w:bidi w:val="0"/>
              <w:adjustRightInd/>
              <w:snapToGrid w:val="0"/>
              <w:spacing w:line="560" w:lineRule="exact"/>
              <w:jc w:val="left"/>
              <w:textAlignment w:val="auto"/>
              <w:rPr>
                <w:rFonts w:hint="eastAsia" w:asciiTheme="majorEastAsia" w:hAnsiTheme="majorEastAsia" w:eastAsiaTheme="majorEastAsia" w:cstheme="majorEastAsia"/>
                <w:bCs/>
                <w:color w:val="000000"/>
                <w:sz w:val="24"/>
                <w:szCs w:val="24"/>
                <w:highlight w:val="none"/>
                <w:vertAlign w:val="baseline"/>
                <w:lang w:val="en-US" w:eastAsia="zh-CN"/>
              </w:rPr>
            </w:pPr>
          </w:p>
        </w:tc>
      </w:tr>
    </w:tbl>
    <w:p w14:paraId="2811DF26">
      <w:pPr>
        <w:keepNext w:val="0"/>
        <w:keepLines w:val="0"/>
        <w:pageBreakBefore w:val="0"/>
        <w:widowControl w:val="0"/>
        <w:kinsoku/>
        <w:wordWrap w:val="0"/>
        <w:overflowPunct/>
        <w:topLinePunct w:val="0"/>
        <w:autoSpaceDE/>
        <w:autoSpaceDN/>
        <w:bidi w:val="0"/>
        <w:adjustRightInd/>
        <w:snapToGrid w:val="0"/>
        <w:spacing w:line="560" w:lineRule="exact"/>
        <w:ind w:firstLine="640" w:firstLineChars="200"/>
        <w:jc w:val="left"/>
        <w:textAlignment w:val="auto"/>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color w:val="000000"/>
          <w:sz w:val="32"/>
          <w:szCs w:val="32"/>
          <w:highlight w:val="none"/>
          <w:lang w:eastAsia="zh-CN"/>
        </w:rPr>
        <w:t>（2）个人纸质及电子版体检报告（如员工有特别要求的，需提供纸质版本）；</w:t>
      </w:r>
    </w:p>
    <w:p w14:paraId="47393BAA">
      <w:pPr>
        <w:keepNext w:val="0"/>
        <w:keepLines w:val="0"/>
        <w:pageBreakBefore w:val="0"/>
        <w:widowControl w:val="0"/>
        <w:kinsoku/>
        <w:wordWrap w:val="0"/>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color w:val="000000"/>
          <w:sz w:val="32"/>
          <w:szCs w:val="32"/>
          <w:highlight w:val="none"/>
          <w:lang w:eastAsia="zh-CN"/>
        </w:rPr>
        <w:t>（3）体检当日营养早餐；</w:t>
      </w:r>
    </w:p>
    <w:p w14:paraId="480B58F1">
      <w:pPr>
        <w:keepNext w:val="0"/>
        <w:keepLines w:val="0"/>
        <w:pageBreakBefore w:val="0"/>
        <w:widowControl/>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color w:val="000000"/>
          <w:sz w:val="32"/>
          <w:szCs w:val="32"/>
          <w:highlight w:val="none"/>
          <w:lang w:eastAsia="zh-CN"/>
        </w:rPr>
        <w:t>（4）疑似肿瘤、癌症，重度心血管疾病，血液、血压、尿酸指标中度以上异常重大阳性结果或复查提示通知；</w:t>
      </w:r>
    </w:p>
    <w:p w14:paraId="46FBA916">
      <w:pPr>
        <w:keepNext w:val="0"/>
        <w:keepLines w:val="0"/>
        <w:pageBreakBefore w:val="0"/>
        <w:widowControl/>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color w:val="000000"/>
          <w:sz w:val="32"/>
          <w:szCs w:val="32"/>
          <w:highlight w:val="none"/>
          <w:lang w:eastAsia="zh-CN"/>
        </w:rPr>
        <w:t>（5）如发现肿瘤标志物异常，由专业医务人员提供检后复查提醒服务；</w:t>
      </w:r>
    </w:p>
    <w:p w14:paraId="172F99E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color w:val="000000"/>
          <w:sz w:val="32"/>
          <w:szCs w:val="32"/>
          <w:highlight w:val="none"/>
          <w:lang w:eastAsia="zh-CN"/>
        </w:rPr>
        <w:t>（6）肿瘤标志物异常30个工作日内免费复查；</w:t>
      </w:r>
    </w:p>
    <w:p w14:paraId="1B2D47F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bCs/>
          <w:sz w:val="32"/>
          <w:szCs w:val="32"/>
          <w:highlight w:val="none"/>
          <w:lang w:eastAsia="zh-CN"/>
        </w:rPr>
      </w:pPr>
      <w:r>
        <w:rPr>
          <w:rFonts w:hint="eastAsia" w:ascii="仿宋_GB2312" w:hAnsi="仿宋_GB2312" w:eastAsia="仿宋_GB2312" w:cs="仿宋_GB2312"/>
          <w:bCs/>
          <w:sz w:val="32"/>
          <w:szCs w:val="32"/>
          <w:highlight w:val="none"/>
          <w:lang w:val="en-US" w:eastAsia="zh-CN"/>
        </w:rPr>
        <w:t>6</w:t>
      </w:r>
      <w:r>
        <w:rPr>
          <w:rFonts w:hint="eastAsia" w:ascii="仿宋_GB2312" w:hAnsi="仿宋_GB2312" w:eastAsia="仿宋_GB2312" w:cs="仿宋_GB2312"/>
          <w:bCs/>
          <w:sz w:val="32"/>
          <w:szCs w:val="32"/>
          <w:highlight w:val="none"/>
        </w:rPr>
        <w:t>.投标人应为招标人提供外派员工团体体检汇总报告</w:t>
      </w:r>
      <w:r>
        <w:rPr>
          <w:rFonts w:hint="eastAsia" w:ascii="仿宋_GB2312" w:hAnsi="仿宋_GB2312" w:eastAsia="仿宋_GB2312" w:cs="仿宋_GB2312"/>
          <w:bCs/>
          <w:sz w:val="32"/>
          <w:szCs w:val="32"/>
          <w:highlight w:val="none"/>
          <w:lang w:eastAsia="zh-CN"/>
        </w:rPr>
        <w:t>；</w:t>
      </w:r>
    </w:p>
    <w:p w14:paraId="331BB847">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rPr>
          <w:rFonts w:hint="eastAsia" w:ascii="仿宋_GB2312" w:hAnsi="仿宋_GB2312" w:eastAsia="仿宋_GB2312" w:cs="仿宋_GB2312"/>
          <w:b/>
          <w:bCs w:val="0"/>
          <w:sz w:val="32"/>
          <w:szCs w:val="32"/>
          <w:highlight w:val="none"/>
        </w:rPr>
      </w:pPr>
      <w:r>
        <w:rPr>
          <w:rFonts w:hint="eastAsia" w:ascii="仿宋_GB2312" w:hAnsi="仿宋_GB2312" w:eastAsia="仿宋_GB2312" w:cs="仿宋_GB2312"/>
          <w:b/>
          <w:bCs w:val="0"/>
          <w:sz w:val="32"/>
          <w:szCs w:val="32"/>
          <w:highlight w:val="none"/>
          <w:lang w:val="en-US" w:eastAsia="zh-CN"/>
        </w:rPr>
        <w:t>7</w:t>
      </w:r>
      <w:r>
        <w:rPr>
          <w:rFonts w:hint="eastAsia" w:ascii="仿宋_GB2312" w:hAnsi="仿宋_GB2312" w:eastAsia="仿宋_GB2312" w:cs="仿宋_GB2312"/>
          <w:b/>
          <w:bCs w:val="0"/>
          <w:sz w:val="32"/>
          <w:szCs w:val="32"/>
          <w:highlight w:val="none"/>
        </w:rPr>
        <w:t>.投标人需根据招标文件所示限价情况在本条目所示项目基础上自行增加或提出更优方案并出具报价，不得减少基准项目或降低标准</w:t>
      </w:r>
      <w:r>
        <w:rPr>
          <w:rFonts w:hint="eastAsia" w:ascii="仿宋_GB2312" w:hAnsi="仿宋_GB2312" w:eastAsia="仿宋_GB2312" w:cs="仿宋_GB2312"/>
          <w:b/>
          <w:bCs w:val="0"/>
          <w:sz w:val="32"/>
          <w:szCs w:val="32"/>
          <w:highlight w:val="none"/>
          <w:lang w:eastAsia="zh-CN"/>
        </w:rPr>
        <w:t>。擅自删减</w:t>
      </w:r>
      <w:r>
        <w:rPr>
          <w:rFonts w:hint="eastAsia" w:ascii="仿宋_GB2312" w:hAnsi="仿宋_GB2312" w:eastAsia="仿宋_GB2312" w:cs="仿宋_GB2312"/>
          <w:b/>
          <w:bCs w:val="0"/>
          <w:sz w:val="32"/>
          <w:szCs w:val="32"/>
          <w:highlight w:val="none"/>
          <w:lang w:val="en-US" w:eastAsia="zh-CN"/>
        </w:rPr>
        <w:t>变更</w:t>
      </w:r>
      <w:r>
        <w:rPr>
          <w:rFonts w:hint="eastAsia" w:ascii="仿宋_GB2312" w:hAnsi="仿宋_GB2312" w:eastAsia="仿宋_GB2312" w:cs="仿宋_GB2312"/>
          <w:b/>
          <w:bCs w:val="0"/>
          <w:sz w:val="32"/>
          <w:szCs w:val="32"/>
          <w:highlight w:val="none"/>
          <w:lang w:eastAsia="zh-CN"/>
        </w:rPr>
        <w:t>项目或降低</w:t>
      </w:r>
      <w:r>
        <w:rPr>
          <w:rFonts w:hint="eastAsia" w:ascii="仿宋_GB2312" w:hAnsi="仿宋_GB2312" w:eastAsia="仿宋_GB2312" w:cs="仿宋_GB2312"/>
          <w:b/>
          <w:bCs w:val="0"/>
          <w:sz w:val="32"/>
          <w:szCs w:val="32"/>
          <w:highlight w:val="none"/>
        </w:rPr>
        <w:t>标准的报价文件</w:t>
      </w:r>
      <w:r>
        <w:rPr>
          <w:rFonts w:hint="eastAsia" w:ascii="仿宋_GB2312" w:hAnsi="仿宋_GB2312" w:eastAsia="仿宋_GB2312" w:cs="仿宋_GB2312"/>
          <w:b/>
          <w:bCs w:val="0"/>
          <w:sz w:val="32"/>
          <w:szCs w:val="32"/>
          <w:highlight w:val="none"/>
          <w:lang w:eastAsia="zh-CN"/>
        </w:rPr>
        <w:t>无效。</w:t>
      </w:r>
    </w:p>
    <w:p w14:paraId="1FF5F6CB">
      <w:pPr>
        <w:keepNext w:val="0"/>
        <w:keepLines w:val="0"/>
        <w:pageBreakBefore w:val="0"/>
        <w:widowControl/>
        <w:kinsoku/>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lang w:val="en-US" w:eastAsia="zh-CN"/>
        </w:rPr>
        <w:t>1）</w:t>
      </w:r>
      <w:r>
        <w:rPr>
          <w:rFonts w:hint="eastAsia" w:ascii="仿宋_GB2312" w:hAnsi="仿宋_GB2312" w:eastAsia="仿宋_GB2312" w:cs="仿宋_GB2312"/>
          <w:bCs/>
          <w:sz w:val="32"/>
          <w:szCs w:val="32"/>
          <w:highlight w:val="none"/>
        </w:rPr>
        <w:t>限价不超过390元标准套餐应至少包括以下基准项目:</w:t>
      </w:r>
    </w:p>
    <w:tbl>
      <w:tblPr>
        <w:tblStyle w:val="15"/>
        <w:tblW w:w="827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599"/>
        <w:gridCol w:w="2600"/>
        <w:gridCol w:w="3073"/>
      </w:tblGrid>
      <w:tr w14:paraId="5CDFFB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00" w:hRule="atLeast"/>
          <w:jc w:val="center"/>
        </w:trPr>
        <w:tc>
          <w:tcPr>
            <w:tcW w:w="700" w:type="dxa"/>
            <w:tcBorders>
              <w:tl2br w:val="nil"/>
              <w:tr2bl w:val="nil"/>
            </w:tcBorders>
            <w:shd w:val="clear" w:color="auto" w:fill="auto"/>
            <w:vAlign w:val="center"/>
          </w:tcPr>
          <w:p w14:paraId="05C406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b/>
                <w:bCs/>
                <w:i w:val="0"/>
                <w:iCs w:val="0"/>
                <w:color w:val="000000"/>
                <w:sz w:val="24"/>
                <w:szCs w:val="24"/>
                <w:highlight w:val="none"/>
                <w:u w:val="none"/>
              </w:rPr>
            </w:pPr>
            <w:r>
              <w:rPr>
                <w:rFonts w:hint="eastAsia" w:asciiTheme="minorEastAsia" w:hAnsiTheme="minorEastAsia" w:eastAsiaTheme="minorEastAsia" w:cstheme="minorEastAsia"/>
                <w:b/>
                <w:bCs/>
                <w:i w:val="0"/>
                <w:iCs w:val="0"/>
                <w:color w:val="000000"/>
                <w:kern w:val="0"/>
                <w:sz w:val="24"/>
                <w:szCs w:val="24"/>
                <w:highlight w:val="none"/>
                <w:u w:val="none"/>
                <w:lang w:val="en-US" w:eastAsia="zh-CN" w:bidi="ar"/>
              </w:rPr>
              <w:t>序号</w:t>
            </w:r>
          </w:p>
        </w:tc>
        <w:tc>
          <w:tcPr>
            <w:tcW w:w="1800" w:type="dxa"/>
            <w:tcBorders>
              <w:tl2br w:val="nil"/>
              <w:tr2bl w:val="nil"/>
            </w:tcBorders>
            <w:shd w:val="clear" w:color="auto" w:fill="auto"/>
            <w:vAlign w:val="center"/>
          </w:tcPr>
          <w:p w14:paraId="44E37C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b/>
                <w:bCs/>
                <w:i w:val="0"/>
                <w:iCs w:val="0"/>
                <w:color w:val="000000"/>
                <w:sz w:val="24"/>
                <w:szCs w:val="24"/>
                <w:highlight w:val="none"/>
                <w:u w:val="none"/>
              </w:rPr>
            </w:pPr>
            <w:r>
              <w:rPr>
                <w:rFonts w:hint="eastAsia" w:asciiTheme="minorEastAsia" w:hAnsiTheme="minorEastAsia" w:eastAsiaTheme="minorEastAsia" w:cstheme="minorEastAsia"/>
                <w:b/>
                <w:bCs/>
                <w:i w:val="0"/>
                <w:iCs w:val="0"/>
                <w:color w:val="000000"/>
                <w:kern w:val="0"/>
                <w:sz w:val="24"/>
                <w:szCs w:val="24"/>
                <w:highlight w:val="none"/>
                <w:u w:val="none"/>
                <w:lang w:val="en-US" w:eastAsia="zh-CN" w:bidi="ar"/>
              </w:rPr>
              <w:t>检查大类</w:t>
            </w:r>
          </w:p>
        </w:tc>
        <w:tc>
          <w:tcPr>
            <w:tcW w:w="7000" w:type="dxa"/>
            <w:tcBorders>
              <w:tl2br w:val="nil"/>
              <w:tr2bl w:val="nil"/>
            </w:tcBorders>
            <w:shd w:val="clear" w:color="auto" w:fill="auto"/>
            <w:vAlign w:val="center"/>
          </w:tcPr>
          <w:p w14:paraId="15A3A7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b/>
                <w:bCs/>
                <w:i w:val="0"/>
                <w:iCs w:val="0"/>
                <w:color w:val="000000"/>
                <w:sz w:val="24"/>
                <w:szCs w:val="24"/>
                <w:highlight w:val="none"/>
                <w:u w:val="none"/>
              </w:rPr>
            </w:pPr>
            <w:r>
              <w:rPr>
                <w:rFonts w:hint="eastAsia" w:asciiTheme="minorEastAsia" w:hAnsiTheme="minorEastAsia" w:eastAsiaTheme="minorEastAsia" w:cstheme="minorEastAsia"/>
                <w:b/>
                <w:bCs/>
                <w:i w:val="0"/>
                <w:iCs w:val="0"/>
                <w:color w:val="000000"/>
                <w:kern w:val="0"/>
                <w:sz w:val="24"/>
                <w:szCs w:val="24"/>
                <w:highlight w:val="none"/>
                <w:u w:val="none"/>
                <w:lang w:val="en-US" w:eastAsia="zh-CN" w:bidi="ar"/>
              </w:rPr>
              <w:t>基准项目</w:t>
            </w:r>
          </w:p>
        </w:tc>
      </w:tr>
      <w:tr w14:paraId="74A332B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5E9122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800" w:type="dxa"/>
            <w:tcBorders>
              <w:tl2br w:val="nil"/>
              <w:tr2bl w:val="nil"/>
            </w:tcBorders>
            <w:shd w:val="clear" w:color="auto" w:fill="auto"/>
            <w:vAlign w:val="center"/>
          </w:tcPr>
          <w:p w14:paraId="356E99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一般检查</w:t>
            </w:r>
          </w:p>
        </w:tc>
        <w:tc>
          <w:tcPr>
            <w:tcW w:w="7000" w:type="dxa"/>
            <w:tcBorders>
              <w:tl2br w:val="nil"/>
              <w:tr2bl w:val="nil"/>
            </w:tcBorders>
            <w:shd w:val="clear" w:color="auto" w:fill="auto"/>
            <w:vAlign w:val="center"/>
          </w:tcPr>
          <w:p w14:paraId="51CD7E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身高、体重</w:t>
            </w:r>
          </w:p>
        </w:tc>
      </w:tr>
      <w:tr w14:paraId="294D71C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64E896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1800" w:type="dxa"/>
            <w:tcBorders>
              <w:tl2br w:val="nil"/>
              <w:tr2bl w:val="nil"/>
            </w:tcBorders>
            <w:shd w:val="clear" w:color="auto" w:fill="auto"/>
            <w:vAlign w:val="center"/>
          </w:tcPr>
          <w:p w14:paraId="2CDC29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一般检查</w:t>
            </w:r>
          </w:p>
        </w:tc>
        <w:tc>
          <w:tcPr>
            <w:tcW w:w="7000" w:type="dxa"/>
            <w:tcBorders>
              <w:tl2br w:val="nil"/>
              <w:tr2bl w:val="nil"/>
            </w:tcBorders>
            <w:shd w:val="clear" w:color="auto" w:fill="auto"/>
            <w:vAlign w:val="center"/>
          </w:tcPr>
          <w:p w14:paraId="059C95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血压</w:t>
            </w:r>
          </w:p>
        </w:tc>
      </w:tr>
      <w:tr w14:paraId="4BD98E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5FA56E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1800" w:type="dxa"/>
            <w:tcBorders>
              <w:tl2br w:val="nil"/>
              <w:tr2bl w:val="nil"/>
            </w:tcBorders>
            <w:shd w:val="clear" w:color="auto" w:fill="auto"/>
            <w:vAlign w:val="center"/>
          </w:tcPr>
          <w:p w14:paraId="4E7642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内科</w:t>
            </w:r>
          </w:p>
        </w:tc>
        <w:tc>
          <w:tcPr>
            <w:tcW w:w="7000" w:type="dxa"/>
            <w:tcBorders>
              <w:tl2br w:val="nil"/>
              <w:tr2bl w:val="nil"/>
            </w:tcBorders>
            <w:shd w:val="clear" w:color="auto" w:fill="auto"/>
            <w:vAlign w:val="center"/>
          </w:tcPr>
          <w:p w14:paraId="1D440D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内科</w:t>
            </w:r>
          </w:p>
        </w:tc>
      </w:tr>
      <w:tr w14:paraId="3CFADF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271ADD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800" w:type="dxa"/>
            <w:tcBorders>
              <w:tl2br w:val="nil"/>
              <w:tr2bl w:val="nil"/>
            </w:tcBorders>
            <w:shd w:val="clear" w:color="auto" w:fill="auto"/>
            <w:vAlign w:val="center"/>
          </w:tcPr>
          <w:p w14:paraId="61B308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外科</w:t>
            </w:r>
          </w:p>
        </w:tc>
        <w:tc>
          <w:tcPr>
            <w:tcW w:w="7000" w:type="dxa"/>
            <w:tcBorders>
              <w:tl2br w:val="nil"/>
              <w:tr2bl w:val="nil"/>
            </w:tcBorders>
            <w:shd w:val="clear" w:color="auto" w:fill="auto"/>
            <w:vAlign w:val="center"/>
          </w:tcPr>
          <w:p w14:paraId="2E8113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外科</w:t>
            </w:r>
          </w:p>
        </w:tc>
      </w:tr>
      <w:tr w14:paraId="011FF0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3A00AB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5</w:t>
            </w:r>
          </w:p>
        </w:tc>
        <w:tc>
          <w:tcPr>
            <w:tcW w:w="1800" w:type="dxa"/>
            <w:tcBorders>
              <w:tl2br w:val="nil"/>
              <w:tr2bl w:val="nil"/>
            </w:tcBorders>
            <w:shd w:val="clear" w:color="auto" w:fill="auto"/>
            <w:vAlign w:val="center"/>
          </w:tcPr>
          <w:p w14:paraId="19F57A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视力 色觉</w:t>
            </w:r>
          </w:p>
        </w:tc>
        <w:tc>
          <w:tcPr>
            <w:tcW w:w="7000" w:type="dxa"/>
            <w:tcBorders>
              <w:tl2br w:val="nil"/>
              <w:tr2bl w:val="nil"/>
            </w:tcBorders>
            <w:shd w:val="clear" w:color="auto" w:fill="auto"/>
            <w:vAlign w:val="center"/>
          </w:tcPr>
          <w:p w14:paraId="3CF41F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视力 色觉</w:t>
            </w:r>
          </w:p>
        </w:tc>
      </w:tr>
      <w:tr w14:paraId="7868B1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7F0BEB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6</w:t>
            </w:r>
          </w:p>
        </w:tc>
        <w:tc>
          <w:tcPr>
            <w:tcW w:w="1800" w:type="dxa"/>
            <w:tcBorders>
              <w:tl2br w:val="nil"/>
              <w:tr2bl w:val="nil"/>
            </w:tcBorders>
            <w:shd w:val="clear" w:color="auto" w:fill="auto"/>
            <w:vAlign w:val="center"/>
          </w:tcPr>
          <w:p w14:paraId="538D84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耳鼻咽喉科</w:t>
            </w:r>
          </w:p>
        </w:tc>
        <w:tc>
          <w:tcPr>
            <w:tcW w:w="7000" w:type="dxa"/>
            <w:tcBorders>
              <w:tl2br w:val="nil"/>
              <w:tr2bl w:val="nil"/>
            </w:tcBorders>
            <w:shd w:val="clear" w:color="auto" w:fill="auto"/>
            <w:vAlign w:val="center"/>
          </w:tcPr>
          <w:p w14:paraId="059D4C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耳鼻咽喉科</w:t>
            </w:r>
          </w:p>
        </w:tc>
      </w:tr>
      <w:tr w14:paraId="37F65B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787C73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7</w:t>
            </w:r>
          </w:p>
        </w:tc>
        <w:tc>
          <w:tcPr>
            <w:tcW w:w="1800" w:type="dxa"/>
            <w:tcBorders>
              <w:tl2br w:val="nil"/>
              <w:tr2bl w:val="nil"/>
            </w:tcBorders>
            <w:shd w:val="clear" w:color="auto" w:fill="auto"/>
            <w:vAlign w:val="center"/>
          </w:tcPr>
          <w:p w14:paraId="44591B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口腔科</w:t>
            </w:r>
          </w:p>
        </w:tc>
        <w:tc>
          <w:tcPr>
            <w:tcW w:w="7000" w:type="dxa"/>
            <w:tcBorders>
              <w:tl2br w:val="nil"/>
              <w:tr2bl w:val="nil"/>
            </w:tcBorders>
            <w:shd w:val="clear" w:color="auto" w:fill="auto"/>
            <w:vAlign w:val="center"/>
          </w:tcPr>
          <w:p w14:paraId="1EA0F4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口腔常规检查，全面了解口腔健康状况，及时发现口腔科常见疾病。</w:t>
            </w:r>
          </w:p>
        </w:tc>
      </w:tr>
      <w:tr w14:paraId="77A150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3D775A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8</w:t>
            </w:r>
          </w:p>
        </w:tc>
        <w:tc>
          <w:tcPr>
            <w:tcW w:w="1800" w:type="dxa"/>
            <w:tcBorders>
              <w:tl2br w:val="nil"/>
              <w:tr2bl w:val="nil"/>
            </w:tcBorders>
            <w:shd w:val="clear" w:color="auto" w:fill="auto"/>
            <w:vAlign w:val="center"/>
          </w:tcPr>
          <w:p w14:paraId="5E2A31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肝功能七项</w:t>
            </w:r>
          </w:p>
        </w:tc>
        <w:tc>
          <w:tcPr>
            <w:tcW w:w="7000" w:type="dxa"/>
            <w:tcBorders>
              <w:tl2br w:val="nil"/>
              <w:tr2bl w:val="nil"/>
            </w:tcBorders>
            <w:shd w:val="clear" w:color="auto" w:fill="auto"/>
            <w:vAlign w:val="center"/>
          </w:tcPr>
          <w:p w14:paraId="034EB7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丙氨酸氨基转移酶(ALT) \ 天门冬氨酸氨基转移酶(AST) \ 谷氨酰转肽酶(GGT)</w:t>
            </w:r>
          </w:p>
        </w:tc>
      </w:tr>
      <w:tr w14:paraId="4A54A7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18AC10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9</w:t>
            </w:r>
          </w:p>
        </w:tc>
        <w:tc>
          <w:tcPr>
            <w:tcW w:w="1800" w:type="dxa"/>
            <w:tcBorders>
              <w:tl2br w:val="nil"/>
              <w:tr2bl w:val="nil"/>
            </w:tcBorders>
            <w:shd w:val="clear" w:color="auto" w:fill="auto"/>
            <w:vAlign w:val="center"/>
          </w:tcPr>
          <w:p w14:paraId="79FF8A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肝功能七项</w:t>
            </w:r>
          </w:p>
        </w:tc>
        <w:tc>
          <w:tcPr>
            <w:tcW w:w="7000" w:type="dxa"/>
            <w:tcBorders>
              <w:tl2br w:val="nil"/>
              <w:tr2bl w:val="nil"/>
            </w:tcBorders>
            <w:shd w:val="clear" w:color="auto" w:fill="auto"/>
            <w:vAlign w:val="center"/>
          </w:tcPr>
          <w:p w14:paraId="5C3E2D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血清蛋白四项</w:t>
            </w:r>
          </w:p>
        </w:tc>
      </w:tr>
      <w:tr w14:paraId="309A69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480B25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10</w:t>
            </w:r>
          </w:p>
        </w:tc>
        <w:tc>
          <w:tcPr>
            <w:tcW w:w="1800" w:type="dxa"/>
            <w:tcBorders>
              <w:tl2br w:val="nil"/>
              <w:tr2bl w:val="nil"/>
            </w:tcBorders>
            <w:shd w:val="clear" w:color="auto" w:fill="auto"/>
            <w:vAlign w:val="center"/>
          </w:tcPr>
          <w:p w14:paraId="68B184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肾功能三项</w:t>
            </w:r>
          </w:p>
        </w:tc>
        <w:tc>
          <w:tcPr>
            <w:tcW w:w="7000" w:type="dxa"/>
            <w:tcBorders>
              <w:tl2br w:val="nil"/>
              <w:tr2bl w:val="nil"/>
            </w:tcBorders>
            <w:shd w:val="clear" w:color="auto" w:fill="auto"/>
            <w:vAlign w:val="center"/>
          </w:tcPr>
          <w:p w14:paraId="79C725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尿素氮(BUN)、肌酐(CR)、尿酸</w:t>
            </w:r>
          </w:p>
        </w:tc>
      </w:tr>
      <w:tr w14:paraId="6C0A90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4F0D21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11</w:t>
            </w:r>
          </w:p>
        </w:tc>
        <w:tc>
          <w:tcPr>
            <w:tcW w:w="1800" w:type="dxa"/>
            <w:tcBorders>
              <w:tl2br w:val="nil"/>
              <w:tr2bl w:val="nil"/>
            </w:tcBorders>
            <w:shd w:val="clear" w:color="auto" w:fill="auto"/>
            <w:vAlign w:val="center"/>
          </w:tcPr>
          <w:p w14:paraId="3750D6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血脂两项</w:t>
            </w:r>
          </w:p>
        </w:tc>
        <w:tc>
          <w:tcPr>
            <w:tcW w:w="7000" w:type="dxa"/>
            <w:tcBorders>
              <w:tl2br w:val="nil"/>
              <w:tr2bl w:val="nil"/>
            </w:tcBorders>
            <w:shd w:val="clear" w:color="auto" w:fill="auto"/>
            <w:vAlign w:val="center"/>
          </w:tcPr>
          <w:p w14:paraId="455B6D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总胆固醇、甘油三脂</w:t>
            </w:r>
          </w:p>
        </w:tc>
      </w:tr>
      <w:tr w14:paraId="00D359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55F932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12</w:t>
            </w:r>
          </w:p>
        </w:tc>
        <w:tc>
          <w:tcPr>
            <w:tcW w:w="1800" w:type="dxa"/>
            <w:tcBorders>
              <w:tl2br w:val="nil"/>
              <w:tr2bl w:val="nil"/>
            </w:tcBorders>
            <w:shd w:val="clear" w:color="auto" w:fill="auto"/>
            <w:vAlign w:val="center"/>
          </w:tcPr>
          <w:p w14:paraId="693398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甲功三项A</w:t>
            </w:r>
          </w:p>
        </w:tc>
        <w:tc>
          <w:tcPr>
            <w:tcW w:w="7000" w:type="dxa"/>
            <w:tcBorders>
              <w:tl2br w:val="nil"/>
              <w:tr2bl w:val="nil"/>
            </w:tcBorders>
            <w:shd w:val="clear" w:color="auto" w:fill="auto"/>
            <w:vAlign w:val="center"/>
          </w:tcPr>
          <w:p w14:paraId="4F182A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甲功三项A</w:t>
            </w:r>
          </w:p>
        </w:tc>
      </w:tr>
      <w:tr w14:paraId="4A16851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2AEE0B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13</w:t>
            </w:r>
          </w:p>
        </w:tc>
        <w:tc>
          <w:tcPr>
            <w:tcW w:w="1800" w:type="dxa"/>
            <w:tcBorders>
              <w:tl2br w:val="nil"/>
              <w:tr2bl w:val="nil"/>
            </w:tcBorders>
            <w:shd w:val="clear" w:color="auto" w:fill="auto"/>
            <w:vAlign w:val="center"/>
          </w:tcPr>
          <w:p w14:paraId="5434D3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血糖</w:t>
            </w:r>
          </w:p>
        </w:tc>
        <w:tc>
          <w:tcPr>
            <w:tcW w:w="7000" w:type="dxa"/>
            <w:tcBorders>
              <w:tl2br w:val="nil"/>
              <w:tr2bl w:val="nil"/>
            </w:tcBorders>
            <w:shd w:val="clear" w:color="auto" w:fill="auto"/>
            <w:vAlign w:val="center"/>
          </w:tcPr>
          <w:p w14:paraId="38AAF4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空腹血糖</w:t>
            </w:r>
          </w:p>
        </w:tc>
      </w:tr>
      <w:tr w14:paraId="070430B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612FB8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14</w:t>
            </w:r>
          </w:p>
        </w:tc>
        <w:tc>
          <w:tcPr>
            <w:tcW w:w="1800" w:type="dxa"/>
            <w:tcBorders>
              <w:tl2br w:val="nil"/>
              <w:tr2bl w:val="nil"/>
            </w:tcBorders>
            <w:shd w:val="clear" w:color="auto" w:fill="auto"/>
            <w:vAlign w:val="center"/>
          </w:tcPr>
          <w:p w14:paraId="4B50F2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肿瘤筛查七项</w:t>
            </w:r>
          </w:p>
        </w:tc>
        <w:tc>
          <w:tcPr>
            <w:tcW w:w="7000" w:type="dxa"/>
            <w:tcBorders>
              <w:tl2br w:val="nil"/>
              <w:tr2bl w:val="nil"/>
            </w:tcBorders>
            <w:shd w:val="clear" w:color="auto" w:fill="auto"/>
            <w:vAlign w:val="center"/>
          </w:tcPr>
          <w:p w14:paraId="23EB8D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癌胚抗原CEA(定量)</w:t>
            </w:r>
          </w:p>
        </w:tc>
      </w:tr>
      <w:tr w14:paraId="637AE56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2B8BC5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15</w:t>
            </w:r>
          </w:p>
        </w:tc>
        <w:tc>
          <w:tcPr>
            <w:tcW w:w="1800" w:type="dxa"/>
            <w:tcBorders>
              <w:tl2br w:val="nil"/>
              <w:tr2bl w:val="nil"/>
            </w:tcBorders>
            <w:shd w:val="clear" w:color="auto" w:fill="auto"/>
            <w:vAlign w:val="center"/>
          </w:tcPr>
          <w:p w14:paraId="4DC1AB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肿瘤筛查七项</w:t>
            </w:r>
          </w:p>
        </w:tc>
        <w:tc>
          <w:tcPr>
            <w:tcW w:w="7000" w:type="dxa"/>
            <w:tcBorders>
              <w:tl2br w:val="nil"/>
              <w:tr2bl w:val="nil"/>
            </w:tcBorders>
            <w:shd w:val="clear" w:color="auto" w:fill="auto"/>
            <w:vAlign w:val="center"/>
          </w:tcPr>
          <w:p w14:paraId="70B249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甲胎蛋白AFP（定量）</w:t>
            </w:r>
          </w:p>
        </w:tc>
      </w:tr>
      <w:tr w14:paraId="03A444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5B0F2B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16</w:t>
            </w:r>
          </w:p>
        </w:tc>
        <w:tc>
          <w:tcPr>
            <w:tcW w:w="1800" w:type="dxa"/>
            <w:tcBorders>
              <w:tl2br w:val="nil"/>
              <w:tr2bl w:val="nil"/>
            </w:tcBorders>
            <w:shd w:val="clear" w:color="auto" w:fill="auto"/>
            <w:vAlign w:val="center"/>
          </w:tcPr>
          <w:p w14:paraId="42E357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肿瘤筛查七项</w:t>
            </w:r>
          </w:p>
        </w:tc>
        <w:tc>
          <w:tcPr>
            <w:tcW w:w="7000" w:type="dxa"/>
            <w:tcBorders>
              <w:tl2br w:val="nil"/>
              <w:tr2bl w:val="nil"/>
            </w:tcBorders>
            <w:shd w:val="clear" w:color="auto" w:fill="auto"/>
            <w:vAlign w:val="center"/>
          </w:tcPr>
          <w:p w14:paraId="49547A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糖类抗原242</w:t>
            </w:r>
          </w:p>
        </w:tc>
      </w:tr>
      <w:tr w14:paraId="087581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619BBE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17</w:t>
            </w:r>
          </w:p>
        </w:tc>
        <w:tc>
          <w:tcPr>
            <w:tcW w:w="1800" w:type="dxa"/>
            <w:tcBorders>
              <w:tl2br w:val="nil"/>
              <w:tr2bl w:val="nil"/>
            </w:tcBorders>
            <w:shd w:val="clear" w:color="auto" w:fill="auto"/>
            <w:vAlign w:val="center"/>
          </w:tcPr>
          <w:p w14:paraId="51B192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肿瘤筛查七项</w:t>
            </w:r>
          </w:p>
        </w:tc>
        <w:tc>
          <w:tcPr>
            <w:tcW w:w="7000" w:type="dxa"/>
            <w:tcBorders>
              <w:tl2br w:val="nil"/>
              <w:tr2bl w:val="nil"/>
            </w:tcBorders>
            <w:shd w:val="clear" w:color="auto" w:fill="auto"/>
            <w:vAlign w:val="center"/>
          </w:tcPr>
          <w:p w14:paraId="39D098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糖类抗原125</w:t>
            </w:r>
          </w:p>
        </w:tc>
      </w:tr>
      <w:tr w14:paraId="6F3FB4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353069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18</w:t>
            </w:r>
          </w:p>
        </w:tc>
        <w:tc>
          <w:tcPr>
            <w:tcW w:w="1800" w:type="dxa"/>
            <w:tcBorders>
              <w:tl2br w:val="nil"/>
              <w:tr2bl w:val="nil"/>
            </w:tcBorders>
            <w:shd w:val="clear" w:color="auto" w:fill="auto"/>
            <w:vAlign w:val="center"/>
          </w:tcPr>
          <w:p w14:paraId="4B89A0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肿瘤筛查七项</w:t>
            </w:r>
          </w:p>
        </w:tc>
        <w:tc>
          <w:tcPr>
            <w:tcW w:w="7000" w:type="dxa"/>
            <w:tcBorders>
              <w:tl2br w:val="nil"/>
              <w:tr2bl w:val="nil"/>
            </w:tcBorders>
            <w:shd w:val="clear" w:color="auto" w:fill="auto"/>
            <w:vAlign w:val="center"/>
          </w:tcPr>
          <w:p w14:paraId="325EE1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神经元特异性烯醇化酶</w:t>
            </w:r>
          </w:p>
        </w:tc>
      </w:tr>
      <w:tr w14:paraId="7F206D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0B6E5A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19</w:t>
            </w:r>
          </w:p>
        </w:tc>
        <w:tc>
          <w:tcPr>
            <w:tcW w:w="1800" w:type="dxa"/>
            <w:tcBorders>
              <w:tl2br w:val="nil"/>
              <w:tr2bl w:val="nil"/>
            </w:tcBorders>
            <w:shd w:val="clear" w:color="auto" w:fill="auto"/>
            <w:vAlign w:val="center"/>
          </w:tcPr>
          <w:p w14:paraId="671E94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肿瘤筛查七项</w:t>
            </w:r>
          </w:p>
        </w:tc>
        <w:tc>
          <w:tcPr>
            <w:tcW w:w="7000" w:type="dxa"/>
            <w:tcBorders>
              <w:tl2br w:val="nil"/>
              <w:tr2bl w:val="nil"/>
            </w:tcBorders>
            <w:shd w:val="clear" w:color="auto" w:fill="auto"/>
            <w:vAlign w:val="center"/>
          </w:tcPr>
          <w:p w14:paraId="218662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人绒毛膜促性腺激素游离β亚基</w:t>
            </w:r>
          </w:p>
        </w:tc>
      </w:tr>
      <w:tr w14:paraId="11B333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506CE0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20</w:t>
            </w:r>
          </w:p>
        </w:tc>
        <w:tc>
          <w:tcPr>
            <w:tcW w:w="1800" w:type="dxa"/>
            <w:tcBorders>
              <w:tl2br w:val="nil"/>
              <w:tr2bl w:val="nil"/>
            </w:tcBorders>
            <w:shd w:val="clear" w:color="auto" w:fill="auto"/>
            <w:vAlign w:val="center"/>
          </w:tcPr>
          <w:p w14:paraId="0B2B7B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肿瘤筛查七项</w:t>
            </w:r>
          </w:p>
        </w:tc>
        <w:tc>
          <w:tcPr>
            <w:tcW w:w="7000" w:type="dxa"/>
            <w:tcBorders>
              <w:tl2br w:val="nil"/>
              <w:tr2bl w:val="nil"/>
            </w:tcBorders>
            <w:shd w:val="clear" w:color="auto" w:fill="auto"/>
            <w:vAlign w:val="center"/>
          </w:tcPr>
          <w:p w14:paraId="70FED8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细胞角蛋白</w:t>
            </w:r>
          </w:p>
        </w:tc>
      </w:tr>
      <w:tr w14:paraId="124E2C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064E34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21</w:t>
            </w:r>
          </w:p>
        </w:tc>
        <w:tc>
          <w:tcPr>
            <w:tcW w:w="1800" w:type="dxa"/>
            <w:tcBorders>
              <w:tl2br w:val="nil"/>
              <w:tr2bl w:val="nil"/>
            </w:tcBorders>
            <w:shd w:val="clear" w:color="auto" w:fill="auto"/>
            <w:vAlign w:val="center"/>
          </w:tcPr>
          <w:p w14:paraId="03506E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血常规</w:t>
            </w:r>
          </w:p>
        </w:tc>
        <w:tc>
          <w:tcPr>
            <w:tcW w:w="7000" w:type="dxa"/>
            <w:tcBorders>
              <w:tl2br w:val="nil"/>
              <w:tr2bl w:val="nil"/>
            </w:tcBorders>
            <w:shd w:val="clear" w:color="auto" w:fill="auto"/>
            <w:vAlign w:val="center"/>
          </w:tcPr>
          <w:p w14:paraId="5B2574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红细胞计数 （RBC）、红细胞压积（HCT）、平均血红蛋白浓度（MCHC）等19项。</w:t>
            </w:r>
          </w:p>
        </w:tc>
      </w:tr>
      <w:tr w14:paraId="4E5542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3503AA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22</w:t>
            </w:r>
          </w:p>
        </w:tc>
        <w:tc>
          <w:tcPr>
            <w:tcW w:w="1800" w:type="dxa"/>
            <w:tcBorders>
              <w:tl2br w:val="nil"/>
              <w:tr2bl w:val="nil"/>
            </w:tcBorders>
            <w:shd w:val="clear" w:color="auto" w:fill="auto"/>
            <w:vAlign w:val="center"/>
          </w:tcPr>
          <w:p w14:paraId="38DA33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尿常规</w:t>
            </w:r>
          </w:p>
        </w:tc>
        <w:tc>
          <w:tcPr>
            <w:tcW w:w="7000" w:type="dxa"/>
            <w:tcBorders>
              <w:tl2br w:val="nil"/>
              <w:tr2bl w:val="nil"/>
            </w:tcBorders>
            <w:shd w:val="clear" w:color="auto" w:fill="auto"/>
            <w:vAlign w:val="center"/>
          </w:tcPr>
          <w:p w14:paraId="256FA0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尿蛋白 、尿糖 、尿比重 、尿酮体 、尿胆红质 、尿胆元等10项</w:t>
            </w:r>
          </w:p>
        </w:tc>
      </w:tr>
      <w:tr w14:paraId="62AB52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6A1C20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23</w:t>
            </w:r>
          </w:p>
        </w:tc>
        <w:tc>
          <w:tcPr>
            <w:tcW w:w="1800" w:type="dxa"/>
            <w:tcBorders>
              <w:tl2br w:val="nil"/>
              <w:tr2bl w:val="nil"/>
            </w:tcBorders>
            <w:shd w:val="clear" w:color="auto" w:fill="auto"/>
            <w:vAlign w:val="center"/>
          </w:tcPr>
          <w:p w14:paraId="203856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彩超检查</w:t>
            </w:r>
          </w:p>
        </w:tc>
        <w:tc>
          <w:tcPr>
            <w:tcW w:w="7000" w:type="dxa"/>
            <w:tcBorders>
              <w:tl2br w:val="nil"/>
              <w:tr2bl w:val="nil"/>
            </w:tcBorders>
            <w:shd w:val="clear" w:color="auto" w:fill="auto"/>
            <w:vAlign w:val="center"/>
          </w:tcPr>
          <w:p w14:paraId="3AC22E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肝胆脾胰双肾，甲状腺彩超</w:t>
            </w:r>
          </w:p>
        </w:tc>
      </w:tr>
      <w:tr w14:paraId="414AF6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2A4527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24</w:t>
            </w:r>
          </w:p>
        </w:tc>
        <w:tc>
          <w:tcPr>
            <w:tcW w:w="1800" w:type="dxa"/>
            <w:tcBorders>
              <w:tl2br w:val="nil"/>
              <w:tr2bl w:val="nil"/>
            </w:tcBorders>
            <w:shd w:val="clear" w:color="auto" w:fill="auto"/>
            <w:vAlign w:val="center"/>
          </w:tcPr>
          <w:p w14:paraId="6B36F3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彩超检查</w:t>
            </w:r>
          </w:p>
        </w:tc>
        <w:tc>
          <w:tcPr>
            <w:tcW w:w="7000" w:type="dxa"/>
            <w:tcBorders>
              <w:tl2br w:val="nil"/>
              <w:tr2bl w:val="nil"/>
            </w:tcBorders>
            <w:shd w:val="clear" w:color="auto" w:fill="auto"/>
            <w:vAlign w:val="center"/>
          </w:tcPr>
          <w:p w14:paraId="404DBB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甲状腺彩超</w:t>
            </w:r>
          </w:p>
        </w:tc>
      </w:tr>
      <w:tr w14:paraId="4537AC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552639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25</w:t>
            </w:r>
          </w:p>
        </w:tc>
        <w:tc>
          <w:tcPr>
            <w:tcW w:w="1800" w:type="dxa"/>
            <w:tcBorders>
              <w:tl2br w:val="nil"/>
              <w:tr2bl w:val="nil"/>
            </w:tcBorders>
            <w:shd w:val="clear" w:color="auto" w:fill="auto"/>
            <w:vAlign w:val="center"/>
          </w:tcPr>
          <w:p w14:paraId="523A00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心电图</w:t>
            </w:r>
          </w:p>
        </w:tc>
        <w:tc>
          <w:tcPr>
            <w:tcW w:w="7000" w:type="dxa"/>
            <w:tcBorders>
              <w:tl2br w:val="nil"/>
              <w:tr2bl w:val="nil"/>
            </w:tcBorders>
            <w:shd w:val="clear" w:color="auto" w:fill="auto"/>
            <w:vAlign w:val="center"/>
          </w:tcPr>
          <w:p w14:paraId="236A74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心电图</w:t>
            </w:r>
          </w:p>
        </w:tc>
      </w:tr>
      <w:tr w14:paraId="7B878C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1C136E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26</w:t>
            </w:r>
          </w:p>
        </w:tc>
        <w:tc>
          <w:tcPr>
            <w:tcW w:w="1800" w:type="dxa"/>
            <w:tcBorders>
              <w:tl2br w:val="nil"/>
              <w:tr2bl w:val="nil"/>
            </w:tcBorders>
            <w:shd w:val="clear" w:color="auto" w:fill="auto"/>
            <w:vAlign w:val="center"/>
          </w:tcPr>
          <w:p w14:paraId="5269AD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放射科拍片</w:t>
            </w:r>
          </w:p>
        </w:tc>
        <w:tc>
          <w:tcPr>
            <w:tcW w:w="7000" w:type="dxa"/>
            <w:tcBorders>
              <w:tl2br w:val="nil"/>
              <w:tr2bl w:val="nil"/>
            </w:tcBorders>
            <w:shd w:val="clear" w:color="auto" w:fill="auto"/>
            <w:vAlign w:val="center"/>
          </w:tcPr>
          <w:p w14:paraId="41EADF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胸部正位片</w:t>
            </w:r>
          </w:p>
        </w:tc>
      </w:tr>
      <w:tr w14:paraId="1C3509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7A6038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27</w:t>
            </w:r>
          </w:p>
        </w:tc>
        <w:tc>
          <w:tcPr>
            <w:tcW w:w="1800" w:type="dxa"/>
            <w:tcBorders>
              <w:tl2br w:val="nil"/>
              <w:tr2bl w:val="nil"/>
            </w:tcBorders>
            <w:shd w:val="clear" w:color="auto" w:fill="auto"/>
            <w:vAlign w:val="center"/>
          </w:tcPr>
          <w:p w14:paraId="5AFB3C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放射科拍片</w:t>
            </w:r>
          </w:p>
        </w:tc>
        <w:tc>
          <w:tcPr>
            <w:tcW w:w="7000" w:type="dxa"/>
            <w:tcBorders>
              <w:tl2br w:val="nil"/>
              <w:tr2bl w:val="nil"/>
            </w:tcBorders>
            <w:shd w:val="clear" w:color="auto" w:fill="auto"/>
            <w:vAlign w:val="center"/>
          </w:tcPr>
          <w:p w14:paraId="4F24EC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颈椎侧位片</w:t>
            </w:r>
          </w:p>
        </w:tc>
      </w:tr>
      <w:tr w14:paraId="1AD606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2892AF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28</w:t>
            </w:r>
          </w:p>
        </w:tc>
        <w:tc>
          <w:tcPr>
            <w:tcW w:w="1800" w:type="dxa"/>
            <w:tcBorders>
              <w:tl2br w:val="nil"/>
              <w:tr2bl w:val="nil"/>
            </w:tcBorders>
            <w:shd w:val="clear" w:color="auto" w:fill="auto"/>
            <w:vAlign w:val="center"/>
          </w:tcPr>
          <w:p w14:paraId="1EA455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男性员工彩超检查</w:t>
            </w:r>
          </w:p>
        </w:tc>
        <w:tc>
          <w:tcPr>
            <w:tcW w:w="7000" w:type="dxa"/>
            <w:tcBorders>
              <w:tl2br w:val="nil"/>
              <w:tr2bl w:val="nil"/>
            </w:tcBorders>
            <w:shd w:val="clear" w:color="auto" w:fill="auto"/>
            <w:vAlign w:val="center"/>
          </w:tcPr>
          <w:p w14:paraId="796D8B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前列腺彩超（彩超机）</w:t>
            </w:r>
          </w:p>
        </w:tc>
      </w:tr>
      <w:tr w14:paraId="5F3302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4CE8B6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29</w:t>
            </w:r>
          </w:p>
        </w:tc>
        <w:tc>
          <w:tcPr>
            <w:tcW w:w="1800" w:type="dxa"/>
            <w:tcBorders>
              <w:tl2br w:val="nil"/>
              <w:tr2bl w:val="nil"/>
            </w:tcBorders>
            <w:shd w:val="clear" w:color="auto" w:fill="auto"/>
            <w:vAlign w:val="center"/>
          </w:tcPr>
          <w:p w14:paraId="05BA4C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女性员工彩超检查</w:t>
            </w:r>
          </w:p>
        </w:tc>
        <w:tc>
          <w:tcPr>
            <w:tcW w:w="7000" w:type="dxa"/>
            <w:tcBorders>
              <w:tl2br w:val="nil"/>
              <w:tr2bl w:val="nil"/>
            </w:tcBorders>
            <w:shd w:val="clear" w:color="auto" w:fill="auto"/>
            <w:vAlign w:val="center"/>
          </w:tcPr>
          <w:p w14:paraId="124FBF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彩超检查双侧乳腺（彩超机）</w:t>
            </w:r>
          </w:p>
        </w:tc>
      </w:tr>
      <w:tr w14:paraId="54DDEB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378639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30</w:t>
            </w:r>
          </w:p>
        </w:tc>
        <w:tc>
          <w:tcPr>
            <w:tcW w:w="1800" w:type="dxa"/>
            <w:tcBorders>
              <w:tl2br w:val="nil"/>
              <w:tr2bl w:val="nil"/>
            </w:tcBorders>
            <w:shd w:val="clear" w:color="auto" w:fill="auto"/>
            <w:vAlign w:val="center"/>
          </w:tcPr>
          <w:p w14:paraId="3B7787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女性已婚员工彩超检查</w:t>
            </w:r>
          </w:p>
        </w:tc>
        <w:tc>
          <w:tcPr>
            <w:tcW w:w="7000" w:type="dxa"/>
            <w:tcBorders>
              <w:tl2br w:val="nil"/>
              <w:tr2bl w:val="nil"/>
            </w:tcBorders>
            <w:shd w:val="clear" w:color="auto" w:fill="auto"/>
            <w:vAlign w:val="center"/>
          </w:tcPr>
          <w:p w14:paraId="43B4DA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阴式彩超（阴彩有侵入性，不适合未婚的女士做此项目，未婚做子宫附件彩超）</w:t>
            </w:r>
          </w:p>
        </w:tc>
      </w:tr>
      <w:tr w14:paraId="0C0710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6C5AA1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31</w:t>
            </w:r>
          </w:p>
        </w:tc>
        <w:tc>
          <w:tcPr>
            <w:tcW w:w="1800" w:type="dxa"/>
            <w:tcBorders>
              <w:tl2br w:val="nil"/>
              <w:tr2bl w:val="nil"/>
            </w:tcBorders>
            <w:shd w:val="clear" w:color="auto" w:fill="auto"/>
            <w:vAlign w:val="center"/>
          </w:tcPr>
          <w:p w14:paraId="490879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女性未婚员工彩超检查</w:t>
            </w:r>
          </w:p>
        </w:tc>
        <w:tc>
          <w:tcPr>
            <w:tcW w:w="7000" w:type="dxa"/>
            <w:tcBorders>
              <w:tl2br w:val="nil"/>
              <w:tr2bl w:val="nil"/>
            </w:tcBorders>
            <w:shd w:val="clear" w:color="auto" w:fill="auto"/>
            <w:vAlign w:val="center"/>
          </w:tcPr>
          <w:p w14:paraId="6EDEE6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子宫附件彩超</w:t>
            </w:r>
          </w:p>
        </w:tc>
      </w:tr>
      <w:tr w14:paraId="080FD4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47E6D9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32</w:t>
            </w:r>
          </w:p>
        </w:tc>
        <w:tc>
          <w:tcPr>
            <w:tcW w:w="1800" w:type="dxa"/>
            <w:tcBorders>
              <w:tl2br w:val="nil"/>
              <w:tr2bl w:val="nil"/>
            </w:tcBorders>
            <w:shd w:val="clear" w:color="auto" w:fill="auto"/>
            <w:vAlign w:val="center"/>
          </w:tcPr>
          <w:p w14:paraId="57C7A2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妇科检查</w:t>
            </w:r>
          </w:p>
        </w:tc>
        <w:tc>
          <w:tcPr>
            <w:tcW w:w="7000" w:type="dxa"/>
            <w:tcBorders>
              <w:tl2br w:val="nil"/>
              <w:tr2bl w:val="nil"/>
            </w:tcBorders>
            <w:shd w:val="clear" w:color="auto" w:fill="auto"/>
            <w:vAlign w:val="center"/>
          </w:tcPr>
          <w:p w14:paraId="434B8F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妇检</w:t>
            </w:r>
          </w:p>
        </w:tc>
      </w:tr>
      <w:tr w14:paraId="2A7F59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3A39C7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33</w:t>
            </w:r>
          </w:p>
        </w:tc>
        <w:tc>
          <w:tcPr>
            <w:tcW w:w="1800" w:type="dxa"/>
            <w:tcBorders>
              <w:tl2br w:val="nil"/>
              <w:tr2bl w:val="nil"/>
            </w:tcBorders>
            <w:shd w:val="clear" w:color="auto" w:fill="auto"/>
            <w:vAlign w:val="center"/>
          </w:tcPr>
          <w:p w14:paraId="14CFE9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白带常规</w:t>
            </w:r>
          </w:p>
        </w:tc>
        <w:tc>
          <w:tcPr>
            <w:tcW w:w="7000" w:type="dxa"/>
            <w:tcBorders>
              <w:tl2br w:val="nil"/>
              <w:tr2bl w:val="nil"/>
            </w:tcBorders>
            <w:shd w:val="clear" w:color="auto" w:fill="auto"/>
            <w:vAlign w:val="center"/>
          </w:tcPr>
          <w:p w14:paraId="3B5D43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白带常规</w:t>
            </w:r>
          </w:p>
        </w:tc>
      </w:tr>
      <w:tr w14:paraId="0BED10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508445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34</w:t>
            </w:r>
          </w:p>
        </w:tc>
        <w:tc>
          <w:tcPr>
            <w:tcW w:w="1800" w:type="dxa"/>
            <w:tcBorders>
              <w:tl2br w:val="nil"/>
              <w:tr2bl w:val="nil"/>
            </w:tcBorders>
            <w:shd w:val="clear" w:color="auto" w:fill="auto"/>
            <w:vAlign w:val="center"/>
          </w:tcPr>
          <w:p w14:paraId="071C63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宫颈刮片</w:t>
            </w:r>
          </w:p>
        </w:tc>
        <w:tc>
          <w:tcPr>
            <w:tcW w:w="7000" w:type="dxa"/>
            <w:tcBorders>
              <w:tl2br w:val="nil"/>
              <w:tr2bl w:val="nil"/>
            </w:tcBorders>
            <w:shd w:val="clear" w:color="auto" w:fill="auto"/>
            <w:vAlign w:val="center"/>
          </w:tcPr>
          <w:p w14:paraId="5795EC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宫颈疾病检查</w:t>
            </w:r>
          </w:p>
        </w:tc>
      </w:tr>
      <w:tr w14:paraId="6CE034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0" w:type="dxa"/>
            <w:tcBorders>
              <w:tl2br w:val="nil"/>
              <w:tr2bl w:val="nil"/>
            </w:tcBorders>
            <w:shd w:val="clear" w:color="auto" w:fill="auto"/>
            <w:vAlign w:val="center"/>
          </w:tcPr>
          <w:p w14:paraId="00D0DF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b/>
                <w:i w:val="0"/>
                <w:iCs w:val="0"/>
                <w:color w:val="000000"/>
                <w:kern w:val="0"/>
                <w:sz w:val="21"/>
                <w:szCs w:val="21"/>
                <w:highlight w:val="none"/>
                <w:u w:val="none"/>
                <w:lang w:val="en-US" w:eastAsia="zh-CN" w:bidi="ar"/>
              </w:rPr>
              <w:t>套餐小计价格</w:t>
            </w:r>
          </w:p>
        </w:tc>
        <w:tc>
          <w:tcPr>
            <w:tcW w:w="7000" w:type="dxa"/>
            <w:tcBorders>
              <w:tl2br w:val="nil"/>
              <w:tr2bl w:val="nil"/>
            </w:tcBorders>
            <w:shd w:val="clear" w:color="auto" w:fill="auto"/>
            <w:vAlign w:val="center"/>
          </w:tcPr>
          <w:p w14:paraId="33F62C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p>
        </w:tc>
        <w:tc>
          <w:tcPr>
            <w:tcW w:w="7000" w:type="dxa"/>
            <w:tcBorders>
              <w:tl2br w:val="nil"/>
              <w:tr2bl w:val="nil"/>
            </w:tcBorders>
            <w:shd w:val="clear" w:color="auto" w:fill="auto"/>
            <w:vAlign w:val="center"/>
          </w:tcPr>
          <w:p w14:paraId="220208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b/>
                <w:i w:val="0"/>
                <w:iCs w:val="0"/>
                <w:color w:val="000000"/>
                <w:kern w:val="0"/>
                <w:sz w:val="21"/>
                <w:szCs w:val="21"/>
                <w:highlight w:val="none"/>
                <w:u w:val="none"/>
                <w:lang w:val="en-US" w:eastAsia="zh-CN" w:bidi="ar"/>
              </w:rPr>
              <w:t>390元/人</w:t>
            </w:r>
          </w:p>
        </w:tc>
      </w:tr>
    </w:tbl>
    <w:p w14:paraId="57C0DC52">
      <w:pPr>
        <w:keepNext w:val="0"/>
        <w:keepLines w:val="0"/>
        <w:pageBreakBefore w:val="0"/>
        <w:widowControl/>
        <w:kinsoku/>
        <w:wordWrap/>
        <w:overflowPunct/>
        <w:topLinePunct w:val="0"/>
        <w:autoSpaceDE/>
        <w:autoSpaceDN/>
        <w:bidi w:val="0"/>
        <w:adjustRightInd/>
        <w:snapToGrid w:val="0"/>
        <w:spacing w:line="560" w:lineRule="exact"/>
        <w:ind w:firstLine="640" w:firstLineChars="200"/>
        <w:jc w:val="left"/>
        <w:textAlignment w:val="auto"/>
        <w:rPr>
          <w:rFonts w:hint="eastAsia" w:ascii="仿宋" w:hAnsi="仿宋" w:eastAsia="仿宋_GB2312" w:cs="仿宋"/>
          <w:bCs/>
          <w:sz w:val="32"/>
          <w:szCs w:val="32"/>
          <w:highlight w:val="none"/>
        </w:rPr>
      </w:pPr>
      <w:r>
        <w:rPr>
          <w:rFonts w:hint="eastAsia" w:ascii="仿宋" w:hAnsi="仿宋" w:eastAsia="仿宋_GB2312" w:cs="仿宋"/>
          <w:bCs/>
          <w:sz w:val="32"/>
          <w:szCs w:val="32"/>
          <w:highlight w:val="none"/>
          <w:lang w:eastAsia="zh-CN"/>
        </w:rPr>
        <w:t>（</w:t>
      </w:r>
      <w:r>
        <w:rPr>
          <w:rFonts w:hint="eastAsia" w:ascii="仿宋_GB2312" w:hAnsi="仿宋_GB2312" w:eastAsia="仿宋_GB2312" w:cs="仿宋_GB2312"/>
          <w:bCs/>
          <w:sz w:val="32"/>
          <w:szCs w:val="32"/>
          <w:highlight w:val="none"/>
          <w:lang w:val="en-US" w:eastAsia="zh-CN"/>
        </w:rPr>
        <w:t>2</w:t>
      </w:r>
      <w:r>
        <w:rPr>
          <w:rFonts w:hint="eastAsia" w:ascii="仿宋" w:hAnsi="仿宋" w:eastAsia="仿宋_GB2312" w:cs="仿宋"/>
          <w:bCs/>
          <w:sz w:val="32"/>
          <w:szCs w:val="32"/>
          <w:highlight w:val="none"/>
          <w:lang w:val="en-US" w:eastAsia="zh-CN"/>
        </w:rPr>
        <w:t>）</w:t>
      </w:r>
      <w:r>
        <w:rPr>
          <w:rFonts w:hint="eastAsia" w:ascii="仿宋_GB2312" w:hAnsi="仿宋_GB2312" w:eastAsia="仿宋_GB2312" w:cs="仿宋_GB2312"/>
          <w:bCs/>
          <w:sz w:val="32"/>
          <w:szCs w:val="32"/>
          <w:highlight w:val="none"/>
        </w:rPr>
        <w:t>限价不超过</w:t>
      </w:r>
      <w:r>
        <w:rPr>
          <w:rFonts w:hint="eastAsia" w:ascii="仿宋_GB2312" w:hAnsi="仿宋_GB2312" w:eastAsia="仿宋_GB2312" w:cs="仿宋_GB2312"/>
          <w:bCs/>
          <w:sz w:val="32"/>
          <w:szCs w:val="32"/>
          <w:highlight w:val="none"/>
          <w:lang w:val="en-US" w:eastAsia="zh-CN"/>
        </w:rPr>
        <w:t>500</w:t>
      </w:r>
      <w:r>
        <w:rPr>
          <w:rFonts w:hint="eastAsia" w:ascii="仿宋_GB2312" w:hAnsi="仿宋_GB2312" w:eastAsia="仿宋_GB2312" w:cs="仿宋_GB2312"/>
          <w:bCs/>
          <w:sz w:val="32"/>
          <w:szCs w:val="32"/>
          <w:highlight w:val="none"/>
        </w:rPr>
        <w:t>元标准套餐应至少包括以下基准项目:</w:t>
      </w:r>
    </w:p>
    <w:tbl>
      <w:tblPr>
        <w:tblStyle w:val="15"/>
        <w:tblW w:w="815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504"/>
        <w:gridCol w:w="2647"/>
        <w:gridCol w:w="3007"/>
      </w:tblGrid>
      <w:tr w14:paraId="4AE535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jc w:val="center"/>
        </w:trPr>
        <w:tc>
          <w:tcPr>
            <w:tcW w:w="700" w:type="dxa"/>
            <w:tcBorders>
              <w:tl2br w:val="nil"/>
              <w:tr2bl w:val="nil"/>
            </w:tcBorders>
            <w:shd w:val="clear" w:color="auto" w:fill="auto"/>
            <w:vAlign w:val="center"/>
          </w:tcPr>
          <w:p w14:paraId="45C000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序号</w:t>
            </w:r>
          </w:p>
        </w:tc>
        <w:tc>
          <w:tcPr>
            <w:tcW w:w="1800" w:type="dxa"/>
            <w:tcBorders>
              <w:tl2br w:val="nil"/>
              <w:tr2bl w:val="nil"/>
            </w:tcBorders>
            <w:shd w:val="clear" w:color="auto" w:fill="auto"/>
            <w:vAlign w:val="center"/>
          </w:tcPr>
          <w:p w14:paraId="1AFDBD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检查大类</w:t>
            </w:r>
          </w:p>
        </w:tc>
        <w:tc>
          <w:tcPr>
            <w:tcW w:w="7000" w:type="dxa"/>
            <w:tcBorders>
              <w:tl2br w:val="nil"/>
              <w:tr2bl w:val="nil"/>
            </w:tcBorders>
            <w:shd w:val="clear" w:color="auto" w:fill="auto"/>
            <w:vAlign w:val="center"/>
          </w:tcPr>
          <w:p w14:paraId="57AC53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基准项目</w:t>
            </w:r>
          </w:p>
        </w:tc>
      </w:tr>
      <w:tr w14:paraId="3950DD5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594490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800" w:type="dxa"/>
            <w:tcBorders>
              <w:tl2br w:val="nil"/>
              <w:tr2bl w:val="nil"/>
            </w:tcBorders>
            <w:shd w:val="clear" w:color="auto" w:fill="auto"/>
            <w:vAlign w:val="center"/>
          </w:tcPr>
          <w:p w14:paraId="1F3E5C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一般检查</w:t>
            </w:r>
          </w:p>
        </w:tc>
        <w:tc>
          <w:tcPr>
            <w:tcW w:w="7000" w:type="dxa"/>
            <w:tcBorders>
              <w:tl2br w:val="nil"/>
              <w:tr2bl w:val="nil"/>
            </w:tcBorders>
            <w:shd w:val="clear" w:color="auto" w:fill="auto"/>
            <w:vAlign w:val="center"/>
          </w:tcPr>
          <w:p w14:paraId="58D033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身高、体重</w:t>
            </w:r>
          </w:p>
        </w:tc>
      </w:tr>
      <w:tr w14:paraId="4AD98D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73BECE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1800" w:type="dxa"/>
            <w:tcBorders>
              <w:tl2br w:val="nil"/>
              <w:tr2bl w:val="nil"/>
            </w:tcBorders>
            <w:shd w:val="clear" w:color="auto" w:fill="auto"/>
            <w:vAlign w:val="center"/>
          </w:tcPr>
          <w:p w14:paraId="246CA8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一般检查</w:t>
            </w:r>
          </w:p>
        </w:tc>
        <w:tc>
          <w:tcPr>
            <w:tcW w:w="7000" w:type="dxa"/>
            <w:tcBorders>
              <w:tl2br w:val="nil"/>
              <w:tr2bl w:val="nil"/>
            </w:tcBorders>
            <w:shd w:val="clear" w:color="auto" w:fill="auto"/>
            <w:vAlign w:val="center"/>
          </w:tcPr>
          <w:p w14:paraId="132F47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血压</w:t>
            </w:r>
          </w:p>
        </w:tc>
      </w:tr>
      <w:tr w14:paraId="052B4F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1FCB30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1800" w:type="dxa"/>
            <w:tcBorders>
              <w:tl2br w:val="nil"/>
              <w:tr2bl w:val="nil"/>
            </w:tcBorders>
            <w:shd w:val="clear" w:color="auto" w:fill="auto"/>
            <w:vAlign w:val="center"/>
          </w:tcPr>
          <w:p w14:paraId="10424D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内科</w:t>
            </w:r>
          </w:p>
        </w:tc>
        <w:tc>
          <w:tcPr>
            <w:tcW w:w="7000" w:type="dxa"/>
            <w:tcBorders>
              <w:tl2br w:val="nil"/>
              <w:tr2bl w:val="nil"/>
            </w:tcBorders>
            <w:shd w:val="clear" w:color="auto" w:fill="auto"/>
            <w:vAlign w:val="center"/>
          </w:tcPr>
          <w:p w14:paraId="197D0E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内科</w:t>
            </w:r>
          </w:p>
        </w:tc>
      </w:tr>
      <w:tr w14:paraId="0A846F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771130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800" w:type="dxa"/>
            <w:tcBorders>
              <w:tl2br w:val="nil"/>
              <w:tr2bl w:val="nil"/>
            </w:tcBorders>
            <w:shd w:val="clear" w:color="auto" w:fill="auto"/>
            <w:vAlign w:val="center"/>
          </w:tcPr>
          <w:p w14:paraId="5D4DF9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外科</w:t>
            </w:r>
          </w:p>
        </w:tc>
        <w:tc>
          <w:tcPr>
            <w:tcW w:w="7000" w:type="dxa"/>
            <w:tcBorders>
              <w:tl2br w:val="nil"/>
              <w:tr2bl w:val="nil"/>
            </w:tcBorders>
            <w:shd w:val="clear" w:color="auto" w:fill="auto"/>
            <w:vAlign w:val="center"/>
          </w:tcPr>
          <w:p w14:paraId="3B797C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外科</w:t>
            </w:r>
          </w:p>
        </w:tc>
      </w:tr>
      <w:tr w14:paraId="503802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4ADB0C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w:t>
            </w:r>
          </w:p>
        </w:tc>
        <w:tc>
          <w:tcPr>
            <w:tcW w:w="1800" w:type="dxa"/>
            <w:tcBorders>
              <w:tl2br w:val="nil"/>
              <w:tr2bl w:val="nil"/>
            </w:tcBorders>
            <w:shd w:val="clear" w:color="auto" w:fill="auto"/>
            <w:vAlign w:val="center"/>
          </w:tcPr>
          <w:p w14:paraId="64D857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视力 色觉</w:t>
            </w:r>
          </w:p>
        </w:tc>
        <w:tc>
          <w:tcPr>
            <w:tcW w:w="7000" w:type="dxa"/>
            <w:tcBorders>
              <w:tl2br w:val="nil"/>
              <w:tr2bl w:val="nil"/>
            </w:tcBorders>
            <w:shd w:val="clear" w:color="auto" w:fill="auto"/>
            <w:vAlign w:val="center"/>
          </w:tcPr>
          <w:p w14:paraId="21877D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视力 色觉</w:t>
            </w:r>
          </w:p>
        </w:tc>
      </w:tr>
      <w:tr w14:paraId="03E026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56398B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6</w:t>
            </w:r>
          </w:p>
        </w:tc>
        <w:tc>
          <w:tcPr>
            <w:tcW w:w="1800" w:type="dxa"/>
            <w:tcBorders>
              <w:tl2br w:val="nil"/>
              <w:tr2bl w:val="nil"/>
            </w:tcBorders>
            <w:shd w:val="clear" w:color="auto" w:fill="auto"/>
            <w:vAlign w:val="center"/>
          </w:tcPr>
          <w:p w14:paraId="6D1846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耳鼻咽喉科</w:t>
            </w:r>
          </w:p>
        </w:tc>
        <w:tc>
          <w:tcPr>
            <w:tcW w:w="7000" w:type="dxa"/>
            <w:tcBorders>
              <w:tl2br w:val="nil"/>
              <w:tr2bl w:val="nil"/>
            </w:tcBorders>
            <w:shd w:val="clear" w:color="auto" w:fill="auto"/>
            <w:vAlign w:val="center"/>
          </w:tcPr>
          <w:p w14:paraId="23F2DA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耳鼻咽喉科</w:t>
            </w:r>
          </w:p>
        </w:tc>
      </w:tr>
      <w:tr w14:paraId="05847C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4C072F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7</w:t>
            </w:r>
          </w:p>
        </w:tc>
        <w:tc>
          <w:tcPr>
            <w:tcW w:w="1800" w:type="dxa"/>
            <w:tcBorders>
              <w:tl2br w:val="nil"/>
              <w:tr2bl w:val="nil"/>
            </w:tcBorders>
            <w:shd w:val="clear" w:color="auto" w:fill="auto"/>
            <w:vAlign w:val="center"/>
          </w:tcPr>
          <w:p w14:paraId="3338A6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口腔科</w:t>
            </w:r>
          </w:p>
        </w:tc>
        <w:tc>
          <w:tcPr>
            <w:tcW w:w="7000" w:type="dxa"/>
            <w:tcBorders>
              <w:tl2br w:val="nil"/>
              <w:tr2bl w:val="nil"/>
            </w:tcBorders>
            <w:shd w:val="clear" w:color="auto" w:fill="auto"/>
            <w:vAlign w:val="center"/>
          </w:tcPr>
          <w:p w14:paraId="4BCCFB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口腔常规检查，全面了解口腔健康状况，及时发现口腔科常见疾病。</w:t>
            </w:r>
          </w:p>
        </w:tc>
      </w:tr>
      <w:tr w14:paraId="7BD9AA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54A243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w:t>
            </w:r>
          </w:p>
        </w:tc>
        <w:tc>
          <w:tcPr>
            <w:tcW w:w="1800" w:type="dxa"/>
            <w:tcBorders>
              <w:tl2br w:val="nil"/>
              <w:tr2bl w:val="nil"/>
            </w:tcBorders>
            <w:shd w:val="clear" w:color="auto" w:fill="auto"/>
            <w:vAlign w:val="center"/>
          </w:tcPr>
          <w:p w14:paraId="6D6AEE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肝功能七项</w:t>
            </w:r>
          </w:p>
        </w:tc>
        <w:tc>
          <w:tcPr>
            <w:tcW w:w="7000" w:type="dxa"/>
            <w:tcBorders>
              <w:tl2br w:val="nil"/>
              <w:tr2bl w:val="nil"/>
            </w:tcBorders>
            <w:shd w:val="clear" w:color="auto" w:fill="auto"/>
            <w:vAlign w:val="center"/>
          </w:tcPr>
          <w:p w14:paraId="25C305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丙氨酸氨基转移酶(ALT) \ 天门冬氨酸氨基转移酶(AST) \ 谷氨酰转肽酶(GGT)</w:t>
            </w:r>
          </w:p>
        </w:tc>
      </w:tr>
      <w:tr w14:paraId="16568F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1C5D08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9</w:t>
            </w:r>
          </w:p>
        </w:tc>
        <w:tc>
          <w:tcPr>
            <w:tcW w:w="1800" w:type="dxa"/>
            <w:tcBorders>
              <w:tl2br w:val="nil"/>
              <w:tr2bl w:val="nil"/>
            </w:tcBorders>
            <w:shd w:val="clear" w:color="auto" w:fill="auto"/>
            <w:vAlign w:val="center"/>
          </w:tcPr>
          <w:p w14:paraId="17DAB4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肝功能七项</w:t>
            </w:r>
          </w:p>
        </w:tc>
        <w:tc>
          <w:tcPr>
            <w:tcW w:w="7000" w:type="dxa"/>
            <w:tcBorders>
              <w:tl2br w:val="nil"/>
              <w:tr2bl w:val="nil"/>
            </w:tcBorders>
            <w:shd w:val="clear" w:color="auto" w:fill="auto"/>
            <w:vAlign w:val="center"/>
          </w:tcPr>
          <w:p w14:paraId="15C367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血清蛋白四项</w:t>
            </w:r>
          </w:p>
        </w:tc>
      </w:tr>
      <w:tr w14:paraId="590D983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22A9D6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10</w:t>
            </w:r>
          </w:p>
        </w:tc>
        <w:tc>
          <w:tcPr>
            <w:tcW w:w="1800" w:type="dxa"/>
            <w:tcBorders>
              <w:tl2br w:val="nil"/>
              <w:tr2bl w:val="nil"/>
            </w:tcBorders>
            <w:shd w:val="clear" w:color="auto" w:fill="auto"/>
            <w:vAlign w:val="center"/>
          </w:tcPr>
          <w:p w14:paraId="62A3C1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肾功能三项</w:t>
            </w:r>
          </w:p>
        </w:tc>
        <w:tc>
          <w:tcPr>
            <w:tcW w:w="7000" w:type="dxa"/>
            <w:tcBorders>
              <w:tl2br w:val="nil"/>
              <w:tr2bl w:val="nil"/>
            </w:tcBorders>
            <w:shd w:val="clear" w:color="auto" w:fill="auto"/>
            <w:vAlign w:val="center"/>
          </w:tcPr>
          <w:p w14:paraId="09C06B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尿素氮(BUN)、肌酐(CR)、尿酸</w:t>
            </w:r>
          </w:p>
        </w:tc>
      </w:tr>
      <w:tr w14:paraId="60A268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0615E9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w:t>
            </w:r>
          </w:p>
        </w:tc>
        <w:tc>
          <w:tcPr>
            <w:tcW w:w="1800" w:type="dxa"/>
            <w:tcBorders>
              <w:tl2br w:val="nil"/>
              <w:tr2bl w:val="nil"/>
            </w:tcBorders>
            <w:shd w:val="clear" w:color="auto" w:fill="auto"/>
            <w:vAlign w:val="center"/>
          </w:tcPr>
          <w:p w14:paraId="311CC7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血脂四项</w:t>
            </w:r>
          </w:p>
        </w:tc>
        <w:tc>
          <w:tcPr>
            <w:tcW w:w="7000" w:type="dxa"/>
            <w:tcBorders>
              <w:tl2br w:val="nil"/>
              <w:tr2bl w:val="nil"/>
            </w:tcBorders>
            <w:shd w:val="clear" w:color="auto" w:fill="auto"/>
            <w:vAlign w:val="center"/>
          </w:tcPr>
          <w:p w14:paraId="7595CC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总胆固醇、甘油三脂、低密度脂蛋白胆固醇、高密度脂蛋白胆固醇</w:t>
            </w:r>
          </w:p>
        </w:tc>
      </w:tr>
      <w:tr w14:paraId="465974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663405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w:t>
            </w:r>
          </w:p>
        </w:tc>
        <w:tc>
          <w:tcPr>
            <w:tcW w:w="1800" w:type="dxa"/>
            <w:tcBorders>
              <w:tl2br w:val="nil"/>
              <w:tr2bl w:val="nil"/>
            </w:tcBorders>
            <w:shd w:val="clear" w:color="auto" w:fill="auto"/>
            <w:vAlign w:val="center"/>
          </w:tcPr>
          <w:p w14:paraId="075DDC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甲功三项A</w:t>
            </w:r>
          </w:p>
        </w:tc>
        <w:tc>
          <w:tcPr>
            <w:tcW w:w="7000" w:type="dxa"/>
            <w:tcBorders>
              <w:tl2br w:val="nil"/>
              <w:tr2bl w:val="nil"/>
            </w:tcBorders>
            <w:shd w:val="clear" w:color="auto" w:fill="auto"/>
            <w:vAlign w:val="center"/>
          </w:tcPr>
          <w:p w14:paraId="1717F4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甲功三项A</w:t>
            </w:r>
          </w:p>
        </w:tc>
      </w:tr>
      <w:tr w14:paraId="77CA48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305E9A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13</w:t>
            </w:r>
          </w:p>
        </w:tc>
        <w:tc>
          <w:tcPr>
            <w:tcW w:w="1800" w:type="dxa"/>
            <w:tcBorders>
              <w:tl2br w:val="nil"/>
              <w:tr2bl w:val="nil"/>
            </w:tcBorders>
            <w:shd w:val="clear" w:color="auto" w:fill="auto"/>
            <w:vAlign w:val="center"/>
          </w:tcPr>
          <w:p w14:paraId="21368B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血糖</w:t>
            </w:r>
          </w:p>
        </w:tc>
        <w:tc>
          <w:tcPr>
            <w:tcW w:w="7000" w:type="dxa"/>
            <w:tcBorders>
              <w:tl2br w:val="nil"/>
              <w:tr2bl w:val="nil"/>
            </w:tcBorders>
            <w:shd w:val="clear" w:color="auto" w:fill="auto"/>
            <w:vAlign w:val="center"/>
          </w:tcPr>
          <w:p w14:paraId="5CC333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空腹血糖</w:t>
            </w:r>
          </w:p>
        </w:tc>
      </w:tr>
      <w:tr w14:paraId="512A45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7FD3A5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14</w:t>
            </w:r>
          </w:p>
        </w:tc>
        <w:tc>
          <w:tcPr>
            <w:tcW w:w="1800" w:type="dxa"/>
            <w:tcBorders>
              <w:tl2br w:val="nil"/>
              <w:tr2bl w:val="nil"/>
            </w:tcBorders>
            <w:shd w:val="clear" w:color="auto" w:fill="auto"/>
            <w:vAlign w:val="center"/>
          </w:tcPr>
          <w:p w14:paraId="332FED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定性糖尿病</w:t>
            </w:r>
          </w:p>
        </w:tc>
        <w:tc>
          <w:tcPr>
            <w:tcW w:w="7000" w:type="dxa"/>
            <w:tcBorders>
              <w:tl2br w:val="nil"/>
              <w:tr2bl w:val="nil"/>
            </w:tcBorders>
            <w:shd w:val="clear" w:color="auto" w:fill="auto"/>
            <w:vAlign w:val="center"/>
          </w:tcPr>
          <w:p w14:paraId="064246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糖化血红蛋白(HbA1C)</w:t>
            </w:r>
          </w:p>
        </w:tc>
      </w:tr>
      <w:tr w14:paraId="480E2E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0C84DE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15</w:t>
            </w:r>
          </w:p>
        </w:tc>
        <w:tc>
          <w:tcPr>
            <w:tcW w:w="1800" w:type="dxa"/>
            <w:tcBorders>
              <w:tl2br w:val="nil"/>
              <w:tr2bl w:val="nil"/>
            </w:tcBorders>
            <w:shd w:val="clear" w:color="auto" w:fill="auto"/>
            <w:vAlign w:val="center"/>
          </w:tcPr>
          <w:p w14:paraId="66BB12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肿瘤筛查4项</w:t>
            </w:r>
          </w:p>
        </w:tc>
        <w:tc>
          <w:tcPr>
            <w:tcW w:w="7000" w:type="dxa"/>
            <w:tcBorders>
              <w:tl2br w:val="nil"/>
              <w:tr2bl w:val="nil"/>
            </w:tcBorders>
            <w:shd w:val="clear" w:color="auto" w:fill="auto"/>
            <w:vAlign w:val="center"/>
          </w:tcPr>
          <w:p w14:paraId="6F8E86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癌胚抗原CEA(定量)</w:t>
            </w:r>
          </w:p>
        </w:tc>
      </w:tr>
      <w:tr w14:paraId="094E6B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3D861C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16</w:t>
            </w:r>
          </w:p>
        </w:tc>
        <w:tc>
          <w:tcPr>
            <w:tcW w:w="1800" w:type="dxa"/>
            <w:tcBorders>
              <w:tl2br w:val="nil"/>
              <w:tr2bl w:val="nil"/>
            </w:tcBorders>
            <w:shd w:val="clear" w:color="auto" w:fill="auto"/>
            <w:vAlign w:val="center"/>
          </w:tcPr>
          <w:p w14:paraId="6C7805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肿瘤筛查4项</w:t>
            </w:r>
          </w:p>
        </w:tc>
        <w:tc>
          <w:tcPr>
            <w:tcW w:w="7000" w:type="dxa"/>
            <w:tcBorders>
              <w:tl2br w:val="nil"/>
              <w:tr2bl w:val="nil"/>
            </w:tcBorders>
            <w:shd w:val="clear" w:color="auto" w:fill="auto"/>
            <w:vAlign w:val="center"/>
          </w:tcPr>
          <w:p w14:paraId="6134EA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甲胎蛋白AFP（定量）</w:t>
            </w:r>
          </w:p>
        </w:tc>
      </w:tr>
      <w:tr w14:paraId="1F5D3A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015617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17</w:t>
            </w:r>
          </w:p>
        </w:tc>
        <w:tc>
          <w:tcPr>
            <w:tcW w:w="1800" w:type="dxa"/>
            <w:tcBorders>
              <w:tl2br w:val="nil"/>
              <w:tr2bl w:val="nil"/>
            </w:tcBorders>
            <w:shd w:val="clear" w:color="auto" w:fill="auto"/>
            <w:vAlign w:val="center"/>
          </w:tcPr>
          <w:p w14:paraId="5FA0D7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肿瘤筛查4项</w:t>
            </w:r>
          </w:p>
        </w:tc>
        <w:tc>
          <w:tcPr>
            <w:tcW w:w="7000" w:type="dxa"/>
            <w:tcBorders>
              <w:tl2br w:val="nil"/>
              <w:tr2bl w:val="nil"/>
            </w:tcBorders>
            <w:shd w:val="clear" w:color="auto" w:fill="auto"/>
            <w:vAlign w:val="center"/>
          </w:tcPr>
          <w:p w14:paraId="390E1F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糖类抗原125</w:t>
            </w:r>
          </w:p>
        </w:tc>
      </w:tr>
      <w:tr w14:paraId="3D7B44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20D4F0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18</w:t>
            </w:r>
          </w:p>
        </w:tc>
        <w:tc>
          <w:tcPr>
            <w:tcW w:w="1800" w:type="dxa"/>
            <w:tcBorders>
              <w:tl2br w:val="nil"/>
              <w:tr2bl w:val="nil"/>
            </w:tcBorders>
            <w:shd w:val="clear" w:color="auto" w:fill="auto"/>
            <w:vAlign w:val="center"/>
          </w:tcPr>
          <w:p w14:paraId="3DA320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肿瘤筛查4项</w:t>
            </w:r>
          </w:p>
        </w:tc>
        <w:tc>
          <w:tcPr>
            <w:tcW w:w="7000" w:type="dxa"/>
            <w:tcBorders>
              <w:tl2br w:val="nil"/>
              <w:tr2bl w:val="nil"/>
            </w:tcBorders>
            <w:shd w:val="clear" w:color="auto" w:fill="auto"/>
            <w:vAlign w:val="center"/>
          </w:tcPr>
          <w:p w14:paraId="7FAC1D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细胞角蛋白</w:t>
            </w:r>
          </w:p>
        </w:tc>
      </w:tr>
      <w:tr w14:paraId="21EA58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1BF445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19</w:t>
            </w:r>
          </w:p>
        </w:tc>
        <w:tc>
          <w:tcPr>
            <w:tcW w:w="1800" w:type="dxa"/>
            <w:tcBorders>
              <w:tl2br w:val="nil"/>
              <w:tr2bl w:val="nil"/>
            </w:tcBorders>
            <w:shd w:val="clear" w:color="auto" w:fill="auto"/>
            <w:vAlign w:val="center"/>
          </w:tcPr>
          <w:p w14:paraId="6A30CE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血常规</w:t>
            </w:r>
          </w:p>
        </w:tc>
        <w:tc>
          <w:tcPr>
            <w:tcW w:w="7000" w:type="dxa"/>
            <w:tcBorders>
              <w:tl2br w:val="nil"/>
              <w:tr2bl w:val="nil"/>
            </w:tcBorders>
            <w:shd w:val="clear" w:color="auto" w:fill="auto"/>
            <w:vAlign w:val="center"/>
          </w:tcPr>
          <w:p w14:paraId="1E476E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红细胞计数 （RBC）、红细胞压积（HCT）、平均血红蛋白浓度（MCHC）等19项。</w:t>
            </w:r>
          </w:p>
        </w:tc>
      </w:tr>
      <w:tr w14:paraId="47E0D2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343CA1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20</w:t>
            </w:r>
          </w:p>
        </w:tc>
        <w:tc>
          <w:tcPr>
            <w:tcW w:w="1800" w:type="dxa"/>
            <w:tcBorders>
              <w:tl2br w:val="nil"/>
              <w:tr2bl w:val="nil"/>
            </w:tcBorders>
            <w:shd w:val="clear" w:color="auto" w:fill="auto"/>
            <w:vAlign w:val="center"/>
          </w:tcPr>
          <w:p w14:paraId="3964DD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尿常规</w:t>
            </w:r>
          </w:p>
        </w:tc>
        <w:tc>
          <w:tcPr>
            <w:tcW w:w="7000" w:type="dxa"/>
            <w:tcBorders>
              <w:tl2br w:val="nil"/>
              <w:tr2bl w:val="nil"/>
            </w:tcBorders>
            <w:shd w:val="clear" w:color="auto" w:fill="auto"/>
            <w:vAlign w:val="center"/>
          </w:tcPr>
          <w:p w14:paraId="3E080C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尿蛋白 、尿糖 、尿比重 、尿酮体 、尿胆红质 、尿胆元等10项</w:t>
            </w:r>
          </w:p>
        </w:tc>
      </w:tr>
      <w:tr w14:paraId="127D84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6F2B55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21</w:t>
            </w:r>
          </w:p>
        </w:tc>
        <w:tc>
          <w:tcPr>
            <w:tcW w:w="1800" w:type="dxa"/>
            <w:tcBorders>
              <w:tl2br w:val="nil"/>
              <w:tr2bl w:val="nil"/>
            </w:tcBorders>
            <w:shd w:val="clear" w:color="auto" w:fill="auto"/>
            <w:vAlign w:val="center"/>
          </w:tcPr>
          <w:p w14:paraId="1EB009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彩超检查</w:t>
            </w:r>
          </w:p>
        </w:tc>
        <w:tc>
          <w:tcPr>
            <w:tcW w:w="7000" w:type="dxa"/>
            <w:tcBorders>
              <w:tl2br w:val="nil"/>
              <w:tr2bl w:val="nil"/>
            </w:tcBorders>
            <w:shd w:val="clear" w:color="auto" w:fill="auto"/>
            <w:vAlign w:val="center"/>
          </w:tcPr>
          <w:p w14:paraId="5D37EA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肝胆脾胰双肾，甲状腺彩超</w:t>
            </w:r>
          </w:p>
        </w:tc>
      </w:tr>
      <w:tr w14:paraId="4C86FE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28421D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22</w:t>
            </w:r>
          </w:p>
        </w:tc>
        <w:tc>
          <w:tcPr>
            <w:tcW w:w="1800" w:type="dxa"/>
            <w:tcBorders>
              <w:tl2br w:val="nil"/>
              <w:tr2bl w:val="nil"/>
            </w:tcBorders>
            <w:shd w:val="clear" w:color="auto" w:fill="auto"/>
            <w:vAlign w:val="center"/>
          </w:tcPr>
          <w:p w14:paraId="6B8859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经颅多普勒</w:t>
            </w:r>
          </w:p>
        </w:tc>
        <w:tc>
          <w:tcPr>
            <w:tcW w:w="7000" w:type="dxa"/>
            <w:tcBorders>
              <w:tl2br w:val="nil"/>
              <w:tr2bl w:val="nil"/>
            </w:tcBorders>
            <w:shd w:val="clear" w:color="auto" w:fill="auto"/>
            <w:vAlign w:val="center"/>
          </w:tcPr>
          <w:p w14:paraId="7E9DF1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颅脑检测</w:t>
            </w:r>
          </w:p>
        </w:tc>
      </w:tr>
      <w:tr w14:paraId="3735CB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6F7308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23</w:t>
            </w:r>
          </w:p>
        </w:tc>
        <w:tc>
          <w:tcPr>
            <w:tcW w:w="1800" w:type="dxa"/>
            <w:tcBorders>
              <w:tl2br w:val="nil"/>
              <w:tr2bl w:val="nil"/>
            </w:tcBorders>
            <w:shd w:val="clear" w:color="auto" w:fill="auto"/>
            <w:vAlign w:val="center"/>
          </w:tcPr>
          <w:p w14:paraId="3C0777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超敏c-反应蛋白</w:t>
            </w:r>
          </w:p>
        </w:tc>
        <w:tc>
          <w:tcPr>
            <w:tcW w:w="7000" w:type="dxa"/>
            <w:tcBorders>
              <w:tl2br w:val="nil"/>
              <w:tr2bl w:val="nil"/>
            </w:tcBorders>
            <w:shd w:val="clear" w:color="auto" w:fill="auto"/>
            <w:vAlign w:val="center"/>
          </w:tcPr>
          <w:p w14:paraId="72BA0D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该数值指标可明确人体炎症反应严重程度，可进行评估冠状动脉粥样硬化性心脏病。</w:t>
            </w:r>
          </w:p>
        </w:tc>
      </w:tr>
      <w:tr w14:paraId="64BCEAD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21BC69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24</w:t>
            </w:r>
          </w:p>
        </w:tc>
        <w:tc>
          <w:tcPr>
            <w:tcW w:w="1800" w:type="dxa"/>
            <w:tcBorders>
              <w:tl2br w:val="nil"/>
              <w:tr2bl w:val="nil"/>
            </w:tcBorders>
            <w:shd w:val="clear" w:color="auto" w:fill="auto"/>
            <w:vAlign w:val="center"/>
          </w:tcPr>
          <w:p w14:paraId="0FA010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CT检查</w:t>
            </w:r>
          </w:p>
        </w:tc>
        <w:tc>
          <w:tcPr>
            <w:tcW w:w="7000" w:type="dxa"/>
            <w:tcBorders>
              <w:tl2br w:val="nil"/>
              <w:tr2bl w:val="nil"/>
            </w:tcBorders>
            <w:shd w:val="clear" w:color="auto" w:fill="auto"/>
            <w:vAlign w:val="center"/>
          </w:tcPr>
          <w:p w14:paraId="21DAF6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胸部CT</w:t>
            </w:r>
          </w:p>
        </w:tc>
      </w:tr>
      <w:tr w14:paraId="7DA407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6B1110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25</w:t>
            </w:r>
          </w:p>
        </w:tc>
        <w:tc>
          <w:tcPr>
            <w:tcW w:w="1800" w:type="dxa"/>
            <w:tcBorders>
              <w:tl2br w:val="nil"/>
              <w:tr2bl w:val="nil"/>
            </w:tcBorders>
            <w:shd w:val="clear" w:color="auto" w:fill="auto"/>
            <w:vAlign w:val="center"/>
          </w:tcPr>
          <w:p w14:paraId="762843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X线检查（高清DR）</w:t>
            </w:r>
          </w:p>
        </w:tc>
        <w:tc>
          <w:tcPr>
            <w:tcW w:w="7000" w:type="dxa"/>
            <w:tcBorders>
              <w:tl2br w:val="nil"/>
              <w:tr2bl w:val="nil"/>
            </w:tcBorders>
            <w:shd w:val="clear" w:color="auto" w:fill="auto"/>
            <w:vAlign w:val="center"/>
          </w:tcPr>
          <w:p w14:paraId="6F2E44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颈椎侧位片</w:t>
            </w:r>
          </w:p>
        </w:tc>
      </w:tr>
      <w:tr w14:paraId="1F9411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398049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26</w:t>
            </w:r>
          </w:p>
        </w:tc>
        <w:tc>
          <w:tcPr>
            <w:tcW w:w="1800" w:type="dxa"/>
            <w:tcBorders>
              <w:tl2br w:val="nil"/>
              <w:tr2bl w:val="nil"/>
            </w:tcBorders>
            <w:shd w:val="clear" w:color="auto" w:fill="auto"/>
            <w:vAlign w:val="center"/>
          </w:tcPr>
          <w:p w14:paraId="04638B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X线检查（高清DR）</w:t>
            </w:r>
          </w:p>
        </w:tc>
        <w:tc>
          <w:tcPr>
            <w:tcW w:w="7000" w:type="dxa"/>
            <w:tcBorders>
              <w:tl2br w:val="nil"/>
              <w:tr2bl w:val="nil"/>
            </w:tcBorders>
            <w:shd w:val="clear" w:color="auto" w:fill="auto"/>
            <w:vAlign w:val="center"/>
          </w:tcPr>
          <w:p w14:paraId="789D78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腰椎侧位片</w:t>
            </w:r>
          </w:p>
        </w:tc>
      </w:tr>
      <w:tr w14:paraId="2A7FE7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6D8BFD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27</w:t>
            </w:r>
          </w:p>
        </w:tc>
        <w:tc>
          <w:tcPr>
            <w:tcW w:w="1800" w:type="dxa"/>
            <w:tcBorders>
              <w:tl2br w:val="nil"/>
              <w:tr2bl w:val="nil"/>
            </w:tcBorders>
            <w:shd w:val="clear" w:color="auto" w:fill="auto"/>
            <w:vAlign w:val="center"/>
          </w:tcPr>
          <w:p w14:paraId="1B3E6C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男性员工彩超检查</w:t>
            </w:r>
          </w:p>
        </w:tc>
        <w:tc>
          <w:tcPr>
            <w:tcW w:w="7000" w:type="dxa"/>
            <w:tcBorders>
              <w:tl2br w:val="nil"/>
              <w:tr2bl w:val="nil"/>
            </w:tcBorders>
            <w:shd w:val="clear" w:color="auto" w:fill="auto"/>
            <w:vAlign w:val="center"/>
          </w:tcPr>
          <w:p w14:paraId="3003B7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前列腺彩超（彩超机）</w:t>
            </w:r>
          </w:p>
        </w:tc>
      </w:tr>
      <w:tr w14:paraId="54A1C9F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62D892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28</w:t>
            </w:r>
          </w:p>
        </w:tc>
        <w:tc>
          <w:tcPr>
            <w:tcW w:w="1800" w:type="dxa"/>
            <w:tcBorders>
              <w:tl2br w:val="nil"/>
              <w:tr2bl w:val="nil"/>
            </w:tcBorders>
            <w:shd w:val="clear" w:color="auto" w:fill="auto"/>
            <w:vAlign w:val="center"/>
          </w:tcPr>
          <w:p w14:paraId="292E27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女性员工彩超检查</w:t>
            </w:r>
          </w:p>
        </w:tc>
        <w:tc>
          <w:tcPr>
            <w:tcW w:w="7000" w:type="dxa"/>
            <w:tcBorders>
              <w:tl2br w:val="nil"/>
              <w:tr2bl w:val="nil"/>
            </w:tcBorders>
            <w:shd w:val="clear" w:color="auto" w:fill="auto"/>
            <w:vAlign w:val="center"/>
          </w:tcPr>
          <w:p w14:paraId="22AAFD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彩超检查双侧乳腺（彩超机）</w:t>
            </w:r>
          </w:p>
        </w:tc>
      </w:tr>
      <w:tr w14:paraId="6089FED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1665FC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29</w:t>
            </w:r>
          </w:p>
        </w:tc>
        <w:tc>
          <w:tcPr>
            <w:tcW w:w="1800" w:type="dxa"/>
            <w:tcBorders>
              <w:tl2br w:val="nil"/>
              <w:tr2bl w:val="nil"/>
            </w:tcBorders>
            <w:shd w:val="clear" w:color="auto" w:fill="auto"/>
            <w:vAlign w:val="center"/>
          </w:tcPr>
          <w:p w14:paraId="27CA7E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女性已婚员工彩超检查</w:t>
            </w:r>
          </w:p>
        </w:tc>
        <w:tc>
          <w:tcPr>
            <w:tcW w:w="7000" w:type="dxa"/>
            <w:tcBorders>
              <w:tl2br w:val="nil"/>
              <w:tr2bl w:val="nil"/>
            </w:tcBorders>
            <w:shd w:val="clear" w:color="auto" w:fill="auto"/>
            <w:vAlign w:val="center"/>
          </w:tcPr>
          <w:p w14:paraId="39BD10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阴式彩超（阴彩有侵入性，不适合未婚的女士做此项目，未婚做子宫附件彩超）</w:t>
            </w:r>
          </w:p>
        </w:tc>
      </w:tr>
      <w:tr w14:paraId="0999A2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56467B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30</w:t>
            </w:r>
          </w:p>
        </w:tc>
        <w:tc>
          <w:tcPr>
            <w:tcW w:w="1800" w:type="dxa"/>
            <w:tcBorders>
              <w:tl2br w:val="nil"/>
              <w:tr2bl w:val="nil"/>
            </w:tcBorders>
            <w:shd w:val="clear" w:color="auto" w:fill="auto"/>
            <w:vAlign w:val="center"/>
          </w:tcPr>
          <w:p w14:paraId="35688A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女性未婚员工彩超检查</w:t>
            </w:r>
          </w:p>
        </w:tc>
        <w:tc>
          <w:tcPr>
            <w:tcW w:w="7000" w:type="dxa"/>
            <w:tcBorders>
              <w:tl2br w:val="nil"/>
              <w:tr2bl w:val="nil"/>
            </w:tcBorders>
            <w:shd w:val="clear" w:color="auto" w:fill="auto"/>
            <w:vAlign w:val="center"/>
          </w:tcPr>
          <w:p w14:paraId="2D21D7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子宫附件彩超</w:t>
            </w:r>
          </w:p>
        </w:tc>
      </w:tr>
      <w:tr w14:paraId="501F6D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2ABDED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31</w:t>
            </w:r>
          </w:p>
        </w:tc>
        <w:tc>
          <w:tcPr>
            <w:tcW w:w="1800" w:type="dxa"/>
            <w:tcBorders>
              <w:tl2br w:val="nil"/>
              <w:tr2bl w:val="nil"/>
            </w:tcBorders>
            <w:shd w:val="clear" w:color="auto" w:fill="auto"/>
            <w:vAlign w:val="center"/>
          </w:tcPr>
          <w:p w14:paraId="387492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妇科检查</w:t>
            </w:r>
          </w:p>
        </w:tc>
        <w:tc>
          <w:tcPr>
            <w:tcW w:w="7000" w:type="dxa"/>
            <w:tcBorders>
              <w:tl2br w:val="nil"/>
              <w:tr2bl w:val="nil"/>
            </w:tcBorders>
            <w:shd w:val="clear" w:color="auto" w:fill="auto"/>
            <w:vAlign w:val="center"/>
          </w:tcPr>
          <w:p w14:paraId="3DC197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妇检</w:t>
            </w:r>
          </w:p>
        </w:tc>
      </w:tr>
      <w:tr w14:paraId="54373F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295D3D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32</w:t>
            </w:r>
          </w:p>
        </w:tc>
        <w:tc>
          <w:tcPr>
            <w:tcW w:w="1800" w:type="dxa"/>
            <w:tcBorders>
              <w:tl2br w:val="nil"/>
              <w:tr2bl w:val="nil"/>
            </w:tcBorders>
            <w:shd w:val="clear" w:color="auto" w:fill="auto"/>
            <w:vAlign w:val="center"/>
          </w:tcPr>
          <w:p w14:paraId="1F6E3D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白带常规</w:t>
            </w:r>
          </w:p>
        </w:tc>
        <w:tc>
          <w:tcPr>
            <w:tcW w:w="7000" w:type="dxa"/>
            <w:tcBorders>
              <w:tl2br w:val="nil"/>
              <w:tr2bl w:val="nil"/>
            </w:tcBorders>
            <w:shd w:val="clear" w:color="auto" w:fill="auto"/>
            <w:vAlign w:val="center"/>
          </w:tcPr>
          <w:p w14:paraId="70772A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白带常规</w:t>
            </w:r>
          </w:p>
        </w:tc>
      </w:tr>
      <w:tr w14:paraId="534DF2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 w:type="dxa"/>
            <w:tcBorders>
              <w:tl2br w:val="nil"/>
              <w:tr2bl w:val="nil"/>
            </w:tcBorders>
            <w:shd w:val="clear" w:color="auto" w:fill="auto"/>
            <w:vAlign w:val="center"/>
          </w:tcPr>
          <w:p w14:paraId="2CFDCE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33</w:t>
            </w:r>
          </w:p>
        </w:tc>
        <w:tc>
          <w:tcPr>
            <w:tcW w:w="1800" w:type="dxa"/>
            <w:tcBorders>
              <w:tl2br w:val="nil"/>
              <w:tr2bl w:val="nil"/>
            </w:tcBorders>
            <w:shd w:val="clear" w:color="auto" w:fill="auto"/>
            <w:vAlign w:val="center"/>
          </w:tcPr>
          <w:p w14:paraId="4EBEF6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宫颈刮片</w:t>
            </w:r>
          </w:p>
        </w:tc>
        <w:tc>
          <w:tcPr>
            <w:tcW w:w="7000" w:type="dxa"/>
            <w:tcBorders>
              <w:tl2br w:val="nil"/>
              <w:tr2bl w:val="nil"/>
            </w:tcBorders>
            <w:shd w:val="clear" w:color="auto" w:fill="auto"/>
            <w:vAlign w:val="center"/>
          </w:tcPr>
          <w:p w14:paraId="7DBD01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宫颈疾病检查</w:t>
            </w:r>
          </w:p>
        </w:tc>
      </w:tr>
      <w:tr w14:paraId="163825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7000" w:type="dxa"/>
            <w:tcBorders>
              <w:tl2br w:val="nil"/>
              <w:tr2bl w:val="nil"/>
            </w:tcBorders>
            <w:shd w:val="clear" w:color="auto" w:fill="auto"/>
            <w:vAlign w:val="center"/>
          </w:tcPr>
          <w:p w14:paraId="14361A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b/>
                <w:i w:val="0"/>
                <w:iCs w:val="0"/>
                <w:color w:val="000000"/>
                <w:kern w:val="0"/>
                <w:sz w:val="21"/>
                <w:szCs w:val="21"/>
                <w:highlight w:val="none"/>
                <w:u w:val="none"/>
                <w:lang w:val="en-US" w:eastAsia="zh-CN" w:bidi="ar"/>
              </w:rPr>
              <w:t>套餐小计价格</w:t>
            </w:r>
          </w:p>
        </w:tc>
        <w:tc>
          <w:tcPr>
            <w:tcW w:w="7000" w:type="dxa"/>
            <w:tcBorders>
              <w:tl2br w:val="nil"/>
              <w:tr2bl w:val="nil"/>
            </w:tcBorders>
            <w:shd w:val="clear" w:color="auto" w:fill="auto"/>
            <w:vAlign w:val="center"/>
          </w:tcPr>
          <w:p w14:paraId="381A46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p>
        </w:tc>
        <w:tc>
          <w:tcPr>
            <w:tcW w:w="7000" w:type="dxa"/>
            <w:tcBorders>
              <w:tl2br w:val="nil"/>
              <w:tr2bl w:val="nil"/>
            </w:tcBorders>
            <w:shd w:val="clear" w:color="auto" w:fill="auto"/>
            <w:vAlign w:val="center"/>
          </w:tcPr>
          <w:p w14:paraId="330844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b/>
                <w:i w:val="0"/>
                <w:iCs w:val="0"/>
                <w:color w:val="000000"/>
                <w:kern w:val="0"/>
                <w:sz w:val="21"/>
                <w:szCs w:val="21"/>
                <w:highlight w:val="none"/>
                <w:u w:val="none"/>
                <w:lang w:val="en-US" w:eastAsia="zh-CN" w:bidi="ar"/>
              </w:rPr>
              <w:t>500元/人</w:t>
            </w:r>
          </w:p>
        </w:tc>
      </w:tr>
    </w:tbl>
    <w:p w14:paraId="2F2CE7FD">
      <w:pPr>
        <w:keepNext w:val="0"/>
        <w:keepLines w:val="0"/>
        <w:pageBreakBefore w:val="0"/>
        <w:widowControl/>
        <w:kinsoku/>
        <w:wordWrap/>
        <w:overflowPunct/>
        <w:topLinePunct w:val="0"/>
        <w:autoSpaceDE/>
        <w:autoSpaceDN/>
        <w:bidi w:val="0"/>
        <w:adjustRightInd/>
        <w:snapToGrid w:val="0"/>
        <w:spacing w:line="560" w:lineRule="exact"/>
        <w:ind w:firstLine="640" w:firstLineChars="200"/>
        <w:jc w:val="left"/>
        <w:textAlignment w:val="auto"/>
        <w:rPr>
          <w:rFonts w:hint="eastAsia" w:ascii="仿宋" w:hAnsi="仿宋" w:eastAsia="仿宋_GB2312" w:cs="仿宋"/>
          <w:bCs/>
          <w:sz w:val="32"/>
          <w:szCs w:val="32"/>
          <w:highlight w:val="none"/>
        </w:rPr>
      </w:pPr>
      <w:r>
        <w:rPr>
          <w:rFonts w:hint="eastAsia" w:ascii="仿宋" w:hAnsi="仿宋" w:eastAsia="仿宋_GB2312" w:cs="仿宋"/>
          <w:bCs/>
          <w:color w:val="000000"/>
          <w:sz w:val="32"/>
          <w:szCs w:val="32"/>
          <w:highlight w:val="none"/>
          <w:lang w:eastAsia="zh-CN"/>
        </w:rPr>
        <w:t>（3）限价不超过1000元标准套餐应至少包括以下基准项目:</w:t>
      </w:r>
    </w:p>
    <w:tbl>
      <w:tblPr>
        <w:tblStyle w:val="15"/>
        <w:tblW w:w="827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557"/>
        <w:gridCol w:w="2679"/>
        <w:gridCol w:w="3036"/>
      </w:tblGrid>
      <w:tr w14:paraId="4FDC18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00" w:hRule="atLeast"/>
          <w:jc w:val="center"/>
        </w:trPr>
        <w:tc>
          <w:tcPr>
            <w:tcW w:w="700" w:type="dxa"/>
            <w:tcBorders>
              <w:tl2br w:val="nil"/>
              <w:tr2bl w:val="nil"/>
            </w:tcBorders>
            <w:shd w:val="clear" w:color="auto" w:fill="auto"/>
            <w:vAlign w:val="center"/>
          </w:tcPr>
          <w:p w14:paraId="09A612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b/>
                <w:bCs/>
                <w:i w:val="0"/>
                <w:iCs w:val="0"/>
                <w:color w:val="000000"/>
                <w:sz w:val="24"/>
                <w:szCs w:val="24"/>
                <w:highlight w:val="none"/>
                <w:u w:val="none"/>
              </w:rPr>
            </w:pPr>
            <w:r>
              <w:rPr>
                <w:rFonts w:hint="eastAsia" w:asciiTheme="minorEastAsia" w:hAnsiTheme="minorEastAsia" w:eastAsiaTheme="minorEastAsia" w:cstheme="minorEastAsia"/>
                <w:b/>
                <w:bCs/>
                <w:i w:val="0"/>
                <w:iCs w:val="0"/>
                <w:color w:val="000000"/>
                <w:kern w:val="0"/>
                <w:sz w:val="24"/>
                <w:szCs w:val="24"/>
                <w:highlight w:val="none"/>
                <w:u w:val="none"/>
                <w:lang w:val="en-US" w:eastAsia="zh-CN" w:bidi="ar"/>
              </w:rPr>
              <w:t>序号</w:t>
            </w:r>
          </w:p>
        </w:tc>
        <w:tc>
          <w:tcPr>
            <w:tcW w:w="1800" w:type="dxa"/>
            <w:tcBorders>
              <w:tl2br w:val="nil"/>
              <w:tr2bl w:val="nil"/>
            </w:tcBorders>
            <w:shd w:val="clear" w:color="auto" w:fill="auto"/>
            <w:vAlign w:val="center"/>
          </w:tcPr>
          <w:p w14:paraId="1E7B81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b/>
                <w:bCs/>
                <w:i w:val="0"/>
                <w:iCs w:val="0"/>
                <w:color w:val="000000"/>
                <w:sz w:val="24"/>
                <w:szCs w:val="24"/>
                <w:highlight w:val="none"/>
                <w:u w:val="none"/>
              </w:rPr>
            </w:pPr>
            <w:r>
              <w:rPr>
                <w:rFonts w:hint="eastAsia" w:asciiTheme="minorEastAsia" w:hAnsiTheme="minorEastAsia" w:eastAsiaTheme="minorEastAsia" w:cstheme="minorEastAsia"/>
                <w:b/>
                <w:bCs/>
                <w:i w:val="0"/>
                <w:iCs w:val="0"/>
                <w:color w:val="000000"/>
                <w:kern w:val="0"/>
                <w:sz w:val="24"/>
                <w:szCs w:val="24"/>
                <w:highlight w:val="none"/>
                <w:u w:val="none"/>
                <w:lang w:val="en-US" w:eastAsia="zh-CN" w:bidi="ar"/>
              </w:rPr>
              <w:t>检查大类</w:t>
            </w:r>
          </w:p>
        </w:tc>
        <w:tc>
          <w:tcPr>
            <w:tcW w:w="7000" w:type="dxa"/>
            <w:tcBorders>
              <w:tl2br w:val="nil"/>
              <w:tr2bl w:val="nil"/>
            </w:tcBorders>
            <w:shd w:val="clear" w:color="auto" w:fill="auto"/>
            <w:vAlign w:val="center"/>
          </w:tcPr>
          <w:p w14:paraId="5047B6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b/>
                <w:bCs/>
                <w:i w:val="0"/>
                <w:iCs w:val="0"/>
                <w:color w:val="000000"/>
                <w:sz w:val="24"/>
                <w:szCs w:val="24"/>
                <w:highlight w:val="none"/>
                <w:u w:val="none"/>
              </w:rPr>
            </w:pPr>
            <w:r>
              <w:rPr>
                <w:rFonts w:hint="eastAsia" w:asciiTheme="minorEastAsia" w:hAnsiTheme="minorEastAsia" w:eastAsiaTheme="minorEastAsia" w:cstheme="minorEastAsia"/>
                <w:b/>
                <w:bCs/>
                <w:i w:val="0"/>
                <w:iCs w:val="0"/>
                <w:color w:val="000000"/>
                <w:kern w:val="0"/>
                <w:sz w:val="24"/>
                <w:szCs w:val="24"/>
                <w:highlight w:val="none"/>
                <w:u w:val="none"/>
                <w:lang w:val="en-US" w:eastAsia="zh-CN" w:bidi="ar"/>
              </w:rPr>
              <w:t>基准项目</w:t>
            </w:r>
          </w:p>
        </w:tc>
      </w:tr>
      <w:tr w14:paraId="2D6E1B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2F4C85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800" w:type="dxa"/>
            <w:tcBorders>
              <w:tl2br w:val="nil"/>
              <w:tr2bl w:val="nil"/>
            </w:tcBorders>
            <w:shd w:val="clear" w:color="auto" w:fill="auto"/>
            <w:vAlign w:val="center"/>
          </w:tcPr>
          <w:p w14:paraId="76D38C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一般检查</w:t>
            </w:r>
          </w:p>
        </w:tc>
        <w:tc>
          <w:tcPr>
            <w:tcW w:w="7000" w:type="dxa"/>
            <w:tcBorders>
              <w:tl2br w:val="nil"/>
              <w:tr2bl w:val="nil"/>
            </w:tcBorders>
            <w:shd w:val="clear" w:color="auto" w:fill="auto"/>
            <w:vAlign w:val="center"/>
          </w:tcPr>
          <w:p w14:paraId="1B7DBB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身高、体重</w:t>
            </w:r>
          </w:p>
        </w:tc>
      </w:tr>
      <w:tr w14:paraId="00962C2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13265C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1800" w:type="dxa"/>
            <w:tcBorders>
              <w:tl2br w:val="nil"/>
              <w:tr2bl w:val="nil"/>
            </w:tcBorders>
            <w:shd w:val="clear" w:color="auto" w:fill="auto"/>
            <w:vAlign w:val="center"/>
          </w:tcPr>
          <w:p w14:paraId="59FAED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一般检查</w:t>
            </w:r>
          </w:p>
        </w:tc>
        <w:tc>
          <w:tcPr>
            <w:tcW w:w="7000" w:type="dxa"/>
            <w:tcBorders>
              <w:tl2br w:val="nil"/>
              <w:tr2bl w:val="nil"/>
            </w:tcBorders>
            <w:shd w:val="clear" w:color="auto" w:fill="auto"/>
            <w:vAlign w:val="center"/>
          </w:tcPr>
          <w:p w14:paraId="1CC836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血压</w:t>
            </w:r>
          </w:p>
        </w:tc>
      </w:tr>
      <w:tr w14:paraId="45A40F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03EB07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1800" w:type="dxa"/>
            <w:tcBorders>
              <w:tl2br w:val="nil"/>
              <w:tr2bl w:val="nil"/>
            </w:tcBorders>
            <w:shd w:val="clear" w:color="auto" w:fill="auto"/>
            <w:vAlign w:val="center"/>
          </w:tcPr>
          <w:p w14:paraId="31371F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内科</w:t>
            </w:r>
          </w:p>
        </w:tc>
        <w:tc>
          <w:tcPr>
            <w:tcW w:w="7000" w:type="dxa"/>
            <w:tcBorders>
              <w:tl2br w:val="nil"/>
              <w:tr2bl w:val="nil"/>
            </w:tcBorders>
            <w:shd w:val="clear" w:color="auto" w:fill="auto"/>
            <w:vAlign w:val="center"/>
          </w:tcPr>
          <w:p w14:paraId="610F4F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内科</w:t>
            </w:r>
          </w:p>
        </w:tc>
      </w:tr>
      <w:tr w14:paraId="4AC875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3AC635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800" w:type="dxa"/>
            <w:tcBorders>
              <w:tl2br w:val="nil"/>
              <w:tr2bl w:val="nil"/>
            </w:tcBorders>
            <w:shd w:val="clear" w:color="auto" w:fill="auto"/>
            <w:vAlign w:val="center"/>
          </w:tcPr>
          <w:p w14:paraId="45376C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外科</w:t>
            </w:r>
          </w:p>
        </w:tc>
        <w:tc>
          <w:tcPr>
            <w:tcW w:w="7000" w:type="dxa"/>
            <w:tcBorders>
              <w:tl2br w:val="nil"/>
              <w:tr2bl w:val="nil"/>
            </w:tcBorders>
            <w:shd w:val="clear" w:color="auto" w:fill="auto"/>
            <w:vAlign w:val="center"/>
          </w:tcPr>
          <w:p w14:paraId="3F955F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外科</w:t>
            </w:r>
          </w:p>
        </w:tc>
      </w:tr>
      <w:tr w14:paraId="269722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07B9D1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5</w:t>
            </w:r>
          </w:p>
        </w:tc>
        <w:tc>
          <w:tcPr>
            <w:tcW w:w="1800" w:type="dxa"/>
            <w:tcBorders>
              <w:tl2br w:val="nil"/>
              <w:tr2bl w:val="nil"/>
            </w:tcBorders>
            <w:shd w:val="clear" w:color="auto" w:fill="auto"/>
            <w:vAlign w:val="center"/>
          </w:tcPr>
          <w:p w14:paraId="6066C4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视力 色觉</w:t>
            </w:r>
          </w:p>
        </w:tc>
        <w:tc>
          <w:tcPr>
            <w:tcW w:w="7000" w:type="dxa"/>
            <w:tcBorders>
              <w:tl2br w:val="nil"/>
              <w:tr2bl w:val="nil"/>
            </w:tcBorders>
            <w:shd w:val="clear" w:color="auto" w:fill="auto"/>
            <w:vAlign w:val="center"/>
          </w:tcPr>
          <w:p w14:paraId="7AEE79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视力 色觉</w:t>
            </w:r>
          </w:p>
        </w:tc>
      </w:tr>
      <w:tr w14:paraId="7D0C9F3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55E0D3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6</w:t>
            </w:r>
          </w:p>
        </w:tc>
        <w:tc>
          <w:tcPr>
            <w:tcW w:w="1800" w:type="dxa"/>
            <w:tcBorders>
              <w:tl2br w:val="nil"/>
              <w:tr2bl w:val="nil"/>
            </w:tcBorders>
            <w:shd w:val="clear" w:color="auto" w:fill="auto"/>
            <w:vAlign w:val="center"/>
          </w:tcPr>
          <w:p w14:paraId="6EF4F4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耳鼻咽喉科</w:t>
            </w:r>
          </w:p>
        </w:tc>
        <w:tc>
          <w:tcPr>
            <w:tcW w:w="7000" w:type="dxa"/>
            <w:tcBorders>
              <w:tl2br w:val="nil"/>
              <w:tr2bl w:val="nil"/>
            </w:tcBorders>
            <w:shd w:val="clear" w:color="auto" w:fill="auto"/>
            <w:vAlign w:val="center"/>
          </w:tcPr>
          <w:p w14:paraId="596C14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耳鼻咽喉科</w:t>
            </w:r>
          </w:p>
        </w:tc>
      </w:tr>
      <w:tr w14:paraId="7E6F826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62B4A5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7</w:t>
            </w:r>
          </w:p>
        </w:tc>
        <w:tc>
          <w:tcPr>
            <w:tcW w:w="1800" w:type="dxa"/>
            <w:tcBorders>
              <w:tl2br w:val="nil"/>
              <w:tr2bl w:val="nil"/>
            </w:tcBorders>
            <w:shd w:val="clear" w:color="auto" w:fill="auto"/>
            <w:vAlign w:val="center"/>
          </w:tcPr>
          <w:p w14:paraId="721325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口腔科</w:t>
            </w:r>
          </w:p>
        </w:tc>
        <w:tc>
          <w:tcPr>
            <w:tcW w:w="7000" w:type="dxa"/>
            <w:tcBorders>
              <w:tl2br w:val="nil"/>
              <w:tr2bl w:val="nil"/>
            </w:tcBorders>
            <w:shd w:val="clear" w:color="auto" w:fill="auto"/>
            <w:vAlign w:val="center"/>
          </w:tcPr>
          <w:p w14:paraId="4B90A4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口腔常规检查，全面了解口腔健康状况，及时发现口腔科常见疾病。</w:t>
            </w:r>
          </w:p>
        </w:tc>
      </w:tr>
      <w:tr w14:paraId="696243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12DDBA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8</w:t>
            </w:r>
          </w:p>
        </w:tc>
        <w:tc>
          <w:tcPr>
            <w:tcW w:w="1800" w:type="dxa"/>
            <w:tcBorders>
              <w:tl2br w:val="nil"/>
              <w:tr2bl w:val="nil"/>
            </w:tcBorders>
            <w:shd w:val="clear" w:color="auto" w:fill="auto"/>
            <w:vAlign w:val="center"/>
          </w:tcPr>
          <w:p w14:paraId="098A70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肝功能11项</w:t>
            </w:r>
          </w:p>
        </w:tc>
        <w:tc>
          <w:tcPr>
            <w:tcW w:w="7000" w:type="dxa"/>
            <w:tcBorders>
              <w:tl2br w:val="nil"/>
              <w:tr2bl w:val="nil"/>
            </w:tcBorders>
            <w:shd w:val="clear" w:color="auto" w:fill="auto"/>
            <w:vAlign w:val="center"/>
          </w:tcPr>
          <w:p w14:paraId="705B89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白蛋白/球蛋白(计算值); 血清总蛋白 ; 血清白蛋白 ; 血清总胆红素; 血清直接胆红素(结合胆红素); 血清间接胆红素(计算值)(非结合胆红素); 血清丙氨酸氨基转移酶; 血清天门冬氨酸氨基转移酶; 血清γ-谷氨酰基转移酶; 血清球蛋白(计算值); 天门冬氨酸氨基转移酶/丙氨酸氨基转移酶(计算值)</w:t>
            </w:r>
          </w:p>
        </w:tc>
      </w:tr>
      <w:tr w14:paraId="14493C3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700AEE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9</w:t>
            </w:r>
          </w:p>
        </w:tc>
        <w:tc>
          <w:tcPr>
            <w:tcW w:w="1800" w:type="dxa"/>
            <w:tcBorders>
              <w:tl2br w:val="nil"/>
              <w:tr2bl w:val="nil"/>
            </w:tcBorders>
            <w:shd w:val="clear" w:color="auto" w:fill="auto"/>
            <w:vAlign w:val="center"/>
          </w:tcPr>
          <w:p w14:paraId="289F4E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肾功能三项</w:t>
            </w:r>
          </w:p>
        </w:tc>
        <w:tc>
          <w:tcPr>
            <w:tcW w:w="7000" w:type="dxa"/>
            <w:tcBorders>
              <w:tl2br w:val="nil"/>
              <w:tr2bl w:val="nil"/>
            </w:tcBorders>
            <w:shd w:val="clear" w:color="auto" w:fill="auto"/>
            <w:vAlign w:val="center"/>
          </w:tcPr>
          <w:p w14:paraId="07B6C5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尿素氮(BUN)、肌酐(CR)、尿酸</w:t>
            </w:r>
          </w:p>
        </w:tc>
      </w:tr>
      <w:tr w14:paraId="20D869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0EBB0B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10</w:t>
            </w:r>
          </w:p>
        </w:tc>
        <w:tc>
          <w:tcPr>
            <w:tcW w:w="1800" w:type="dxa"/>
            <w:tcBorders>
              <w:tl2br w:val="nil"/>
              <w:tr2bl w:val="nil"/>
            </w:tcBorders>
            <w:shd w:val="clear" w:color="auto" w:fill="auto"/>
            <w:vAlign w:val="center"/>
          </w:tcPr>
          <w:p w14:paraId="7F9BD0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血脂四项</w:t>
            </w:r>
          </w:p>
        </w:tc>
        <w:tc>
          <w:tcPr>
            <w:tcW w:w="7000" w:type="dxa"/>
            <w:tcBorders>
              <w:tl2br w:val="nil"/>
              <w:tr2bl w:val="nil"/>
            </w:tcBorders>
            <w:shd w:val="clear" w:color="auto" w:fill="auto"/>
            <w:vAlign w:val="center"/>
          </w:tcPr>
          <w:p w14:paraId="6E1F45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总胆固醇、甘油三脂、低密度脂蛋白胆固醇、高密度脂蛋白胆固醇</w:t>
            </w:r>
          </w:p>
        </w:tc>
      </w:tr>
      <w:tr w14:paraId="3C6868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348095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11</w:t>
            </w:r>
          </w:p>
        </w:tc>
        <w:tc>
          <w:tcPr>
            <w:tcW w:w="1800" w:type="dxa"/>
            <w:tcBorders>
              <w:tl2br w:val="nil"/>
              <w:tr2bl w:val="nil"/>
            </w:tcBorders>
            <w:shd w:val="clear" w:color="auto" w:fill="auto"/>
            <w:vAlign w:val="center"/>
          </w:tcPr>
          <w:p w14:paraId="479350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甲功三项A</w:t>
            </w:r>
          </w:p>
        </w:tc>
        <w:tc>
          <w:tcPr>
            <w:tcW w:w="7000" w:type="dxa"/>
            <w:tcBorders>
              <w:tl2br w:val="nil"/>
              <w:tr2bl w:val="nil"/>
            </w:tcBorders>
            <w:shd w:val="clear" w:color="auto" w:fill="auto"/>
            <w:vAlign w:val="center"/>
          </w:tcPr>
          <w:p w14:paraId="6685C2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甲功三项A</w:t>
            </w:r>
          </w:p>
        </w:tc>
      </w:tr>
      <w:tr w14:paraId="50B359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76AC4C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12</w:t>
            </w:r>
          </w:p>
        </w:tc>
        <w:tc>
          <w:tcPr>
            <w:tcW w:w="1800" w:type="dxa"/>
            <w:tcBorders>
              <w:tl2br w:val="nil"/>
              <w:tr2bl w:val="nil"/>
            </w:tcBorders>
            <w:shd w:val="clear" w:color="auto" w:fill="auto"/>
            <w:vAlign w:val="center"/>
          </w:tcPr>
          <w:p w14:paraId="30F122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血糖</w:t>
            </w:r>
          </w:p>
        </w:tc>
        <w:tc>
          <w:tcPr>
            <w:tcW w:w="7000" w:type="dxa"/>
            <w:tcBorders>
              <w:tl2br w:val="nil"/>
              <w:tr2bl w:val="nil"/>
            </w:tcBorders>
            <w:shd w:val="clear" w:color="auto" w:fill="auto"/>
            <w:vAlign w:val="center"/>
          </w:tcPr>
          <w:p w14:paraId="41EC4A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空腹血糖</w:t>
            </w:r>
          </w:p>
        </w:tc>
      </w:tr>
      <w:tr w14:paraId="72C5E7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1BB1E3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13</w:t>
            </w:r>
          </w:p>
        </w:tc>
        <w:tc>
          <w:tcPr>
            <w:tcW w:w="1800" w:type="dxa"/>
            <w:tcBorders>
              <w:tl2br w:val="nil"/>
              <w:tr2bl w:val="nil"/>
            </w:tcBorders>
            <w:shd w:val="clear" w:color="auto" w:fill="auto"/>
            <w:vAlign w:val="center"/>
          </w:tcPr>
          <w:p w14:paraId="7FB527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定性糖尿病</w:t>
            </w:r>
          </w:p>
        </w:tc>
        <w:tc>
          <w:tcPr>
            <w:tcW w:w="7000" w:type="dxa"/>
            <w:tcBorders>
              <w:tl2br w:val="nil"/>
              <w:tr2bl w:val="nil"/>
            </w:tcBorders>
            <w:shd w:val="clear" w:color="auto" w:fill="auto"/>
            <w:vAlign w:val="center"/>
          </w:tcPr>
          <w:p w14:paraId="0ADF2F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糖化血红蛋白(HbA1C)</w:t>
            </w:r>
          </w:p>
        </w:tc>
      </w:tr>
      <w:tr w14:paraId="7CBCC2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2D92A6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14</w:t>
            </w:r>
          </w:p>
        </w:tc>
        <w:tc>
          <w:tcPr>
            <w:tcW w:w="1800" w:type="dxa"/>
            <w:tcBorders>
              <w:tl2br w:val="nil"/>
              <w:tr2bl w:val="nil"/>
            </w:tcBorders>
            <w:shd w:val="clear" w:color="auto" w:fill="auto"/>
            <w:vAlign w:val="center"/>
          </w:tcPr>
          <w:p w14:paraId="6B66E8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肿瘤筛查</w:t>
            </w:r>
          </w:p>
        </w:tc>
        <w:tc>
          <w:tcPr>
            <w:tcW w:w="7000" w:type="dxa"/>
            <w:tcBorders>
              <w:tl2br w:val="nil"/>
              <w:tr2bl w:val="nil"/>
            </w:tcBorders>
            <w:shd w:val="clear" w:color="auto" w:fill="auto"/>
            <w:vAlign w:val="center"/>
          </w:tcPr>
          <w:p w14:paraId="02FE02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癌胚抗原CEA(定量)</w:t>
            </w:r>
          </w:p>
        </w:tc>
      </w:tr>
      <w:tr w14:paraId="42CC42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35FA24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15</w:t>
            </w:r>
          </w:p>
        </w:tc>
        <w:tc>
          <w:tcPr>
            <w:tcW w:w="1800" w:type="dxa"/>
            <w:tcBorders>
              <w:tl2br w:val="nil"/>
              <w:tr2bl w:val="nil"/>
            </w:tcBorders>
            <w:shd w:val="clear" w:color="auto" w:fill="auto"/>
            <w:vAlign w:val="center"/>
          </w:tcPr>
          <w:p w14:paraId="6FBDD8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肿瘤筛查</w:t>
            </w:r>
          </w:p>
        </w:tc>
        <w:tc>
          <w:tcPr>
            <w:tcW w:w="7000" w:type="dxa"/>
            <w:tcBorders>
              <w:tl2br w:val="nil"/>
              <w:tr2bl w:val="nil"/>
            </w:tcBorders>
            <w:shd w:val="clear" w:color="auto" w:fill="auto"/>
            <w:vAlign w:val="center"/>
          </w:tcPr>
          <w:p w14:paraId="0EB6C6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甲胎蛋白AFP（定量）</w:t>
            </w:r>
          </w:p>
        </w:tc>
      </w:tr>
      <w:tr w14:paraId="3D7A405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52F421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16</w:t>
            </w:r>
          </w:p>
        </w:tc>
        <w:tc>
          <w:tcPr>
            <w:tcW w:w="1800" w:type="dxa"/>
            <w:tcBorders>
              <w:tl2br w:val="nil"/>
              <w:tr2bl w:val="nil"/>
            </w:tcBorders>
            <w:shd w:val="clear" w:color="auto" w:fill="auto"/>
            <w:vAlign w:val="center"/>
          </w:tcPr>
          <w:p w14:paraId="700897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肿瘤筛查</w:t>
            </w:r>
          </w:p>
        </w:tc>
        <w:tc>
          <w:tcPr>
            <w:tcW w:w="7000" w:type="dxa"/>
            <w:tcBorders>
              <w:tl2br w:val="nil"/>
              <w:tr2bl w:val="nil"/>
            </w:tcBorders>
            <w:shd w:val="clear" w:color="auto" w:fill="auto"/>
            <w:vAlign w:val="center"/>
          </w:tcPr>
          <w:p w14:paraId="2B234E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糖类抗原125（女）</w:t>
            </w:r>
          </w:p>
        </w:tc>
      </w:tr>
      <w:tr w14:paraId="70E9526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099E6F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17</w:t>
            </w:r>
          </w:p>
        </w:tc>
        <w:tc>
          <w:tcPr>
            <w:tcW w:w="1800" w:type="dxa"/>
            <w:tcBorders>
              <w:tl2br w:val="nil"/>
              <w:tr2bl w:val="nil"/>
            </w:tcBorders>
            <w:shd w:val="clear" w:color="auto" w:fill="auto"/>
            <w:vAlign w:val="center"/>
          </w:tcPr>
          <w:p w14:paraId="6E4B47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肿瘤筛查</w:t>
            </w:r>
          </w:p>
        </w:tc>
        <w:tc>
          <w:tcPr>
            <w:tcW w:w="7000" w:type="dxa"/>
            <w:tcBorders>
              <w:tl2br w:val="nil"/>
              <w:tr2bl w:val="nil"/>
            </w:tcBorders>
            <w:shd w:val="clear" w:color="auto" w:fill="auto"/>
            <w:vAlign w:val="center"/>
          </w:tcPr>
          <w:p w14:paraId="20D007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糖链抗原153（女）</w:t>
            </w:r>
          </w:p>
        </w:tc>
      </w:tr>
      <w:tr w14:paraId="16ED6E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4AFFF1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18</w:t>
            </w:r>
          </w:p>
        </w:tc>
        <w:tc>
          <w:tcPr>
            <w:tcW w:w="1800" w:type="dxa"/>
            <w:tcBorders>
              <w:tl2br w:val="nil"/>
              <w:tr2bl w:val="nil"/>
            </w:tcBorders>
            <w:shd w:val="clear" w:color="auto" w:fill="auto"/>
            <w:vAlign w:val="center"/>
          </w:tcPr>
          <w:p w14:paraId="50A204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肿瘤筛查</w:t>
            </w:r>
          </w:p>
        </w:tc>
        <w:tc>
          <w:tcPr>
            <w:tcW w:w="7000" w:type="dxa"/>
            <w:tcBorders>
              <w:tl2br w:val="nil"/>
              <w:tr2bl w:val="nil"/>
            </w:tcBorders>
            <w:shd w:val="clear" w:color="auto" w:fill="auto"/>
            <w:vAlign w:val="center"/>
          </w:tcPr>
          <w:p w14:paraId="2C2D0A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糖链抗原199测定</w:t>
            </w:r>
          </w:p>
        </w:tc>
      </w:tr>
      <w:tr w14:paraId="73F107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5603FA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19</w:t>
            </w:r>
          </w:p>
        </w:tc>
        <w:tc>
          <w:tcPr>
            <w:tcW w:w="1800" w:type="dxa"/>
            <w:tcBorders>
              <w:tl2br w:val="nil"/>
              <w:tr2bl w:val="nil"/>
            </w:tcBorders>
            <w:shd w:val="clear" w:color="auto" w:fill="auto"/>
            <w:vAlign w:val="center"/>
          </w:tcPr>
          <w:p w14:paraId="35E725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肿瘤筛查</w:t>
            </w:r>
          </w:p>
        </w:tc>
        <w:tc>
          <w:tcPr>
            <w:tcW w:w="7000" w:type="dxa"/>
            <w:tcBorders>
              <w:tl2br w:val="nil"/>
              <w:tr2bl w:val="nil"/>
            </w:tcBorders>
            <w:shd w:val="clear" w:color="auto" w:fill="auto"/>
            <w:vAlign w:val="center"/>
          </w:tcPr>
          <w:p w14:paraId="3B1AE9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细胞角蛋白</w:t>
            </w:r>
          </w:p>
        </w:tc>
      </w:tr>
      <w:tr w14:paraId="48C8F2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72B3CF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20</w:t>
            </w:r>
          </w:p>
        </w:tc>
        <w:tc>
          <w:tcPr>
            <w:tcW w:w="1800" w:type="dxa"/>
            <w:tcBorders>
              <w:tl2br w:val="nil"/>
              <w:tr2bl w:val="nil"/>
            </w:tcBorders>
            <w:shd w:val="clear" w:color="auto" w:fill="auto"/>
            <w:vAlign w:val="center"/>
          </w:tcPr>
          <w:p w14:paraId="7BB8F9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肿瘤筛查</w:t>
            </w:r>
          </w:p>
        </w:tc>
        <w:tc>
          <w:tcPr>
            <w:tcW w:w="7000" w:type="dxa"/>
            <w:tcBorders>
              <w:tl2br w:val="nil"/>
              <w:tr2bl w:val="nil"/>
            </w:tcBorders>
            <w:shd w:val="clear" w:color="auto" w:fill="auto"/>
            <w:vAlign w:val="center"/>
          </w:tcPr>
          <w:p w14:paraId="00E703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鳞状细胞癌相关抗原测定</w:t>
            </w:r>
          </w:p>
        </w:tc>
      </w:tr>
      <w:tr w14:paraId="4D616AB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19D8A9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21</w:t>
            </w:r>
          </w:p>
        </w:tc>
        <w:tc>
          <w:tcPr>
            <w:tcW w:w="1800" w:type="dxa"/>
            <w:tcBorders>
              <w:tl2br w:val="nil"/>
              <w:tr2bl w:val="nil"/>
            </w:tcBorders>
            <w:shd w:val="clear" w:color="auto" w:fill="auto"/>
            <w:vAlign w:val="center"/>
          </w:tcPr>
          <w:p w14:paraId="17527F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肿瘤筛查</w:t>
            </w:r>
          </w:p>
        </w:tc>
        <w:tc>
          <w:tcPr>
            <w:tcW w:w="7000" w:type="dxa"/>
            <w:tcBorders>
              <w:tl2br w:val="nil"/>
              <w:tr2bl w:val="nil"/>
            </w:tcBorders>
            <w:shd w:val="clear" w:color="auto" w:fill="auto"/>
            <w:vAlign w:val="center"/>
          </w:tcPr>
          <w:p w14:paraId="7923A5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总前列腺特异性抗原测定（男）</w:t>
            </w:r>
          </w:p>
        </w:tc>
      </w:tr>
      <w:tr w14:paraId="1C0929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0376D7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22</w:t>
            </w:r>
          </w:p>
        </w:tc>
        <w:tc>
          <w:tcPr>
            <w:tcW w:w="1800" w:type="dxa"/>
            <w:tcBorders>
              <w:tl2br w:val="nil"/>
              <w:tr2bl w:val="nil"/>
            </w:tcBorders>
            <w:shd w:val="clear" w:color="auto" w:fill="auto"/>
            <w:vAlign w:val="center"/>
          </w:tcPr>
          <w:p w14:paraId="2E539B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肿瘤筛查</w:t>
            </w:r>
          </w:p>
        </w:tc>
        <w:tc>
          <w:tcPr>
            <w:tcW w:w="7000" w:type="dxa"/>
            <w:tcBorders>
              <w:tl2br w:val="nil"/>
              <w:tr2bl w:val="nil"/>
            </w:tcBorders>
            <w:shd w:val="clear" w:color="auto" w:fill="auto"/>
            <w:vAlign w:val="center"/>
          </w:tcPr>
          <w:p w14:paraId="6B16F0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游离前列腺特异性抗原测定（男）</w:t>
            </w:r>
          </w:p>
        </w:tc>
      </w:tr>
      <w:tr w14:paraId="14756E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46E0F6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23</w:t>
            </w:r>
          </w:p>
        </w:tc>
        <w:tc>
          <w:tcPr>
            <w:tcW w:w="1800" w:type="dxa"/>
            <w:tcBorders>
              <w:tl2br w:val="nil"/>
              <w:tr2bl w:val="nil"/>
            </w:tcBorders>
            <w:shd w:val="clear" w:color="auto" w:fill="auto"/>
            <w:vAlign w:val="center"/>
          </w:tcPr>
          <w:p w14:paraId="5ACDB4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胃功能检测</w:t>
            </w:r>
          </w:p>
        </w:tc>
        <w:tc>
          <w:tcPr>
            <w:tcW w:w="7000" w:type="dxa"/>
            <w:tcBorders>
              <w:tl2br w:val="nil"/>
              <w:tr2bl w:val="nil"/>
            </w:tcBorders>
            <w:shd w:val="clear" w:color="auto" w:fill="auto"/>
            <w:vAlign w:val="center"/>
          </w:tcPr>
          <w:p w14:paraId="13E88E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胃功能3项</w:t>
            </w:r>
          </w:p>
        </w:tc>
      </w:tr>
      <w:tr w14:paraId="074D3C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6855DC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24</w:t>
            </w:r>
          </w:p>
        </w:tc>
        <w:tc>
          <w:tcPr>
            <w:tcW w:w="1800" w:type="dxa"/>
            <w:tcBorders>
              <w:tl2br w:val="nil"/>
              <w:tr2bl w:val="nil"/>
            </w:tcBorders>
            <w:shd w:val="clear" w:color="auto" w:fill="auto"/>
            <w:vAlign w:val="center"/>
          </w:tcPr>
          <w:p w14:paraId="41853A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老年糖尿病定向筛查</w:t>
            </w:r>
          </w:p>
        </w:tc>
        <w:tc>
          <w:tcPr>
            <w:tcW w:w="7000" w:type="dxa"/>
            <w:tcBorders>
              <w:tl2br w:val="nil"/>
              <w:tr2bl w:val="nil"/>
            </w:tcBorders>
            <w:shd w:val="clear" w:color="auto" w:fill="auto"/>
            <w:vAlign w:val="center"/>
          </w:tcPr>
          <w:p w14:paraId="36FCF8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空腹C肽</w:t>
            </w:r>
          </w:p>
        </w:tc>
      </w:tr>
      <w:tr w14:paraId="27B6C7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5A678F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25</w:t>
            </w:r>
          </w:p>
        </w:tc>
        <w:tc>
          <w:tcPr>
            <w:tcW w:w="1800" w:type="dxa"/>
            <w:tcBorders>
              <w:tl2br w:val="nil"/>
              <w:tr2bl w:val="nil"/>
            </w:tcBorders>
            <w:shd w:val="clear" w:color="auto" w:fill="auto"/>
            <w:vAlign w:val="center"/>
          </w:tcPr>
          <w:p w14:paraId="17B62B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老年糖尿病定向筛查</w:t>
            </w:r>
          </w:p>
        </w:tc>
        <w:tc>
          <w:tcPr>
            <w:tcW w:w="7000" w:type="dxa"/>
            <w:tcBorders>
              <w:tl2br w:val="nil"/>
              <w:tr2bl w:val="nil"/>
            </w:tcBorders>
            <w:shd w:val="clear" w:color="auto" w:fill="auto"/>
            <w:vAlign w:val="center"/>
          </w:tcPr>
          <w:p w14:paraId="58BA37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胰岛素测定</w:t>
            </w:r>
          </w:p>
        </w:tc>
      </w:tr>
      <w:tr w14:paraId="2562E4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3B1A6B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26</w:t>
            </w:r>
          </w:p>
        </w:tc>
        <w:tc>
          <w:tcPr>
            <w:tcW w:w="1800" w:type="dxa"/>
            <w:tcBorders>
              <w:tl2br w:val="nil"/>
              <w:tr2bl w:val="nil"/>
            </w:tcBorders>
            <w:shd w:val="clear" w:color="auto" w:fill="auto"/>
            <w:vAlign w:val="center"/>
          </w:tcPr>
          <w:p w14:paraId="647995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尿素呼气试验</w:t>
            </w:r>
          </w:p>
        </w:tc>
        <w:tc>
          <w:tcPr>
            <w:tcW w:w="7000" w:type="dxa"/>
            <w:tcBorders>
              <w:tl2br w:val="nil"/>
              <w:tr2bl w:val="nil"/>
            </w:tcBorders>
            <w:shd w:val="clear" w:color="auto" w:fill="auto"/>
            <w:vAlign w:val="center"/>
          </w:tcPr>
          <w:p w14:paraId="52C196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碳14尿素呼气试验</w:t>
            </w:r>
          </w:p>
        </w:tc>
      </w:tr>
      <w:tr w14:paraId="2BB6F3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56FC81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27</w:t>
            </w:r>
          </w:p>
        </w:tc>
        <w:tc>
          <w:tcPr>
            <w:tcW w:w="1800" w:type="dxa"/>
            <w:tcBorders>
              <w:tl2br w:val="nil"/>
              <w:tr2bl w:val="nil"/>
            </w:tcBorders>
            <w:shd w:val="clear" w:color="auto" w:fill="auto"/>
            <w:vAlign w:val="center"/>
          </w:tcPr>
          <w:p w14:paraId="7C843B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血常规</w:t>
            </w:r>
          </w:p>
        </w:tc>
        <w:tc>
          <w:tcPr>
            <w:tcW w:w="7000" w:type="dxa"/>
            <w:tcBorders>
              <w:tl2br w:val="nil"/>
              <w:tr2bl w:val="nil"/>
            </w:tcBorders>
            <w:shd w:val="clear" w:color="auto" w:fill="auto"/>
            <w:vAlign w:val="center"/>
          </w:tcPr>
          <w:p w14:paraId="2A87B7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红细胞计数 （RBC）、红细胞压积（HCT）、平均血红蛋白浓度（MCHC）等19项。</w:t>
            </w:r>
          </w:p>
        </w:tc>
      </w:tr>
      <w:tr w14:paraId="51BF59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3B666C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28</w:t>
            </w:r>
          </w:p>
        </w:tc>
        <w:tc>
          <w:tcPr>
            <w:tcW w:w="1800" w:type="dxa"/>
            <w:tcBorders>
              <w:tl2br w:val="nil"/>
              <w:tr2bl w:val="nil"/>
            </w:tcBorders>
            <w:shd w:val="clear" w:color="auto" w:fill="auto"/>
            <w:vAlign w:val="center"/>
          </w:tcPr>
          <w:p w14:paraId="691501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尿常规</w:t>
            </w:r>
          </w:p>
        </w:tc>
        <w:tc>
          <w:tcPr>
            <w:tcW w:w="7000" w:type="dxa"/>
            <w:tcBorders>
              <w:tl2br w:val="nil"/>
              <w:tr2bl w:val="nil"/>
            </w:tcBorders>
            <w:shd w:val="clear" w:color="auto" w:fill="auto"/>
            <w:vAlign w:val="center"/>
          </w:tcPr>
          <w:p w14:paraId="2F5C70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尿蛋白 、尿糖 、尿比重 、尿酮体 、尿胆红质 、尿胆元等10项</w:t>
            </w:r>
          </w:p>
        </w:tc>
      </w:tr>
      <w:tr w14:paraId="53C3C2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791F5C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29</w:t>
            </w:r>
          </w:p>
        </w:tc>
        <w:tc>
          <w:tcPr>
            <w:tcW w:w="1800" w:type="dxa"/>
            <w:tcBorders>
              <w:tl2br w:val="nil"/>
              <w:tr2bl w:val="nil"/>
            </w:tcBorders>
            <w:shd w:val="clear" w:color="auto" w:fill="auto"/>
            <w:vAlign w:val="center"/>
          </w:tcPr>
          <w:p w14:paraId="64B829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彩超检查</w:t>
            </w:r>
          </w:p>
        </w:tc>
        <w:tc>
          <w:tcPr>
            <w:tcW w:w="7000" w:type="dxa"/>
            <w:tcBorders>
              <w:tl2br w:val="nil"/>
              <w:tr2bl w:val="nil"/>
            </w:tcBorders>
            <w:shd w:val="clear" w:color="auto" w:fill="auto"/>
            <w:vAlign w:val="center"/>
          </w:tcPr>
          <w:p w14:paraId="0CED99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肝胆脾胰双肾，甲状腺彩超</w:t>
            </w:r>
          </w:p>
        </w:tc>
      </w:tr>
      <w:tr w14:paraId="550E25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4F6DA7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30</w:t>
            </w:r>
          </w:p>
        </w:tc>
        <w:tc>
          <w:tcPr>
            <w:tcW w:w="1800" w:type="dxa"/>
            <w:tcBorders>
              <w:tl2br w:val="nil"/>
              <w:tr2bl w:val="nil"/>
            </w:tcBorders>
            <w:shd w:val="clear" w:color="auto" w:fill="auto"/>
            <w:vAlign w:val="center"/>
          </w:tcPr>
          <w:p w14:paraId="112457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彩超检查</w:t>
            </w:r>
          </w:p>
        </w:tc>
        <w:tc>
          <w:tcPr>
            <w:tcW w:w="7000" w:type="dxa"/>
            <w:tcBorders>
              <w:tl2br w:val="nil"/>
              <w:tr2bl w:val="nil"/>
            </w:tcBorders>
            <w:shd w:val="clear" w:color="auto" w:fill="auto"/>
            <w:vAlign w:val="center"/>
          </w:tcPr>
          <w:p w14:paraId="12446E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甲状腺彩超</w:t>
            </w:r>
          </w:p>
        </w:tc>
      </w:tr>
      <w:tr w14:paraId="5C2F70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4C1E0C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31</w:t>
            </w:r>
          </w:p>
        </w:tc>
        <w:tc>
          <w:tcPr>
            <w:tcW w:w="1800" w:type="dxa"/>
            <w:tcBorders>
              <w:tl2br w:val="nil"/>
              <w:tr2bl w:val="nil"/>
            </w:tcBorders>
            <w:shd w:val="clear" w:color="auto" w:fill="auto"/>
            <w:vAlign w:val="center"/>
          </w:tcPr>
          <w:p w14:paraId="712333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头颅MRI</w:t>
            </w:r>
          </w:p>
        </w:tc>
        <w:tc>
          <w:tcPr>
            <w:tcW w:w="7000" w:type="dxa"/>
            <w:tcBorders>
              <w:tl2br w:val="nil"/>
              <w:tr2bl w:val="nil"/>
            </w:tcBorders>
            <w:shd w:val="clear" w:color="auto" w:fill="auto"/>
            <w:vAlign w:val="center"/>
          </w:tcPr>
          <w:p w14:paraId="36B152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头颅核磁平扫</w:t>
            </w:r>
          </w:p>
        </w:tc>
      </w:tr>
      <w:tr w14:paraId="16A4434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1E4E28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32</w:t>
            </w:r>
          </w:p>
        </w:tc>
        <w:tc>
          <w:tcPr>
            <w:tcW w:w="1800" w:type="dxa"/>
            <w:tcBorders>
              <w:tl2br w:val="nil"/>
              <w:tr2bl w:val="nil"/>
            </w:tcBorders>
            <w:shd w:val="clear" w:color="auto" w:fill="auto"/>
            <w:vAlign w:val="center"/>
          </w:tcPr>
          <w:p w14:paraId="556E3D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CT检查</w:t>
            </w:r>
          </w:p>
        </w:tc>
        <w:tc>
          <w:tcPr>
            <w:tcW w:w="7000" w:type="dxa"/>
            <w:tcBorders>
              <w:tl2br w:val="nil"/>
              <w:tr2bl w:val="nil"/>
            </w:tcBorders>
            <w:shd w:val="clear" w:color="auto" w:fill="auto"/>
            <w:vAlign w:val="center"/>
          </w:tcPr>
          <w:p w14:paraId="419260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胸部CT</w:t>
            </w:r>
          </w:p>
        </w:tc>
      </w:tr>
      <w:tr w14:paraId="0155E3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76626A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33</w:t>
            </w:r>
          </w:p>
        </w:tc>
        <w:tc>
          <w:tcPr>
            <w:tcW w:w="1800" w:type="dxa"/>
            <w:tcBorders>
              <w:tl2br w:val="nil"/>
              <w:tr2bl w:val="nil"/>
            </w:tcBorders>
            <w:shd w:val="clear" w:color="auto" w:fill="auto"/>
            <w:vAlign w:val="center"/>
          </w:tcPr>
          <w:p w14:paraId="733839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X线检查（高清DR）</w:t>
            </w:r>
          </w:p>
        </w:tc>
        <w:tc>
          <w:tcPr>
            <w:tcW w:w="7000" w:type="dxa"/>
            <w:tcBorders>
              <w:tl2br w:val="nil"/>
              <w:tr2bl w:val="nil"/>
            </w:tcBorders>
            <w:shd w:val="clear" w:color="auto" w:fill="auto"/>
            <w:vAlign w:val="center"/>
          </w:tcPr>
          <w:p w14:paraId="7C0566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颈椎侧位片</w:t>
            </w:r>
          </w:p>
        </w:tc>
      </w:tr>
      <w:tr w14:paraId="3ADC3E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1B5D37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34</w:t>
            </w:r>
          </w:p>
        </w:tc>
        <w:tc>
          <w:tcPr>
            <w:tcW w:w="1800" w:type="dxa"/>
            <w:tcBorders>
              <w:tl2br w:val="nil"/>
              <w:tr2bl w:val="nil"/>
            </w:tcBorders>
            <w:shd w:val="clear" w:color="auto" w:fill="auto"/>
            <w:vAlign w:val="center"/>
          </w:tcPr>
          <w:p w14:paraId="7F7D16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男性员工彩超检查</w:t>
            </w:r>
          </w:p>
        </w:tc>
        <w:tc>
          <w:tcPr>
            <w:tcW w:w="7000" w:type="dxa"/>
            <w:tcBorders>
              <w:tl2br w:val="nil"/>
              <w:tr2bl w:val="nil"/>
            </w:tcBorders>
            <w:shd w:val="clear" w:color="auto" w:fill="auto"/>
            <w:vAlign w:val="center"/>
          </w:tcPr>
          <w:p w14:paraId="16EC63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前列腺彩超（彩超机）</w:t>
            </w:r>
          </w:p>
        </w:tc>
      </w:tr>
      <w:tr w14:paraId="0704370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157D0A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35</w:t>
            </w:r>
          </w:p>
        </w:tc>
        <w:tc>
          <w:tcPr>
            <w:tcW w:w="1800" w:type="dxa"/>
            <w:tcBorders>
              <w:tl2br w:val="nil"/>
              <w:tr2bl w:val="nil"/>
            </w:tcBorders>
            <w:shd w:val="clear" w:color="auto" w:fill="auto"/>
            <w:vAlign w:val="center"/>
          </w:tcPr>
          <w:p w14:paraId="5BA411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女性员工彩超检查</w:t>
            </w:r>
          </w:p>
        </w:tc>
        <w:tc>
          <w:tcPr>
            <w:tcW w:w="7000" w:type="dxa"/>
            <w:tcBorders>
              <w:tl2br w:val="nil"/>
              <w:tr2bl w:val="nil"/>
            </w:tcBorders>
            <w:shd w:val="clear" w:color="auto" w:fill="auto"/>
            <w:vAlign w:val="center"/>
          </w:tcPr>
          <w:p w14:paraId="299471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彩超检查双侧乳腺（彩超机）</w:t>
            </w:r>
          </w:p>
        </w:tc>
      </w:tr>
      <w:tr w14:paraId="27BF6D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06C1D8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36</w:t>
            </w:r>
          </w:p>
        </w:tc>
        <w:tc>
          <w:tcPr>
            <w:tcW w:w="1800" w:type="dxa"/>
            <w:tcBorders>
              <w:tl2br w:val="nil"/>
              <w:tr2bl w:val="nil"/>
            </w:tcBorders>
            <w:shd w:val="clear" w:color="auto" w:fill="auto"/>
            <w:vAlign w:val="center"/>
          </w:tcPr>
          <w:p w14:paraId="22043C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女性已婚员工彩超检查</w:t>
            </w:r>
          </w:p>
        </w:tc>
        <w:tc>
          <w:tcPr>
            <w:tcW w:w="7000" w:type="dxa"/>
            <w:tcBorders>
              <w:tl2br w:val="nil"/>
              <w:tr2bl w:val="nil"/>
            </w:tcBorders>
            <w:shd w:val="clear" w:color="auto" w:fill="auto"/>
            <w:vAlign w:val="center"/>
          </w:tcPr>
          <w:p w14:paraId="43E7EB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阴式彩超（阴彩有侵入性，不适合未婚的女士做此项目，未婚做子宫附件彩超）</w:t>
            </w:r>
          </w:p>
        </w:tc>
      </w:tr>
      <w:tr w14:paraId="7A107C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764B02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37</w:t>
            </w:r>
          </w:p>
        </w:tc>
        <w:tc>
          <w:tcPr>
            <w:tcW w:w="1800" w:type="dxa"/>
            <w:tcBorders>
              <w:tl2br w:val="nil"/>
              <w:tr2bl w:val="nil"/>
            </w:tcBorders>
            <w:shd w:val="clear" w:color="auto" w:fill="auto"/>
            <w:vAlign w:val="center"/>
          </w:tcPr>
          <w:p w14:paraId="07A603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女性未婚员工彩超检查</w:t>
            </w:r>
          </w:p>
        </w:tc>
        <w:tc>
          <w:tcPr>
            <w:tcW w:w="7000" w:type="dxa"/>
            <w:tcBorders>
              <w:tl2br w:val="nil"/>
              <w:tr2bl w:val="nil"/>
            </w:tcBorders>
            <w:shd w:val="clear" w:color="auto" w:fill="auto"/>
            <w:vAlign w:val="center"/>
          </w:tcPr>
          <w:p w14:paraId="7E1DF0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子宫附件彩超</w:t>
            </w:r>
          </w:p>
        </w:tc>
      </w:tr>
      <w:tr w14:paraId="28C83C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3F15E8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38</w:t>
            </w:r>
          </w:p>
        </w:tc>
        <w:tc>
          <w:tcPr>
            <w:tcW w:w="1800" w:type="dxa"/>
            <w:tcBorders>
              <w:tl2br w:val="nil"/>
              <w:tr2bl w:val="nil"/>
            </w:tcBorders>
            <w:shd w:val="clear" w:color="auto" w:fill="auto"/>
            <w:vAlign w:val="center"/>
          </w:tcPr>
          <w:p w14:paraId="602EE8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妇科检查</w:t>
            </w:r>
          </w:p>
        </w:tc>
        <w:tc>
          <w:tcPr>
            <w:tcW w:w="7000" w:type="dxa"/>
            <w:tcBorders>
              <w:tl2br w:val="nil"/>
              <w:tr2bl w:val="nil"/>
            </w:tcBorders>
            <w:shd w:val="clear" w:color="auto" w:fill="auto"/>
            <w:vAlign w:val="center"/>
          </w:tcPr>
          <w:p w14:paraId="325D4A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妇检</w:t>
            </w:r>
          </w:p>
        </w:tc>
      </w:tr>
      <w:tr w14:paraId="6B4781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5F319C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39</w:t>
            </w:r>
          </w:p>
        </w:tc>
        <w:tc>
          <w:tcPr>
            <w:tcW w:w="1800" w:type="dxa"/>
            <w:tcBorders>
              <w:tl2br w:val="nil"/>
              <w:tr2bl w:val="nil"/>
            </w:tcBorders>
            <w:shd w:val="clear" w:color="auto" w:fill="auto"/>
            <w:vAlign w:val="center"/>
          </w:tcPr>
          <w:p w14:paraId="32C5F7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白带常规</w:t>
            </w:r>
          </w:p>
        </w:tc>
        <w:tc>
          <w:tcPr>
            <w:tcW w:w="7000" w:type="dxa"/>
            <w:tcBorders>
              <w:tl2br w:val="nil"/>
              <w:tr2bl w:val="nil"/>
            </w:tcBorders>
            <w:shd w:val="clear" w:color="auto" w:fill="auto"/>
            <w:vAlign w:val="center"/>
          </w:tcPr>
          <w:p w14:paraId="4F49E0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白带常规</w:t>
            </w:r>
          </w:p>
        </w:tc>
      </w:tr>
      <w:tr w14:paraId="47F73E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4692E3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40</w:t>
            </w:r>
          </w:p>
        </w:tc>
        <w:tc>
          <w:tcPr>
            <w:tcW w:w="1800" w:type="dxa"/>
            <w:tcBorders>
              <w:tl2br w:val="nil"/>
              <w:tr2bl w:val="nil"/>
            </w:tcBorders>
            <w:shd w:val="clear" w:color="auto" w:fill="auto"/>
            <w:vAlign w:val="center"/>
          </w:tcPr>
          <w:p w14:paraId="628AB5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TCT检测</w:t>
            </w:r>
          </w:p>
        </w:tc>
        <w:tc>
          <w:tcPr>
            <w:tcW w:w="7000" w:type="dxa"/>
            <w:tcBorders>
              <w:tl2br w:val="nil"/>
              <w:tr2bl w:val="nil"/>
            </w:tcBorders>
            <w:shd w:val="clear" w:color="auto" w:fill="auto"/>
            <w:vAlign w:val="center"/>
          </w:tcPr>
          <w:p w14:paraId="566608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液基薄层细胞学检测</w:t>
            </w:r>
          </w:p>
        </w:tc>
      </w:tr>
      <w:tr w14:paraId="64C33E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0" w:type="dxa"/>
            <w:tcBorders>
              <w:tl2br w:val="nil"/>
              <w:tr2bl w:val="nil"/>
            </w:tcBorders>
            <w:shd w:val="clear" w:color="auto" w:fill="auto"/>
            <w:vAlign w:val="center"/>
          </w:tcPr>
          <w:p w14:paraId="4F9221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b/>
                <w:i w:val="0"/>
                <w:iCs w:val="0"/>
                <w:color w:val="000000"/>
                <w:kern w:val="0"/>
                <w:sz w:val="21"/>
                <w:szCs w:val="21"/>
                <w:highlight w:val="none"/>
                <w:u w:val="none"/>
                <w:lang w:val="en-US" w:eastAsia="zh-CN" w:bidi="ar"/>
              </w:rPr>
              <w:t>套餐小计价格</w:t>
            </w:r>
          </w:p>
        </w:tc>
        <w:tc>
          <w:tcPr>
            <w:tcW w:w="7000" w:type="dxa"/>
            <w:tcBorders>
              <w:tl2br w:val="nil"/>
              <w:tr2bl w:val="nil"/>
            </w:tcBorders>
            <w:shd w:val="clear" w:color="auto" w:fill="auto"/>
            <w:vAlign w:val="center"/>
          </w:tcPr>
          <w:p w14:paraId="249FF7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p>
        </w:tc>
        <w:tc>
          <w:tcPr>
            <w:tcW w:w="7000" w:type="dxa"/>
            <w:tcBorders>
              <w:tl2br w:val="nil"/>
              <w:tr2bl w:val="nil"/>
            </w:tcBorders>
            <w:shd w:val="clear" w:color="auto" w:fill="auto"/>
            <w:vAlign w:val="center"/>
          </w:tcPr>
          <w:p w14:paraId="5C6532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b/>
                <w:i w:val="0"/>
                <w:iCs w:val="0"/>
                <w:color w:val="000000"/>
                <w:kern w:val="0"/>
                <w:sz w:val="21"/>
                <w:szCs w:val="21"/>
                <w:highlight w:val="none"/>
                <w:u w:val="none"/>
                <w:lang w:val="en-US" w:eastAsia="zh-CN" w:bidi="ar"/>
              </w:rPr>
              <w:t>1000元/人</w:t>
            </w:r>
          </w:p>
        </w:tc>
      </w:tr>
    </w:tbl>
    <w:p w14:paraId="02D08D0F">
      <w:pPr>
        <w:keepNext w:val="0"/>
        <w:keepLines w:val="0"/>
        <w:pageBreakBefore w:val="0"/>
        <w:widowControl/>
        <w:kinsoku/>
        <w:wordWrap/>
        <w:overflowPunct/>
        <w:topLinePunct w:val="0"/>
        <w:autoSpaceDE/>
        <w:autoSpaceDN/>
        <w:bidi w:val="0"/>
        <w:adjustRightInd/>
        <w:snapToGrid w:val="0"/>
        <w:spacing w:line="560" w:lineRule="exact"/>
        <w:ind w:firstLine="640" w:firstLineChars="200"/>
        <w:jc w:val="left"/>
        <w:textAlignment w:val="auto"/>
        <w:rPr>
          <w:rFonts w:hint="eastAsia" w:ascii="仿宋" w:hAnsi="仿宋" w:eastAsia="仿宋_GB2312" w:cs="仿宋"/>
          <w:bCs/>
          <w:sz w:val="32"/>
          <w:szCs w:val="32"/>
          <w:highlight w:val="none"/>
        </w:rPr>
      </w:pPr>
      <w:r>
        <w:rPr>
          <w:rFonts w:hint="eastAsia" w:ascii="仿宋" w:hAnsi="仿宋" w:eastAsia="仿宋_GB2312" w:cs="仿宋"/>
          <w:bCs/>
          <w:color w:val="000000"/>
          <w:sz w:val="32"/>
          <w:szCs w:val="32"/>
          <w:highlight w:val="none"/>
          <w:lang w:eastAsia="zh-CN"/>
        </w:rPr>
        <w:t>（4）限价不超过360元标准套餐应至少包括以下基准项目:</w:t>
      </w:r>
    </w:p>
    <w:tbl>
      <w:tblPr>
        <w:tblStyle w:val="15"/>
        <w:tblW w:w="827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695"/>
        <w:gridCol w:w="2695"/>
        <w:gridCol w:w="2882"/>
      </w:tblGrid>
      <w:tr w14:paraId="300F1D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00" w:hRule="atLeast"/>
          <w:jc w:val="center"/>
        </w:trPr>
        <w:tc>
          <w:tcPr>
            <w:tcW w:w="700" w:type="dxa"/>
            <w:tcBorders>
              <w:tl2br w:val="nil"/>
              <w:tr2bl w:val="nil"/>
            </w:tcBorders>
            <w:shd w:val="clear" w:color="auto" w:fill="auto"/>
            <w:vAlign w:val="center"/>
          </w:tcPr>
          <w:p w14:paraId="45E6B9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b/>
                <w:bCs/>
                <w:i w:val="0"/>
                <w:iCs w:val="0"/>
                <w:color w:val="000000"/>
                <w:sz w:val="24"/>
                <w:szCs w:val="24"/>
                <w:highlight w:val="none"/>
                <w:u w:val="none"/>
              </w:rPr>
            </w:pPr>
            <w:r>
              <w:rPr>
                <w:rFonts w:hint="eastAsia" w:asciiTheme="minorEastAsia" w:hAnsiTheme="minorEastAsia" w:eastAsiaTheme="minorEastAsia" w:cstheme="minorEastAsia"/>
                <w:b/>
                <w:bCs/>
                <w:i w:val="0"/>
                <w:iCs w:val="0"/>
                <w:color w:val="000000"/>
                <w:kern w:val="0"/>
                <w:sz w:val="24"/>
                <w:szCs w:val="24"/>
                <w:highlight w:val="none"/>
                <w:u w:val="none"/>
                <w:lang w:val="en-US" w:eastAsia="zh-CN" w:bidi="ar"/>
              </w:rPr>
              <w:t>序号</w:t>
            </w:r>
          </w:p>
        </w:tc>
        <w:tc>
          <w:tcPr>
            <w:tcW w:w="1800" w:type="dxa"/>
            <w:tcBorders>
              <w:tl2br w:val="nil"/>
              <w:tr2bl w:val="nil"/>
            </w:tcBorders>
            <w:shd w:val="clear" w:color="auto" w:fill="auto"/>
            <w:vAlign w:val="center"/>
          </w:tcPr>
          <w:p w14:paraId="1A669B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b/>
                <w:bCs/>
                <w:i w:val="0"/>
                <w:iCs w:val="0"/>
                <w:color w:val="000000"/>
                <w:sz w:val="24"/>
                <w:szCs w:val="24"/>
                <w:highlight w:val="none"/>
                <w:u w:val="none"/>
              </w:rPr>
            </w:pPr>
            <w:r>
              <w:rPr>
                <w:rFonts w:hint="eastAsia" w:asciiTheme="minorEastAsia" w:hAnsiTheme="minorEastAsia" w:eastAsiaTheme="minorEastAsia" w:cstheme="minorEastAsia"/>
                <w:b/>
                <w:bCs/>
                <w:i w:val="0"/>
                <w:iCs w:val="0"/>
                <w:color w:val="000000"/>
                <w:kern w:val="0"/>
                <w:sz w:val="24"/>
                <w:szCs w:val="24"/>
                <w:highlight w:val="none"/>
                <w:u w:val="none"/>
                <w:lang w:val="en-US" w:eastAsia="zh-CN" w:bidi="ar"/>
              </w:rPr>
              <w:t>检查大类</w:t>
            </w:r>
          </w:p>
        </w:tc>
        <w:tc>
          <w:tcPr>
            <w:tcW w:w="7000" w:type="dxa"/>
            <w:tcBorders>
              <w:tl2br w:val="nil"/>
              <w:tr2bl w:val="nil"/>
            </w:tcBorders>
            <w:shd w:val="clear" w:color="auto" w:fill="auto"/>
            <w:vAlign w:val="center"/>
          </w:tcPr>
          <w:p w14:paraId="23BDE9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b/>
                <w:bCs/>
                <w:i w:val="0"/>
                <w:iCs w:val="0"/>
                <w:color w:val="000000"/>
                <w:sz w:val="24"/>
                <w:szCs w:val="24"/>
                <w:highlight w:val="none"/>
                <w:u w:val="none"/>
              </w:rPr>
            </w:pPr>
            <w:r>
              <w:rPr>
                <w:rFonts w:hint="eastAsia" w:asciiTheme="minorEastAsia" w:hAnsiTheme="minorEastAsia" w:eastAsiaTheme="minorEastAsia" w:cstheme="minorEastAsia"/>
                <w:b/>
                <w:bCs/>
                <w:i w:val="0"/>
                <w:iCs w:val="0"/>
                <w:color w:val="000000"/>
                <w:kern w:val="0"/>
                <w:sz w:val="24"/>
                <w:szCs w:val="24"/>
                <w:highlight w:val="none"/>
                <w:u w:val="none"/>
                <w:lang w:val="en-US" w:eastAsia="zh-CN" w:bidi="ar"/>
              </w:rPr>
              <w:t>基准项目</w:t>
            </w:r>
          </w:p>
        </w:tc>
      </w:tr>
      <w:tr w14:paraId="6535C6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3ABC46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800" w:type="dxa"/>
            <w:tcBorders>
              <w:tl2br w:val="nil"/>
              <w:tr2bl w:val="nil"/>
            </w:tcBorders>
            <w:shd w:val="clear" w:color="auto" w:fill="auto"/>
            <w:vAlign w:val="center"/>
          </w:tcPr>
          <w:p w14:paraId="467968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一般检查</w:t>
            </w:r>
          </w:p>
        </w:tc>
        <w:tc>
          <w:tcPr>
            <w:tcW w:w="7000" w:type="dxa"/>
            <w:tcBorders>
              <w:tl2br w:val="nil"/>
              <w:tr2bl w:val="nil"/>
            </w:tcBorders>
            <w:shd w:val="clear" w:color="auto" w:fill="auto"/>
            <w:vAlign w:val="center"/>
          </w:tcPr>
          <w:p w14:paraId="2E3730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血压（收缩压; 舒张压; 脉搏）</w:t>
            </w:r>
          </w:p>
        </w:tc>
      </w:tr>
      <w:tr w14:paraId="7A0D84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172C7D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1800" w:type="dxa"/>
            <w:tcBorders>
              <w:tl2br w:val="nil"/>
              <w:tr2bl w:val="nil"/>
            </w:tcBorders>
            <w:shd w:val="clear" w:color="auto" w:fill="auto"/>
            <w:vAlign w:val="center"/>
          </w:tcPr>
          <w:p w14:paraId="1ADFBB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一般检查</w:t>
            </w:r>
          </w:p>
        </w:tc>
        <w:tc>
          <w:tcPr>
            <w:tcW w:w="7000" w:type="dxa"/>
            <w:tcBorders>
              <w:tl2br w:val="nil"/>
              <w:tr2bl w:val="nil"/>
            </w:tcBorders>
            <w:shd w:val="clear" w:color="auto" w:fill="auto"/>
            <w:vAlign w:val="center"/>
          </w:tcPr>
          <w:p w14:paraId="57D121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身高体重（身高; 体重; 体重指数）</w:t>
            </w:r>
          </w:p>
        </w:tc>
      </w:tr>
      <w:tr w14:paraId="6CA7D7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5624D7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1800" w:type="dxa"/>
            <w:tcBorders>
              <w:tl2br w:val="nil"/>
              <w:tr2bl w:val="nil"/>
            </w:tcBorders>
            <w:shd w:val="clear" w:color="auto" w:fill="auto"/>
            <w:vAlign w:val="center"/>
          </w:tcPr>
          <w:p w14:paraId="01E9F1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外科</w:t>
            </w:r>
          </w:p>
        </w:tc>
        <w:tc>
          <w:tcPr>
            <w:tcW w:w="7000" w:type="dxa"/>
            <w:tcBorders>
              <w:tl2br w:val="nil"/>
              <w:tr2bl w:val="nil"/>
            </w:tcBorders>
            <w:shd w:val="clear" w:color="auto" w:fill="auto"/>
            <w:vAlign w:val="center"/>
          </w:tcPr>
          <w:p w14:paraId="15CCFA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男性外科检查</w:t>
            </w:r>
          </w:p>
        </w:tc>
      </w:tr>
      <w:tr w14:paraId="55CD5D1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7ABA5A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800" w:type="dxa"/>
            <w:tcBorders>
              <w:tl2br w:val="nil"/>
              <w:tr2bl w:val="nil"/>
            </w:tcBorders>
            <w:shd w:val="clear" w:color="auto" w:fill="auto"/>
            <w:vAlign w:val="center"/>
          </w:tcPr>
          <w:p w14:paraId="42C3F7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外科</w:t>
            </w:r>
          </w:p>
        </w:tc>
        <w:tc>
          <w:tcPr>
            <w:tcW w:w="7000" w:type="dxa"/>
            <w:tcBorders>
              <w:tl2br w:val="nil"/>
              <w:tr2bl w:val="nil"/>
            </w:tcBorders>
            <w:shd w:val="clear" w:color="auto" w:fill="auto"/>
            <w:vAlign w:val="center"/>
          </w:tcPr>
          <w:p w14:paraId="1A9D0C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女性外科检查</w:t>
            </w:r>
          </w:p>
        </w:tc>
      </w:tr>
      <w:tr w14:paraId="4A8E2AD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10F546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5</w:t>
            </w:r>
          </w:p>
        </w:tc>
        <w:tc>
          <w:tcPr>
            <w:tcW w:w="1800" w:type="dxa"/>
            <w:tcBorders>
              <w:tl2br w:val="nil"/>
              <w:tr2bl w:val="nil"/>
            </w:tcBorders>
            <w:shd w:val="clear" w:color="auto" w:fill="auto"/>
            <w:vAlign w:val="center"/>
          </w:tcPr>
          <w:p w14:paraId="2D86B0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内科</w:t>
            </w:r>
          </w:p>
        </w:tc>
        <w:tc>
          <w:tcPr>
            <w:tcW w:w="7000" w:type="dxa"/>
            <w:tcBorders>
              <w:tl2br w:val="nil"/>
              <w:tr2bl w:val="nil"/>
            </w:tcBorders>
            <w:shd w:val="clear" w:color="auto" w:fill="auto"/>
            <w:vAlign w:val="center"/>
          </w:tcPr>
          <w:p w14:paraId="4DD45B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内科</w:t>
            </w:r>
          </w:p>
        </w:tc>
      </w:tr>
      <w:tr w14:paraId="21113C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4C53CB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6</w:t>
            </w:r>
          </w:p>
        </w:tc>
        <w:tc>
          <w:tcPr>
            <w:tcW w:w="1800" w:type="dxa"/>
            <w:tcBorders>
              <w:tl2br w:val="nil"/>
              <w:tr2bl w:val="nil"/>
            </w:tcBorders>
            <w:shd w:val="clear" w:color="auto" w:fill="auto"/>
            <w:vAlign w:val="center"/>
          </w:tcPr>
          <w:p w14:paraId="4688AF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眼科</w:t>
            </w:r>
          </w:p>
        </w:tc>
        <w:tc>
          <w:tcPr>
            <w:tcW w:w="7000" w:type="dxa"/>
            <w:tcBorders>
              <w:tl2br w:val="nil"/>
              <w:tr2bl w:val="nil"/>
            </w:tcBorders>
            <w:shd w:val="clear" w:color="auto" w:fill="auto"/>
            <w:vAlign w:val="center"/>
          </w:tcPr>
          <w:p w14:paraId="630095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眼科检查</w:t>
            </w:r>
          </w:p>
        </w:tc>
      </w:tr>
      <w:tr w14:paraId="4C8C79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69BA72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7</w:t>
            </w:r>
          </w:p>
        </w:tc>
        <w:tc>
          <w:tcPr>
            <w:tcW w:w="1800" w:type="dxa"/>
            <w:tcBorders>
              <w:tl2br w:val="nil"/>
              <w:tr2bl w:val="nil"/>
            </w:tcBorders>
            <w:shd w:val="clear" w:color="auto" w:fill="auto"/>
            <w:vAlign w:val="center"/>
          </w:tcPr>
          <w:p w14:paraId="0E07BB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眼科</w:t>
            </w:r>
          </w:p>
        </w:tc>
        <w:tc>
          <w:tcPr>
            <w:tcW w:w="7000" w:type="dxa"/>
            <w:tcBorders>
              <w:tl2br w:val="nil"/>
              <w:tr2bl w:val="nil"/>
            </w:tcBorders>
            <w:shd w:val="clear" w:color="auto" w:fill="auto"/>
            <w:vAlign w:val="center"/>
          </w:tcPr>
          <w:p w14:paraId="5E09A5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眼底镜</w:t>
            </w:r>
          </w:p>
        </w:tc>
      </w:tr>
      <w:tr w14:paraId="2712E1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0803A0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8</w:t>
            </w:r>
          </w:p>
        </w:tc>
        <w:tc>
          <w:tcPr>
            <w:tcW w:w="1800" w:type="dxa"/>
            <w:tcBorders>
              <w:tl2br w:val="nil"/>
              <w:tr2bl w:val="nil"/>
            </w:tcBorders>
            <w:shd w:val="clear" w:color="auto" w:fill="auto"/>
            <w:vAlign w:val="center"/>
          </w:tcPr>
          <w:p w14:paraId="11EA40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口腔科</w:t>
            </w:r>
          </w:p>
        </w:tc>
        <w:tc>
          <w:tcPr>
            <w:tcW w:w="7000" w:type="dxa"/>
            <w:tcBorders>
              <w:tl2br w:val="nil"/>
              <w:tr2bl w:val="nil"/>
            </w:tcBorders>
            <w:shd w:val="clear" w:color="auto" w:fill="auto"/>
            <w:vAlign w:val="center"/>
          </w:tcPr>
          <w:p w14:paraId="3A78CC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口腔科</w:t>
            </w:r>
          </w:p>
        </w:tc>
      </w:tr>
      <w:tr w14:paraId="4A1679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584865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9</w:t>
            </w:r>
          </w:p>
        </w:tc>
        <w:tc>
          <w:tcPr>
            <w:tcW w:w="1800" w:type="dxa"/>
            <w:tcBorders>
              <w:tl2br w:val="nil"/>
              <w:tr2bl w:val="nil"/>
            </w:tcBorders>
            <w:shd w:val="clear" w:color="auto" w:fill="auto"/>
            <w:vAlign w:val="center"/>
          </w:tcPr>
          <w:p w14:paraId="4FB2FF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妇科</w:t>
            </w:r>
          </w:p>
        </w:tc>
        <w:tc>
          <w:tcPr>
            <w:tcW w:w="7000" w:type="dxa"/>
            <w:tcBorders>
              <w:tl2br w:val="nil"/>
              <w:tr2bl w:val="nil"/>
            </w:tcBorders>
            <w:shd w:val="clear" w:color="auto" w:fill="auto"/>
            <w:vAlign w:val="center"/>
          </w:tcPr>
          <w:p w14:paraId="0DA610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妇科</w:t>
            </w:r>
          </w:p>
        </w:tc>
      </w:tr>
      <w:tr w14:paraId="574BF0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33CCE3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10</w:t>
            </w:r>
          </w:p>
        </w:tc>
        <w:tc>
          <w:tcPr>
            <w:tcW w:w="1800" w:type="dxa"/>
            <w:tcBorders>
              <w:tl2br w:val="nil"/>
              <w:tr2bl w:val="nil"/>
            </w:tcBorders>
            <w:shd w:val="clear" w:color="auto" w:fill="auto"/>
            <w:vAlign w:val="center"/>
          </w:tcPr>
          <w:p w14:paraId="68290C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心电图</w:t>
            </w:r>
          </w:p>
        </w:tc>
        <w:tc>
          <w:tcPr>
            <w:tcW w:w="7000" w:type="dxa"/>
            <w:tcBorders>
              <w:tl2br w:val="nil"/>
              <w:tr2bl w:val="nil"/>
            </w:tcBorders>
            <w:shd w:val="clear" w:color="auto" w:fill="auto"/>
            <w:vAlign w:val="center"/>
          </w:tcPr>
          <w:p w14:paraId="6F6340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解析心电图（12导联）</w:t>
            </w:r>
          </w:p>
        </w:tc>
      </w:tr>
      <w:tr w14:paraId="25C4EE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1E1D41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12</w:t>
            </w:r>
          </w:p>
        </w:tc>
        <w:tc>
          <w:tcPr>
            <w:tcW w:w="1800" w:type="dxa"/>
            <w:tcBorders>
              <w:tl2br w:val="nil"/>
              <w:tr2bl w:val="nil"/>
            </w:tcBorders>
            <w:shd w:val="clear" w:color="auto" w:fill="auto"/>
            <w:vAlign w:val="center"/>
          </w:tcPr>
          <w:p w14:paraId="5C8200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血常规</w:t>
            </w:r>
          </w:p>
        </w:tc>
        <w:tc>
          <w:tcPr>
            <w:tcW w:w="7000" w:type="dxa"/>
            <w:tcBorders>
              <w:tl2br w:val="nil"/>
              <w:tr2bl w:val="nil"/>
            </w:tcBorders>
            <w:shd w:val="clear" w:color="auto" w:fill="auto"/>
            <w:vAlign w:val="center"/>
          </w:tcPr>
          <w:p w14:paraId="3245A7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血常规(五分类)</w:t>
            </w:r>
          </w:p>
        </w:tc>
      </w:tr>
      <w:tr w14:paraId="535284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735D17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13</w:t>
            </w:r>
          </w:p>
        </w:tc>
        <w:tc>
          <w:tcPr>
            <w:tcW w:w="1800" w:type="dxa"/>
            <w:tcBorders>
              <w:tl2br w:val="nil"/>
              <w:tr2bl w:val="nil"/>
            </w:tcBorders>
            <w:shd w:val="clear" w:color="auto" w:fill="auto"/>
            <w:vAlign w:val="center"/>
          </w:tcPr>
          <w:p w14:paraId="6A5EC1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尿常规</w:t>
            </w:r>
          </w:p>
        </w:tc>
        <w:tc>
          <w:tcPr>
            <w:tcW w:w="7000" w:type="dxa"/>
            <w:tcBorders>
              <w:tl2br w:val="nil"/>
              <w:tr2bl w:val="nil"/>
            </w:tcBorders>
            <w:shd w:val="clear" w:color="auto" w:fill="auto"/>
            <w:vAlign w:val="center"/>
          </w:tcPr>
          <w:p w14:paraId="02E3B5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尿常规</w:t>
            </w:r>
          </w:p>
        </w:tc>
      </w:tr>
      <w:tr w14:paraId="125350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685843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14</w:t>
            </w:r>
          </w:p>
        </w:tc>
        <w:tc>
          <w:tcPr>
            <w:tcW w:w="1800" w:type="dxa"/>
            <w:tcBorders>
              <w:tl2br w:val="nil"/>
              <w:tr2bl w:val="nil"/>
            </w:tcBorders>
            <w:shd w:val="clear" w:color="auto" w:fill="auto"/>
            <w:vAlign w:val="center"/>
          </w:tcPr>
          <w:p w14:paraId="233F5B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白带常规</w:t>
            </w:r>
          </w:p>
        </w:tc>
        <w:tc>
          <w:tcPr>
            <w:tcW w:w="7000" w:type="dxa"/>
            <w:tcBorders>
              <w:tl2br w:val="nil"/>
              <w:tr2bl w:val="nil"/>
            </w:tcBorders>
            <w:shd w:val="clear" w:color="auto" w:fill="auto"/>
            <w:vAlign w:val="center"/>
          </w:tcPr>
          <w:p w14:paraId="1D74F8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白带常规</w:t>
            </w:r>
          </w:p>
        </w:tc>
      </w:tr>
      <w:tr w14:paraId="62E74E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50E423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15</w:t>
            </w:r>
          </w:p>
        </w:tc>
        <w:tc>
          <w:tcPr>
            <w:tcW w:w="1800" w:type="dxa"/>
            <w:tcBorders>
              <w:tl2br w:val="nil"/>
              <w:tr2bl w:val="nil"/>
            </w:tcBorders>
            <w:shd w:val="clear" w:color="auto" w:fill="auto"/>
            <w:vAlign w:val="center"/>
          </w:tcPr>
          <w:p w14:paraId="1562F5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宫颈刮片</w:t>
            </w:r>
          </w:p>
        </w:tc>
        <w:tc>
          <w:tcPr>
            <w:tcW w:w="7000" w:type="dxa"/>
            <w:tcBorders>
              <w:tl2br w:val="nil"/>
              <w:tr2bl w:val="nil"/>
            </w:tcBorders>
            <w:shd w:val="clear" w:color="auto" w:fill="auto"/>
            <w:vAlign w:val="center"/>
          </w:tcPr>
          <w:p w14:paraId="745C59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宫颈脱落细胞检测(刮片)</w:t>
            </w:r>
          </w:p>
        </w:tc>
      </w:tr>
      <w:tr w14:paraId="73F6ED7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2CC067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16</w:t>
            </w:r>
          </w:p>
        </w:tc>
        <w:tc>
          <w:tcPr>
            <w:tcW w:w="1800" w:type="dxa"/>
            <w:tcBorders>
              <w:tl2br w:val="nil"/>
              <w:tr2bl w:val="nil"/>
            </w:tcBorders>
            <w:shd w:val="clear" w:color="auto" w:fill="auto"/>
            <w:vAlign w:val="center"/>
          </w:tcPr>
          <w:p w14:paraId="4A47F7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肝功能</w:t>
            </w:r>
          </w:p>
        </w:tc>
        <w:tc>
          <w:tcPr>
            <w:tcW w:w="7000" w:type="dxa"/>
            <w:tcBorders>
              <w:tl2br w:val="nil"/>
              <w:tr2bl w:val="nil"/>
            </w:tcBorders>
            <w:shd w:val="clear" w:color="auto" w:fill="auto"/>
            <w:vAlign w:val="center"/>
          </w:tcPr>
          <w:p w14:paraId="7DFACC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血清丙氨酸氨基转移酶测定(ALT)</w:t>
            </w:r>
          </w:p>
        </w:tc>
      </w:tr>
      <w:tr w14:paraId="066570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15DC91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17</w:t>
            </w:r>
          </w:p>
        </w:tc>
        <w:tc>
          <w:tcPr>
            <w:tcW w:w="1800" w:type="dxa"/>
            <w:tcBorders>
              <w:tl2br w:val="nil"/>
              <w:tr2bl w:val="nil"/>
            </w:tcBorders>
            <w:shd w:val="clear" w:color="auto" w:fill="auto"/>
            <w:vAlign w:val="center"/>
          </w:tcPr>
          <w:p w14:paraId="248212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肾功能三项</w:t>
            </w:r>
          </w:p>
        </w:tc>
        <w:tc>
          <w:tcPr>
            <w:tcW w:w="7000" w:type="dxa"/>
            <w:tcBorders>
              <w:tl2br w:val="nil"/>
              <w:tr2bl w:val="nil"/>
            </w:tcBorders>
            <w:shd w:val="clear" w:color="auto" w:fill="auto"/>
            <w:vAlign w:val="center"/>
          </w:tcPr>
          <w:p w14:paraId="7B8243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血清尿素; 血清尿酸; 血清肌酐</w:t>
            </w:r>
          </w:p>
        </w:tc>
      </w:tr>
      <w:tr w14:paraId="6DAFF6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16BBDE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18</w:t>
            </w:r>
          </w:p>
        </w:tc>
        <w:tc>
          <w:tcPr>
            <w:tcW w:w="1800" w:type="dxa"/>
            <w:tcBorders>
              <w:tl2br w:val="nil"/>
              <w:tr2bl w:val="nil"/>
            </w:tcBorders>
            <w:shd w:val="clear" w:color="auto" w:fill="auto"/>
            <w:vAlign w:val="center"/>
          </w:tcPr>
          <w:p w14:paraId="6FE309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血脂四项</w:t>
            </w:r>
          </w:p>
        </w:tc>
        <w:tc>
          <w:tcPr>
            <w:tcW w:w="7000" w:type="dxa"/>
            <w:tcBorders>
              <w:tl2br w:val="nil"/>
              <w:tr2bl w:val="nil"/>
            </w:tcBorders>
            <w:shd w:val="clear" w:color="auto" w:fill="auto"/>
            <w:vAlign w:val="center"/>
          </w:tcPr>
          <w:p w14:paraId="05111F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血清总胆固醇; 血清甘油三酯; 血清高密度脂蛋白胆固醇; 血清低密度脂蛋白胆固醇</w:t>
            </w:r>
          </w:p>
        </w:tc>
      </w:tr>
      <w:tr w14:paraId="0BFE31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7D211E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19</w:t>
            </w:r>
          </w:p>
        </w:tc>
        <w:tc>
          <w:tcPr>
            <w:tcW w:w="1800" w:type="dxa"/>
            <w:tcBorders>
              <w:tl2br w:val="nil"/>
              <w:tr2bl w:val="nil"/>
            </w:tcBorders>
            <w:shd w:val="clear" w:color="auto" w:fill="auto"/>
            <w:vAlign w:val="center"/>
          </w:tcPr>
          <w:p w14:paraId="71EA6C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肿瘤标志物检测</w:t>
            </w:r>
          </w:p>
        </w:tc>
        <w:tc>
          <w:tcPr>
            <w:tcW w:w="7000" w:type="dxa"/>
            <w:tcBorders>
              <w:tl2br w:val="nil"/>
              <w:tr2bl w:val="nil"/>
            </w:tcBorders>
            <w:shd w:val="clear" w:color="auto" w:fill="auto"/>
            <w:vAlign w:val="center"/>
          </w:tcPr>
          <w:p w14:paraId="3FCA51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癌胚抗原测定(CEA)定量</w:t>
            </w:r>
          </w:p>
        </w:tc>
      </w:tr>
      <w:tr w14:paraId="211ACB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2E90D1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20</w:t>
            </w:r>
          </w:p>
        </w:tc>
        <w:tc>
          <w:tcPr>
            <w:tcW w:w="1800" w:type="dxa"/>
            <w:tcBorders>
              <w:tl2br w:val="nil"/>
              <w:tr2bl w:val="nil"/>
            </w:tcBorders>
            <w:shd w:val="clear" w:color="auto" w:fill="auto"/>
            <w:vAlign w:val="center"/>
          </w:tcPr>
          <w:p w14:paraId="713DCE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糖尿病检测</w:t>
            </w:r>
          </w:p>
        </w:tc>
        <w:tc>
          <w:tcPr>
            <w:tcW w:w="7000" w:type="dxa"/>
            <w:tcBorders>
              <w:tl2br w:val="nil"/>
              <w:tr2bl w:val="nil"/>
            </w:tcBorders>
            <w:shd w:val="clear" w:color="auto" w:fill="auto"/>
            <w:vAlign w:val="center"/>
          </w:tcPr>
          <w:p w14:paraId="211A50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空腹血糖(GLU)</w:t>
            </w:r>
          </w:p>
        </w:tc>
      </w:tr>
      <w:tr w14:paraId="0CB741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33C418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21</w:t>
            </w:r>
          </w:p>
        </w:tc>
        <w:tc>
          <w:tcPr>
            <w:tcW w:w="1800" w:type="dxa"/>
            <w:tcBorders>
              <w:tl2br w:val="nil"/>
              <w:tr2bl w:val="nil"/>
            </w:tcBorders>
            <w:shd w:val="clear" w:color="auto" w:fill="auto"/>
            <w:vAlign w:val="center"/>
          </w:tcPr>
          <w:p w14:paraId="797E07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幽门螺杆菌检测</w:t>
            </w:r>
          </w:p>
        </w:tc>
        <w:tc>
          <w:tcPr>
            <w:tcW w:w="7000" w:type="dxa"/>
            <w:tcBorders>
              <w:tl2br w:val="nil"/>
              <w:tr2bl w:val="nil"/>
            </w:tcBorders>
            <w:shd w:val="clear" w:color="auto" w:fill="auto"/>
            <w:vAlign w:val="center"/>
          </w:tcPr>
          <w:p w14:paraId="0BF7DC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幽门螺杆菌IgG抗体</w:t>
            </w:r>
          </w:p>
        </w:tc>
      </w:tr>
      <w:tr w14:paraId="1FE6F4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68F6B1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22</w:t>
            </w:r>
          </w:p>
        </w:tc>
        <w:tc>
          <w:tcPr>
            <w:tcW w:w="1800" w:type="dxa"/>
            <w:tcBorders>
              <w:tl2br w:val="nil"/>
              <w:tr2bl w:val="nil"/>
            </w:tcBorders>
            <w:shd w:val="clear" w:color="auto" w:fill="auto"/>
            <w:vAlign w:val="center"/>
          </w:tcPr>
          <w:p w14:paraId="5E156F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其他</w:t>
            </w:r>
          </w:p>
        </w:tc>
        <w:tc>
          <w:tcPr>
            <w:tcW w:w="7000" w:type="dxa"/>
            <w:tcBorders>
              <w:tl2br w:val="nil"/>
              <w:tr2bl w:val="nil"/>
            </w:tcBorders>
            <w:shd w:val="clear" w:color="auto" w:fill="auto"/>
            <w:vAlign w:val="center"/>
          </w:tcPr>
          <w:p w14:paraId="7C8BFA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DR数字云胶片</w:t>
            </w:r>
          </w:p>
        </w:tc>
      </w:tr>
      <w:tr w14:paraId="2044EA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16F8E0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23</w:t>
            </w:r>
          </w:p>
        </w:tc>
        <w:tc>
          <w:tcPr>
            <w:tcW w:w="1800" w:type="dxa"/>
            <w:tcBorders>
              <w:tl2br w:val="nil"/>
              <w:tr2bl w:val="nil"/>
            </w:tcBorders>
            <w:shd w:val="clear" w:color="auto" w:fill="auto"/>
            <w:vAlign w:val="center"/>
          </w:tcPr>
          <w:p w14:paraId="2B3DB0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彩色多普勒超声常规检查-腹部</w:t>
            </w:r>
          </w:p>
        </w:tc>
        <w:tc>
          <w:tcPr>
            <w:tcW w:w="7000" w:type="dxa"/>
            <w:tcBorders>
              <w:tl2br w:val="nil"/>
              <w:tr2bl w:val="nil"/>
            </w:tcBorders>
            <w:shd w:val="clear" w:color="auto" w:fill="auto"/>
            <w:vAlign w:val="center"/>
          </w:tcPr>
          <w:p w14:paraId="1944F3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双肾彩超; 肝脏彩超; 胆囊彩超; 脾脏彩超; 胰腺彩超</w:t>
            </w:r>
          </w:p>
        </w:tc>
      </w:tr>
      <w:tr w14:paraId="293AA33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74A288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24</w:t>
            </w:r>
          </w:p>
        </w:tc>
        <w:tc>
          <w:tcPr>
            <w:tcW w:w="1800" w:type="dxa"/>
            <w:tcBorders>
              <w:tl2br w:val="nil"/>
              <w:tr2bl w:val="nil"/>
            </w:tcBorders>
            <w:shd w:val="clear" w:color="auto" w:fill="auto"/>
            <w:vAlign w:val="center"/>
          </w:tcPr>
          <w:p w14:paraId="72E710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彩色多普勒超声常规检查-妇科</w:t>
            </w:r>
          </w:p>
        </w:tc>
        <w:tc>
          <w:tcPr>
            <w:tcW w:w="7000" w:type="dxa"/>
            <w:tcBorders>
              <w:tl2br w:val="nil"/>
              <w:tr2bl w:val="nil"/>
            </w:tcBorders>
            <w:shd w:val="clear" w:color="auto" w:fill="auto"/>
            <w:vAlign w:val="center"/>
          </w:tcPr>
          <w:p w14:paraId="060F7A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附件彩超(经腹部）; 子宫彩超(经腹部）</w:t>
            </w:r>
          </w:p>
        </w:tc>
      </w:tr>
      <w:tr w14:paraId="1B2407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5FDC5A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25</w:t>
            </w:r>
          </w:p>
        </w:tc>
        <w:tc>
          <w:tcPr>
            <w:tcW w:w="1800" w:type="dxa"/>
            <w:tcBorders>
              <w:tl2br w:val="nil"/>
              <w:tr2bl w:val="nil"/>
            </w:tcBorders>
            <w:shd w:val="clear" w:color="auto" w:fill="auto"/>
            <w:vAlign w:val="center"/>
          </w:tcPr>
          <w:p w14:paraId="59B938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乳腺超声</w:t>
            </w:r>
          </w:p>
        </w:tc>
        <w:tc>
          <w:tcPr>
            <w:tcW w:w="7000" w:type="dxa"/>
            <w:tcBorders>
              <w:tl2br w:val="nil"/>
              <w:tr2bl w:val="nil"/>
            </w:tcBorders>
            <w:shd w:val="clear" w:color="auto" w:fill="auto"/>
            <w:vAlign w:val="center"/>
          </w:tcPr>
          <w:p w14:paraId="30314D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乳腺彩超</w:t>
            </w:r>
          </w:p>
        </w:tc>
      </w:tr>
      <w:tr w14:paraId="7D0549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3C85C3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26</w:t>
            </w:r>
          </w:p>
        </w:tc>
        <w:tc>
          <w:tcPr>
            <w:tcW w:w="1800" w:type="dxa"/>
            <w:tcBorders>
              <w:tl2br w:val="nil"/>
              <w:tr2bl w:val="nil"/>
            </w:tcBorders>
            <w:shd w:val="clear" w:color="auto" w:fill="auto"/>
            <w:vAlign w:val="center"/>
          </w:tcPr>
          <w:p w14:paraId="3E1C9F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甲状腺彩超</w:t>
            </w:r>
          </w:p>
        </w:tc>
        <w:tc>
          <w:tcPr>
            <w:tcW w:w="7000" w:type="dxa"/>
            <w:tcBorders>
              <w:tl2br w:val="nil"/>
              <w:tr2bl w:val="nil"/>
            </w:tcBorders>
            <w:shd w:val="clear" w:color="auto" w:fill="auto"/>
            <w:vAlign w:val="center"/>
          </w:tcPr>
          <w:p w14:paraId="0882B7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甲状腺彩超</w:t>
            </w:r>
          </w:p>
        </w:tc>
      </w:tr>
      <w:tr w14:paraId="6912DE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15CD07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27</w:t>
            </w:r>
          </w:p>
        </w:tc>
        <w:tc>
          <w:tcPr>
            <w:tcW w:w="1800" w:type="dxa"/>
            <w:tcBorders>
              <w:tl2br w:val="nil"/>
              <w:tr2bl w:val="nil"/>
            </w:tcBorders>
            <w:shd w:val="clear" w:color="auto" w:fill="auto"/>
            <w:vAlign w:val="center"/>
          </w:tcPr>
          <w:p w14:paraId="754EB2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前列腺超声</w:t>
            </w:r>
          </w:p>
        </w:tc>
        <w:tc>
          <w:tcPr>
            <w:tcW w:w="7000" w:type="dxa"/>
            <w:tcBorders>
              <w:tl2br w:val="nil"/>
              <w:tr2bl w:val="nil"/>
            </w:tcBorders>
            <w:shd w:val="clear" w:color="auto" w:fill="auto"/>
            <w:vAlign w:val="center"/>
          </w:tcPr>
          <w:p w14:paraId="1AFC25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前列腺彩超</w:t>
            </w:r>
          </w:p>
        </w:tc>
      </w:tr>
      <w:tr w14:paraId="759B04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 w:type="dxa"/>
            <w:tcBorders>
              <w:tl2br w:val="nil"/>
              <w:tr2bl w:val="nil"/>
            </w:tcBorders>
            <w:shd w:val="clear" w:color="auto" w:fill="auto"/>
            <w:vAlign w:val="center"/>
          </w:tcPr>
          <w:p w14:paraId="1A570B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28</w:t>
            </w:r>
          </w:p>
        </w:tc>
        <w:tc>
          <w:tcPr>
            <w:tcW w:w="1800" w:type="dxa"/>
            <w:tcBorders>
              <w:tl2br w:val="nil"/>
              <w:tr2bl w:val="nil"/>
            </w:tcBorders>
            <w:shd w:val="clear" w:color="auto" w:fill="auto"/>
            <w:vAlign w:val="center"/>
          </w:tcPr>
          <w:p w14:paraId="556465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胸部DR</w:t>
            </w:r>
          </w:p>
        </w:tc>
        <w:tc>
          <w:tcPr>
            <w:tcW w:w="7000" w:type="dxa"/>
            <w:tcBorders>
              <w:tl2br w:val="nil"/>
              <w:tr2bl w:val="nil"/>
            </w:tcBorders>
            <w:shd w:val="clear" w:color="auto" w:fill="auto"/>
            <w:vAlign w:val="center"/>
          </w:tcPr>
          <w:p w14:paraId="0753D2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i w:val="0"/>
                <w:iCs w:val="0"/>
                <w:color w:val="000000"/>
                <w:kern w:val="0"/>
                <w:sz w:val="21"/>
                <w:szCs w:val="21"/>
                <w:highlight w:val="none"/>
                <w:u w:val="none"/>
                <w:lang w:val="en-US" w:eastAsia="zh-CN" w:bidi="ar"/>
              </w:rPr>
              <w:t>胸部正位片</w:t>
            </w:r>
          </w:p>
        </w:tc>
      </w:tr>
      <w:tr w14:paraId="613141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7000" w:type="dxa"/>
            <w:tcBorders>
              <w:tl2br w:val="nil"/>
              <w:tr2bl w:val="nil"/>
            </w:tcBorders>
            <w:shd w:val="clear" w:color="auto" w:fill="auto"/>
            <w:vAlign w:val="center"/>
          </w:tcPr>
          <w:p w14:paraId="029C62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b/>
                <w:i w:val="0"/>
                <w:iCs w:val="0"/>
                <w:color w:val="000000"/>
                <w:kern w:val="0"/>
                <w:sz w:val="21"/>
                <w:szCs w:val="21"/>
                <w:highlight w:val="none"/>
                <w:u w:val="none"/>
                <w:lang w:val="en-US" w:eastAsia="zh-CN" w:bidi="ar"/>
              </w:rPr>
              <w:t>套餐小计价格</w:t>
            </w:r>
          </w:p>
        </w:tc>
        <w:tc>
          <w:tcPr>
            <w:tcW w:w="7000" w:type="dxa"/>
            <w:tcBorders>
              <w:tl2br w:val="nil"/>
              <w:tr2bl w:val="nil"/>
            </w:tcBorders>
            <w:shd w:val="clear" w:color="auto" w:fill="auto"/>
            <w:vAlign w:val="center"/>
          </w:tcPr>
          <w:p w14:paraId="3AF470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p>
        </w:tc>
        <w:tc>
          <w:tcPr>
            <w:tcW w:w="7000" w:type="dxa"/>
            <w:tcBorders>
              <w:tl2br w:val="nil"/>
              <w:tr2bl w:val="nil"/>
            </w:tcBorders>
            <w:shd w:val="clear" w:color="auto" w:fill="auto"/>
            <w:vAlign w:val="center"/>
          </w:tcPr>
          <w:p w14:paraId="10FE4B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宋体" w:hAnsi="宋体" w:eastAsia="宋体" w:cs="宋体"/>
                <w:b/>
                <w:i w:val="0"/>
                <w:iCs w:val="0"/>
                <w:color w:val="000000"/>
                <w:kern w:val="0"/>
                <w:sz w:val="21"/>
                <w:szCs w:val="21"/>
                <w:highlight w:val="none"/>
                <w:u w:val="none"/>
                <w:lang w:val="en-US" w:eastAsia="zh-CN" w:bidi="ar"/>
              </w:rPr>
              <w:t>360元/人</w:t>
            </w:r>
          </w:p>
        </w:tc>
      </w:tr>
    </w:tbl>
    <w:p w14:paraId="05B19179">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黑体" w:hAnsi="黑体" w:eastAsia="黑体" w:cs="黑体"/>
          <w:b w:val="0"/>
          <w:sz w:val="32"/>
          <w:szCs w:val="32"/>
          <w:highlight w:val="none"/>
        </w:rPr>
      </w:pPr>
      <w:bookmarkStart w:id="30" w:name="_Toc25965"/>
      <w:r>
        <w:rPr>
          <w:rFonts w:hint="eastAsia" w:ascii="黑体" w:hAnsi="黑体" w:eastAsia="黑体" w:cs="黑体"/>
          <w:b w:val="0"/>
          <w:sz w:val="32"/>
          <w:szCs w:val="32"/>
          <w:highlight w:val="none"/>
          <w:lang w:val="en-US" w:eastAsia="zh-CN"/>
        </w:rPr>
        <w:t>五</w:t>
      </w:r>
      <w:r>
        <w:rPr>
          <w:rFonts w:hint="eastAsia" w:ascii="黑体" w:hAnsi="黑体" w:eastAsia="黑体" w:cs="黑体"/>
          <w:b w:val="0"/>
          <w:sz w:val="32"/>
          <w:szCs w:val="32"/>
          <w:highlight w:val="none"/>
        </w:rPr>
        <w:t>、投标文件要求</w:t>
      </w:r>
      <w:bookmarkEnd w:id="30"/>
    </w:p>
    <w:p w14:paraId="2AD7077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楷体_GB2312" w:hAnsi="楷体_GB2312" w:eastAsia="楷体_GB2312" w:cs="楷体_GB2312"/>
          <w:bCs/>
          <w:sz w:val="32"/>
          <w:szCs w:val="32"/>
          <w:highlight w:val="none"/>
        </w:rPr>
      </w:pPr>
      <w:r>
        <w:rPr>
          <w:rFonts w:hint="eastAsia" w:ascii="楷体_GB2312" w:hAnsi="楷体_GB2312" w:eastAsia="楷体_GB2312" w:cs="楷体_GB2312"/>
          <w:bCs/>
          <w:sz w:val="32"/>
          <w:szCs w:val="32"/>
          <w:highlight w:val="none"/>
        </w:rPr>
        <w:t>（一）投标文件构成</w:t>
      </w:r>
    </w:p>
    <w:p w14:paraId="33E1FD63">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
          <w:bCs w:val="0"/>
          <w:sz w:val="32"/>
          <w:szCs w:val="32"/>
          <w:highlight w:val="none"/>
        </w:rPr>
        <w:t>1.唱标信封及开标一览表</w:t>
      </w:r>
    </w:p>
    <w:p w14:paraId="34E6475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lang w:val="en-US" w:eastAsia="zh-CN"/>
        </w:rPr>
        <w:t>1）</w:t>
      </w:r>
      <w:r>
        <w:rPr>
          <w:rFonts w:hint="eastAsia" w:ascii="仿宋_GB2312" w:hAnsi="仿宋_GB2312" w:eastAsia="仿宋_GB2312" w:cs="仿宋_GB2312"/>
          <w:bCs/>
          <w:sz w:val="32"/>
          <w:szCs w:val="32"/>
          <w:highlight w:val="none"/>
        </w:rPr>
        <w:t>唱标信封</w:t>
      </w:r>
    </w:p>
    <w:p w14:paraId="7A266BB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用以密封开标一览表，信封格式见本文件“第二部分 招标文件 第四章 投标文件格式 格式1 唱标信封”；</w:t>
      </w:r>
    </w:p>
    <w:p w14:paraId="7B00752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lang w:val="en-US" w:eastAsia="zh-CN"/>
        </w:rPr>
        <w:t>2）</w:t>
      </w:r>
      <w:r>
        <w:rPr>
          <w:rFonts w:hint="eastAsia" w:ascii="仿宋_GB2312" w:hAnsi="仿宋_GB2312" w:eastAsia="仿宋_GB2312" w:cs="仿宋_GB2312"/>
          <w:bCs/>
          <w:sz w:val="32"/>
          <w:szCs w:val="32"/>
          <w:highlight w:val="none"/>
        </w:rPr>
        <w:t>开标一览表</w:t>
      </w:r>
    </w:p>
    <w:p w14:paraId="3BF7BF5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用唱标信封单独封装，与投标文件一并递交，一览表指定格式见“第四章 投标文件格式 格式2 开标一览表”。</w:t>
      </w:r>
    </w:p>
    <w:p w14:paraId="77E5C780">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left"/>
        <w:textAlignment w:val="auto"/>
        <w:rPr>
          <w:rFonts w:hint="eastAsia" w:ascii="仿宋_GB2312" w:hAnsi="仿宋_GB2312" w:eastAsia="仿宋_GB2312" w:cs="仿宋_GB2312"/>
          <w:b/>
          <w:bCs w:val="0"/>
          <w:sz w:val="32"/>
          <w:szCs w:val="32"/>
          <w:highlight w:val="none"/>
        </w:rPr>
      </w:pPr>
      <w:r>
        <w:rPr>
          <w:rFonts w:hint="eastAsia" w:ascii="仿宋_GB2312" w:hAnsi="仿宋_GB2312" w:eastAsia="仿宋_GB2312" w:cs="仿宋_GB2312"/>
          <w:b/>
          <w:bCs w:val="0"/>
          <w:sz w:val="32"/>
          <w:szCs w:val="32"/>
          <w:highlight w:val="none"/>
        </w:rPr>
        <w:t>2.投标文件</w:t>
      </w:r>
    </w:p>
    <w:p w14:paraId="0CB7D4A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lang w:val="en-US" w:eastAsia="zh-CN"/>
        </w:rPr>
        <w:t>1）</w:t>
      </w:r>
      <w:r>
        <w:rPr>
          <w:rFonts w:hint="eastAsia" w:ascii="仿宋_GB2312" w:hAnsi="仿宋_GB2312" w:eastAsia="仿宋_GB2312" w:cs="仿宋_GB2312"/>
          <w:bCs/>
          <w:sz w:val="32"/>
          <w:szCs w:val="32"/>
          <w:highlight w:val="none"/>
        </w:rPr>
        <w:t>资质证明文件</w:t>
      </w:r>
    </w:p>
    <w:p w14:paraId="18E4337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投标人资质证明文件应按以下顺序排序：</w:t>
      </w:r>
    </w:p>
    <w:p w14:paraId="46BCE37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1）</w:t>
      </w:r>
      <w:r>
        <w:rPr>
          <w:rFonts w:hint="eastAsia" w:ascii="仿宋_GB2312" w:hAnsi="仿宋_GB2312" w:eastAsia="仿宋_GB2312" w:cs="仿宋_GB2312"/>
          <w:bCs/>
          <w:sz w:val="32"/>
          <w:szCs w:val="32"/>
          <w:highlight w:val="none"/>
        </w:rPr>
        <w:t>“三证合一”营业执照，非企业机构提供组织机构代码证（加盖公章）</w:t>
      </w:r>
      <w:r>
        <w:rPr>
          <w:rFonts w:hint="eastAsia" w:ascii="仿宋_GB2312" w:hAnsi="仿宋_GB2312" w:eastAsia="仿宋_GB2312" w:cs="仿宋_GB2312"/>
          <w:bCs/>
          <w:sz w:val="32"/>
          <w:szCs w:val="32"/>
          <w:highlight w:val="none"/>
          <w:lang w:val="en-US" w:eastAsia="zh-CN"/>
        </w:rPr>
        <w:t>;</w:t>
      </w:r>
    </w:p>
    <w:p w14:paraId="0E65D76B">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w:t>
      </w:r>
      <w:r>
        <w:rPr>
          <w:rFonts w:hint="eastAsia" w:ascii="仿宋_GB2312" w:hAnsi="仿宋_GB2312" w:eastAsia="仿宋_GB2312" w:cs="仿宋_GB2312"/>
          <w:bCs/>
          <w:sz w:val="32"/>
          <w:szCs w:val="32"/>
          <w:highlight w:val="none"/>
        </w:rPr>
        <w:t>中华人民共和国医疗经营许可证</w:t>
      </w:r>
      <w:r>
        <w:rPr>
          <w:rFonts w:hint="eastAsia" w:ascii="仿宋_GB2312" w:hAnsi="仿宋_GB2312" w:eastAsia="仿宋_GB2312" w:cs="仿宋_GB2312"/>
          <w:bCs/>
          <w:sz w:val="32"/>
          <w:szCs w:val="32"/>
          <w:highlight w:val="none"/>
          <w:lang w:val="en-US" w:eastAsia="zh-CN"/>
        </w:rPr>
        <w:t>;</w:t>
      </w:r>
    </w:p>
    <w:p w14:paraId="7AD31494">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3）法定代表人身份证明书及法人身份证复印件（格式自拟并加盖公章）；</w:t>
      </w:r>
    </w:p>
    <w:p w14:paraId="5DFFEA92">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4）法定代表人授权委托书及被委托人身份证复印件（格式自拟并加盖公章）；</w:t>
      </w:r>
    </w:p>
    <w:p w14:paraId="75BC300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lang w:val="en-US" w:eastAsia="zh-CN"/>
        </w:rPr>
        <w:t>2）</w:t>
      </w:r>
      <w:r>
        <w:rPr>
          <w:rFonts w:hint="eastAsia" w:ascii="仿宋_GB2312" w:hAnsi="仿宋_GB2312" w:eastAsia="仿宋_GB2312" w:cs="仿宋_GB2312"/>
          <w:bCs/>
          <w:sz w:val="32"/>
          <w:szCs w:val="32"/>
          <w:highlight w:val="none"/>
        </w:rPr>
        <w:t>价格文件</w:t>
      </w:r>
    </w:p>
    <w:p w14:paraId="64BE84F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格式参见本文件“第二部分 招标文件 第四章 投标文件格式 格式</w:t>
      </w:r>
      <w:r>
        <w:rPr>
          <w:rFonts w:hint="eastAsia" w:ascii="仿宋_GB2312" w:hAnsi="仿宋_GB2312" w:eastAsia="仿宋_GB2312" w:cs="仿宋_GB2312"/>
          <w:bCs/>
          <w:sz w:val="32"/>
          <w:szCs w:val="32"/>
          <w:highlight w:val="none"/>
          <w:lang w:val="en-US" w:eastAsia="zh-CN"/>
        </w:rPr>
        <w:t>6</w:t>
      </w:r>
      <w:r>
        <w:rPr>
          <w:rFonts w:hint="eastAsia" w:ascii="仿宋_GB2312" w:hAnsi="仿宋_GB2312" w:eastAsia="仿宋_GB2312" w:cs="仿宋_GB2312"/>
          <w:bCs/>
          <w:sz w:val="32"/>
          <w:szCs w:val="32"/>
          <w:highlight w:val="none"/>
        </w:rPr>
        <w:t xml:space="preserve"> 报价表”。</w:t>
      </w:r>
    </w:p>
    <w:p w14:paraId="674233B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lang w:val="en-US" w:eastAsia="zh-CN"/>
        </w:rPr>
        <w:t>3）</w:t>
      </w:r>
      <w:r>
        <w:rPr>
          <w:rFonts w:hint="eastAsia" w:ascii="仿宋_GB2312" w:hAnsi="仿宋_GB2312" w:eastAsia="仿宋_GB2312" w:cs="仿宋_GB2312"/>
          <w:bCs/>
          <w:sz w:val="32"/>
          <w:szCs w:val="32"/>
          <w:highlight w:val="none"/>
        </w:rPr>
        <w:t>商务技术文件</w:t>
      </w:r>
    </w:p>
    <w:p w14:paraId="379F8F3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1</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rPr>
        <w:t>评标标准及细则内要求提供的证明文件（按本文件“第二部分 招标文件 第二章 评标程序及标准”内各评分项列示顺序排序并加盖公章）；</w:t>
      </w:r>
    </w:p>
    <w:p w14:paraId="26C94FE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2</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rPr>
        <w:t>服务方案</w:t>
      </w:r>
    </w:p>
    <w:p w14:paraId="0863F17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服务方案应包括以下内容：</w:t>
      </w:r>
    </w:p>
    <w:p w14:paraId="484E0C8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A.与报价表列示各体检项目内容一致的体检项目清单，格式参见本文件“第二部分 招标文件 第四章 投标文件格式 格式</w:t>
      </w:r>
      <w:r>
        <w:rPr>
          <w:rFonts w:hint="eastAsia" w:ascii="仿宋_GB2312" w:hAnsi="仿宋_GB2312" w:eastAsia="仿宋_GB2312" w:cs="仿宋_GB2312"/>
          <w:bCs/>
          <w:sz w:val="32"/>
          <w:szCs w:val="32"/>
          <w:highlight w:val="none"/>
          <w:lang w:val="en-US" w:eastAsia="zh-CN"/>
        </w:rPr>
        <w:t>4</w:t>
      </w:r>
      <w:r>
        <w:rPr>
          <w:rFonts w:hint="eastAsia" w:ascii="仿宋_GB2312" w:hAnsi="仿宋_GB2312" w:eastAsia="仿宋_GB2312" w:cs="仿宋_GB2312"/>
          <w:bCs/>
          <w:sz w:val="32"/>
          <w:szCs w:val="32"/>
          <w:highlight w:val="none"/>
        </w:rPr>
        <w:t xml:space="preserve"> 体检套餐及项目清单”，各投标人在基准项目要求上另行增加体检项目或随附服务的，应予单独列示并说明；</w:t>
      </w:r>
    </w:p>
    <w:p w14:paraId="48F88BF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B.除招标文件要求外，投标人另行承诺的随附服务（投标人对本项目招标的响应视同为投标人对本项目所有服务需求的响应，无需在方案中重复体现）；</w:t>
      </w:r>
    </w:p>
    <w:p w14:paraId="0B140FC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C.服务有效期；</w:t>
      </w:r>
    </w:p>
    <w:p w14:paraId="0387FAD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D.其他投标人认为需要说明的事项；</w:t>
      </w:r>
    </w:p>
    <w:p w14:paraId="4D63158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3</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rPr>
        <w:t>商务技术要求响应清单</w:t>
      </w:r>
    </w:p>
    <w:p w14:paraId="7BB9D60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A.业绩证明</w:t>
      </w:r>
    </w:p>
    <w:p w14:paraId="6FA5F58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rPr>
        <w:t>格式参见本文件“第二部分 招标文件 第四章 投标文件格式 格式</w:t>
      </w:r>
      <w:r>
        <w:rPr>
          <w:rFonts w:hint="eastAsia" w:ascii="仿宋_GB2312" w:hAnsi="仿宋_GB2312" w:eastAsia="仿宋_GB2312" w:cs="仿宋_GB2312"/>
          <w:bCs/>
          <w:sz w:val="32"/>
          <w:szCs w:val="32"/>
          <w:highlight w:val="none"/>
          <w:lang w:val="en-US" w:eastAsia="zh-CN"/>
        </w:rPr>
        <w:t>3</w:t>
      </w:r>
      <w:r>
        <w:rPr>
          <w:rFonts w:hint="eastAsia" w:ascii="仿宋_GB2312" w:hAnsi="仿宋_GB2312" w:eastAsia="仿宋_GB2312" w:cs="仿宋_GB2312"/>
          <w:bCs/>
          <w:sz w:val="32"/>
          <w:szCs w:val="32"/>
          <w:highlight w:val="none"/>
        </w:rPr>
        <w:t xml:space="preserve"> </w:t>
      </w:r>
      <w:r>
        <w:rPr>
          <w:rFonts w:hint="eastAsia" w:ascii="仿宋_GB2312" w:hAnsi="仿宋_GB2312" w:eastAsia="仿宋_GB2312" w:cs="仿宋_GB2312"/>
          <w:bCs/>
          <w:sz w:val="32"/>
          <w:szCs w:val="32"/>
          <w:highlight w:val="none"/>
          <w:lang w:val="en-US" w:eastAsia="zh-CN"/>
        </w:rPr>
        <w:t>业绩证明</w:t>
      </w:r>
      <w:r>
        <w:rPr>
          <w:rFonts w:hint="eastAsia" w:ascii="仿宋_GB2312" w:hAnsi="仿宋_GB2312" w:eastAsia="仿宋_GB2312" w:cs="仿宋_GB2312"/>
          <w:bCs/>
          <w:sz w:val="32"/>
          <w:szCs w:val="32"/>
          <w:highlight w:val="none"/>
        </w:rPr>
        <w:t>”。</w:t>
      </w:r>
    </w:p>
    <w:p w14:paraId="3A0F884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val="en-US" w:eastAsia="zh-CN"/>
        </w:rPr>
        <w:t>B.</w:t>
      </w:r>
      <w:r>
        <w:rPr>
          <w:rFonts w:hint="eastAsia" w:ascii="仿宋_GB2312" w:hAnsi="仿宋_GB2312" w:eastAsia="仿宋_GB2312" w:cs="仿宋_GB2312"/>
          <w:bCs/>
          <w:sz w:val="32"/>
          <w:szCs w:val="32"/>
          <w:highlight w:val="none"/>
        </w:rPr>
        <w:t>投标人应制作与服务方案一致，按照本文件“第二部分 招标文件 第四章 投标文件格式 格式</w:t>
      </w:r>
      <w:r>
        <w:rPr>
          <w:rFonts w:hint="eastAsia" w:ascii="仿宋_GB2312" w:hAnsi="仿宋_GB2312" w:eastAsia="仿宋_GB2312" w:cs="仿宋_GB2312"/>
          <w:bCs/>
          <w:sz w:val="32"/>
          <w:szCs w:val="32"/>
          <w:highlight w:val="none"/>
          <w:lang w:val="en-US" w:eastAsia="zh-CN"/>
        </w:rPr>
        <w:t>5</w:t>
      </w:r>
      <w:r>
        <w:rPr>
          <w:rFonts w:hint="eastAsia" w:ascii="仿宋_GB2312" w:hAnsi="仿宋_GB2312" w:eastAsia="仿宋_GB2312" w:cs="仿宋_GB2312"/>
          <w:bCs/>
          <w:sz w:val="32"/>
          <w:szCs w:val="32"/>
          <w:highlight w:val="none"/>
        </w:rPr>
        <w:t xml:space="preserve"> 商务技术要求响应清单”模板填列的商务技术要素响应情况，注明相关商务技术要求响应的服务承诺及投标文件对应页数。</w:t>
      </w:r>
    </w:p>
    <w:p w14:paraId="7E6A236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lang w:val="en-US" w:eastAsia="zh-CN"/>
        </w:rPr>
        <w:t>4）廉洁</w:t>
      </w:r>
      <w:r>
        <w:rPr>
          <w:rFonts w:hint="eastAsia" w:ascii="仿宋_GB2312" w:hAnsi="仿宋_GB2312" w:eastAsia="仿宋_GB2312" w:cs="仿宋_GB2312"/>
          <w:bCs/>
          <w:sz w:val="32"/>
          <w:szCs w:val="32"/>
          <w:highlight w:val="none"/>
        </w:rPr>
        <w:t>承诺函</w:t>
      </w:r>
    </w:p>
    <w:p w14:paraId="3702C0D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val="en-US" w:eastAsia="zh-CN"/>
        </w:rPr>
        <w:t>廉洁</w:t>
      </w:r>
      <w:r>
        <w:rPr>
          <w:rFonts w:hint="eastAsia" w:ascii="仿宋_GB2312" w:hAnsi="仿宋_GB2312" w:eastAsia="仿宋_GB2312" w:cs="仿宋_GB2312"/>
          <w:bCs/>
          <w:sz w:val="32"/>
          <w:szCs w:val="32"/>
          <w:highlight w:val="none"/>
        </w:rPr>
        <w:t>承诺函格式参见本文件“第二部分 招标文件 第四章 投标文件格式 格</w:t>
      </w:r>
      <w:r>
        <w:rPr>
          <w:rFonts w:hint="eastAsia" w:ascii="Times New Roman" w:hAnsi="Times New Roman" w:eastAsia="仿宋_GB2312" w:cs="仿宋_GB2312"/>
          <w:bCs/>
          <w:sz w:val="32"/>
          <w:szCs w:val="32"/>
          <w:highlight w:val="none"/>
        </w:rPr>
        <w:t>式</w:t>
      </w:r>
      <w:r>
        <w:rPr>
          <w:rFonts w:hint="eastAsia" w:ascii="Times New Roman" w:hAnsi="Times New Roman" w:eastAsia="仿宋_GB2312" w:cs="仿宋_GB2312"/>
          <w:bCs/>
          <w:sz w:val="32"/>
          <w:szCs w:val="32"/>
          <w:highlight w:val="none"/>
          <w:lang w:val="en-US" w:eastAsia="zh-CN"/>
        </w:rPr>
        <w:t>7</w:t>
      </w:r>
      <w:r>
        <w:rPr>
          <w:rFonts w:hint="eastAsia" w:ascii="Times New Roman" w:hAnsi="Times New Roman" w:eastAsia="仿宋_GB2312" w:cs="仿宋_GB2312"/>
          <w:bCs/>
          <w:sz w:val="32"/>
          <w:szCs w:val="32"/>
          <w:highlight w:val="none"/>
        </w:rPr>
        <w:t xml:space="preserve"> </w:t>
      </w:r>
      <w:r>
        <w:rPr>
          <w:rFonts w:hint="eastAsia" w:ascii="Times New Roman" w:hAnsi="Times New Roman" w:eastAsia="仿宋_GB2312" w:cs="仿宋_GB2312"/>
          <w:bCs/>
          <w:sz w:val="32"/>
          <w:szCs w:val="32"/>
          <w:highlight w:val="none"/>
          <w:lang w:val="en-US" w:eastAsia="zh-CN"/>
        </w:rPr>
        <w:t>廉洁</w:t>
      </w:r>
      <w:r>
        <w:rPr>
          <w:rFonts w:hint="eastAsia" w:ascii="Times New Roman" w:hAnsi="Times New Roman" w:eastAsia="仿宋_GB2312" w:cs="仿宋_GB2312"/>
          <w:bCs/>
          <w:sz w:val="32"/>
          <w:szCs w:val="32"/>
          <w:highlight w:val="none"/>
        </w:rPr>
        <w:t>承诺函”</w:t>
      </w:r>
      <w:r>
        <w:rPr>
          <w:rFonts w:hint="eastAsia" w:ascii="仿宋_GB2312" w:hAnsi="仿宋_GB2312" w:eastAsia="仿宋_GB2312" w:cs="仿宋_GB2312"/>
          <w:bCs/>
          <w:sz w:val="32"/>
          <w:szCs w:val="32"/>
          <w:highlight w:val="none"/>
        </w:rPr>
        <w:t>。</w:t>
      </w:r>
    </w:p>
    <w:p w14:paraId="7A788CB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lang w:val="en-US" w:eastAsia="zh-CN"/>
        </w:rPr>
        <w:t>5）服务保价</w:t>
      </w:r>
      <w:r>
        <w:rPr>
          <w:rFonts w:hint="eastAsia" w:ascii="仿宋_GB2312" w:hAnsi="仿宋_GB2312" w:eastAsia="仿宋_GB2312" w:cs="仿宋_GB2312"/>
          <w:bCs/>
          <w:sz w:val="32"/>
          <w:szCs w:val="32"/>
          <w:highlight w:val="none"/>
        </w:rPr>
        <w:t>承诺函</w:t>
      </w:r>
    </w:p>
    <w:p w14:paraId="443DA58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val="en-US" w:eastAsia="zh-CN"/>
        </w:rPr>
        <w:t>服务保价</w:t>
      </w:r>
      <w:r>
        <w:rPr>
          <w:rFonts w:hint="eastAsia" w:ascii="仿宋_GB2312" w:hAnsi="仿宋_GB2312" w:eastAsia="仿宋_GB2312" w:cs="仿宋_GB2312"/>
          <w:bCs/>
          <w:sz w:val="32"/>
          <w:szCs w:val="32"/>
          <w:highlight w:val="none"/>
        </w:rPr>
        <w:t>承诺函格式参见本文件“第二部分 招标文件 第四章 投标文件</w:t>
      </w:r>
      <w:r>
        <w:rPr>
          <w:rFonts w:hint="eastAsia" w:ascii="Times New Roman" w:hAnsi="Times New Roman" w:eastAsia="仿宋_GB2312" w:cs="仿宋_GB2312"/>
          <w:bCs/>
          <w:sz w:val="32"/>
          <w:szCs w:val="32"/>
          <w:highlight w:val="none"/>
        </w:rPr>
        <w:t>格式 格式</w:t>
      </w:r>
      <w:r>
        <w:rPr>
          <w:rFonts w:hint="eastAsia" w:ascii="Times New Roman" w:hAnsi="Times New Roman" w:eastAsia="仿宋_GB2312" w:cs="仿宋_GB2312"/>
          <w:bCs/>
          <w:sz w:val="32"/>
          <w:szCs w:val="32"/>
          <w:highlight w:val="none"/>
          <w:lang w:val="en-US" w:eastAsia="zh-CN"/>
        </w:rPr>
        <w:t>8</w:t>
      </w:r>
      <w:r>
        <w:rPr>
          <w:rFonts w:hint="eastAsia" w:ascii="Times New Roman" w:hAnsi="Times New Roman" w:eastAsia="仿宋_GB2312" w:cs="仿宋_GB2312"/>
          <w:bCs/>
          <w:sz w:val="32"/>
          <w:szCs w:val="32"/>
          <w:highlight w:val="none"/>
        </w:rPr>
        <w:t xml:space="preserve"> </w:t>
      </w:r>
      <w:r>
        <w:rPr>
          <w:rFonts w:hint="eastAsia" w:ascii="Times New Roman" w:hAnsi="Times New Roman" w:eastAsia="仿宋_GB2312" w:cs="仿宋_GB2312"/>
          <w:bCs/>
          <w:sz w:val="32"/>
          <w:szCs w:val="32"/>
          <w:highlight w:val="none"/>
          <w:lang w:val="en-US" w:eastAsia="zh-CN"/>
        </w:rPr>
        <w:t>服务保价承诺</w:t>
      </w:r>
      <w:r>
        <w:rPr>
          <w:rFonts w:hint="eastAsia" w:ascii="Times New Roman" w:hAnsi="Times New Roman" w:eastAsia="仿宋_GB2312" w:cs="仿宋_GB2312"/>
          <w:bCs/>
          <w:sz w:val="32"/>
          <w:szCs w:val="32"/>
          <w:highlight w:val="none"/>
        </w:rPr>
        <w:t>函”。</w:t>
      </w:r>
    </w:p>
    <w:p w14:paraId="55DA8533">
      <w:pPr>
        <w:keepNext w:val="0"/>
        <w:keepLines w:val="0"/>
        <w:pageBreakBefore w:val="0"/>
        <w:widowControl w:val="0"/>
        <w:numPr>
          <w:ilvl w:val="0"/>
          <w:numId w:val="6"/>
        </w:numPr>
        <w:kinsoku/>
        <w:wordWrap/>
        <w:overflowPunct/>
        <w:topLinePunct w:val="0"/>
        <w:autoSpaceDE/>
        <w:autoSpaceDN/>
        <w:bidi w:val="0"/>
        <w:adjustRightInd/>
        <w:snapToGrid w:val="0"/>
        <w:spacing w:line="560" w:lineRule="exact"/>
        <w:ind w:left="0" w:leftChars="0" w:firstLine="640" w:firstLineChars="200"/>
        <w:jc w:val="left"/>
        <w:textAlignment w:val="auto"/>
        <w:rPr>
          <w:rFonts w:hint="eastAsia" w:ascii="楷体_GB2312" w:hAnsi="楷体_GB2312" w:eastAsia="楷体_GB2312" w:cs="楷体_GB2312"/>
          <w:b w:val="0"/>
          <w:bCs/>
          <w:sz w:val="32"/>
          <w:szCs w:val="32"/>
          <w:highlight w:val="none"/>
        </w:rPr>
      </w:pPr>
      <w:r>
        <w:rPr>
          <w:rFonts w:hint="eastAsia" w:ascii="楷体_GB2312" w:hAnsi="楷体_GB2312" w:eastAsia="楷体_GB2312" w:cs="楷体_GB2312"/>
          <w:b w:val="0"/>
          <w:bCs/>
          <w:sz w:val="32"/>
          <w:szCs w:val="32"/>
          <w:highlight w:val="none"/>
        </w:rPr>
        <w:t>投标文件标注及封装</w:t>
      </w:r>
    </w:p>
    <w:p w14:paraId="7FB45013">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left"/>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投标人应将投标文件严格按以下要求进行标注、封装，并就封装做出清晰标注：</w:t>
      </w:r>
    </w:p>
    <w:p w14:paraId="71330919">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left"/>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1.开标一览表单独用唱标信封封装；</w:t>
      </w:r>
    </w:p>
    <w:p w14:paraId="02D27C89">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left"/>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2.</w:t>
      </w:r>
      <w:r>
        <w:rPr>
          <w:rFonts w:hint="eastAsia" w:ascii="仿宋_GB2312" w:hAnsi="仿宋_GB2312" w:eastAsia="仿宋_GB2312" w:cs="仿宋_GB2312"/>
          <w:b w:val="0"/>
          <w:bCs/>
          <w:sz w:val="32"/>
          <w:szCs w:val="32"/>
          <w:highlight w:val="none"/>
          <w:lang w:val="en-US" w:eastAsia="zh-CN"/>
        </w:rPr>
        <w:t>编制具有目录页的</w:t>
      </w:r>
      <w:r>
        <w:rPr>
          <w:rFonts w:hint="eastAsia" w:ascii="仿宋_GB2312" w:hAnsi="仿宋_GB2312" w:eastAsia="仿宋_GB2312" w:cs="仿宋_GB2312"/>
          <w:b w:val="0"/>
          <w:bCs/>
          <w:sz w:val="32"/>
          <w:szCs w:val="32"/>
          <w:highlight w:val="none"/>
        </w:rPr>
        <w:t>投标文件</w:t>
      </w:r>
      <w:r>
        <w:rPr>
          <w:rFonts w:hint="eastAsia" w:ascii="仿宋_GB2312" w:hAnsi="仿宋_GB2312" w:eastAsia="仿宋_GB2312" w:cs="仿宋_GB2312"/>
          <w:b w:val="0"/>
          <w:bCs/>
          <w:sz w:val="32"/>
          <w:szCs w:val="32"/>
          <w:highlight w:val="none"/>
          <w:lang w:val="en-US" w:eastAsia="zh-CN"/>
        </w:rPr>
        <w:t>装订</w:t>
      </w:r>
      <w:r>
        <w:rPr>
          <w:rFonts w:hint="eastAsia" w:ascii="仿宋_GB2312" w:hAnsi="仿宋_GB2312" w:eastAsia="仿宋_GB2312" w:cs="仿宋_GB2312"/>
          <w:b w:val="0"/>
          <w:bCs/>
          <w:sz w:val="32"/>
          <w:szCs w:val="32"/>
          <w:highlight w:val="none"/>
        </w:rPr>
        <w:t>成册，形成正</w:t>
      </w:r>
      <w:r>
        <w:rPr>
          <w:rFonts w:hint="eastAsia" w:ascii="Times New Roman" w:hAnsi="Times New Roman" w:eastAsia="仿宋_GB2312" w:cs="仿宋_GB2312"/>
          <w:b w:val="0"/>
          <w:bCs/>
          <w:sz w:val="32"/>
          <w:szCs w:val="32"/>
          <w:highlight w:val="none"/>
        </w:rPr>
        <w:t>本1份，</w:t>
      </w:r>
      <w:r>
        <w:rPr>
          <w:rFonts w:hint="eastAsia" w:ascii="仿宋_GB2312" w:hAnsi="仿宋_GB2312" w:eastAsia="仿宋_GB2312" w:cs="仿宋_GB2312"/>
          <w:b w:val="0"/>
          <w:bCs/>
          <w:sz w:val="32"/>
          <w:szCs w:val="32"/>
          <w:highlight w:val="none"/>
        </w:rPr>
        <w:t>正本每页均需加盖公章，并盖骑缝章；</w:t>
      </w:r>
    </w:p>
    <w:p w14:paraId="5D145989">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left"/>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3.正本应与和其内容一致的投标文件电子文本的U盘共同封装至一个信封内；</w:t>
      </w:r>
    </w:p>
    <w:p w14:paraId="75789CF3">
      <w:pPr>
        <w:pageBreakBefore w:val="0"/>
        <w:widowControl/>
        <w:kinsoku/>
        <w:wordWrap/>
        <w:overflowPunct/>
        <w:topLinePunct w:val="0"/>
        <w:autoSpaceDE/>
        <w:autoSpaceDN/>
        <w:bidi w:val="0"/>
        <w:snapToGrid w:val="0"/>
        <w:spacing w:line="560" w:lineRule="exact"/>
        <w:ind w:left="0" w:leftChars="0" w:firstLine="640" w:firstLineChars="200"/>
        <w:jc w:val="left"/>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4.投标文件应同时形成</w:t>
      </w:r>
      <w:r>
        <w:rPr>
          <w:rFonts w:hint="eastAsia" w:ascii="Times New Roman" w:hAnsi="Times New Roman" w:eastAsia="仿宋_GB2312" w:cs="仿宋_GB2312"/>
          <w:b w:val="0"/>
          <w:bCs/>
          <w:sz w:val="32"/>
          <w:szCs w:val="32"/>
          <w:highlight w:val="none"/>
        </w:rPr>
        <w:t>副本</w:t>
      </w:r>
      <w:r>
        <w:rPr>
          <w:rFonts w:hint="eastAsia" w:ascii="Times New Roman" w:hAnsi="Times New Roman" w:eastAsia="仿宋_GB2312" w:cs="仿宋_GB2312"/>
          <w:b w:val="0"/>
          <w:bCs/>
          <w:sz w:val="32"/>
          <w:szCs w:val="32"/>
          <w:highlight w:val="none"/>
          <w:lang w:val="en-US" w:eastAsia="zh-CN"/>
        </w:rPr>
        <w:t>2</w:t>
      </w:r>
      <w:r>
        <w:rPr>
          <w:rFonts w:hint="eastAsia" w:ascii="Times New Roman" w:hAnsi="Times New Roman" w:eastAsia="仿宋_GB2312" w:cs="仿宋_GB2312"/>
          <w:b w:val="0"/>
          <w:bCs/>
          <w:sz w:val="32"/>
          <w:szCs w:val="32"/>
          <w:highlight w:val="none"/>
        </w:rPr>
        <w:t>份，副本</w:t>
      </w:r>
      <w:r>
        <w:rPr>
          <w:rFonts w:hint="eastAsia" w:ascii="仿宋_GB2312" w:hAnsi="仿宋_GB2312" w:eastAsia="仿宋_GB2312" w:cs="仿宋_GB2312"/>
          <w:b w:val="0"/>
          <w:bCs/>
          <w:sz w:val="32"/>
          <w:szCs w:val="32"/>
          <w:highlight w:val="none"/>
        </w:rPr>
        <w:t>可为正本的复印件，封装至一个信封内；</w:t>
      </w:r>
    </w:p>
    <w:p w14:paraId="0E15AE74">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left"/>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5.正副本封面及封装信封均应注明投标项目、招标编码、投标单位全称、正/副本性质，装于一个信封内密封；</w:t>
      </w:r>
    </w:p>
    <w:p w14:paraId="4A5443D9">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left"/>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6.封装信封除以上信息外，还应标注内件正/副本性质、份数，密封处加盖公章。</w:t>
      </w:r>
    </w:p>
    <w:p w14:paraId="20A0DD33">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left"/>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投标人未按照招标文件要求进行排序、标注或封装导致招标人提前拆开或错误拆开投标文件造成废标的，由投标人自行承担不利后果。</w:t>
      </w:r>
    </w:p>
    <w:p w14:paraId="29D70615">
      <w:pPr>
        <w:pStyle w:val="5"/>
        <w:keepNext w:val="0"/>
        <w:keepLines w:val="0"/>
        <w:pageBreakBefore w:val="0"/>
        <w:widowControl w:val="0"/>
        <w:kinsoku/>
        <w:wordWrap/>
        <w:overflowPunct/>
        <w:topLinePunct w:val="0"/>
        <w:autoSpaceDE/>
        <w:autoSpaceDN/>
        <w:bidi w:val="0"/>
        <w:adjustRightInd/>
        <w:spacing w:before="0" w:after="0" w:line="560" w:lineRule="exact"/>
        <w:ind w:firstLine="640" w:firstLineChars="200"/>
        <w:textAlignment w:val="auto"/>
        <w:rPr>
          <w:rFonts w:hint="eastAsia" w:ascii="黑体" w:hAnsi="黑体" w:eastAsia="黑体" w:cs="黑体"/>
          <w:b w:val="0"/>
          <w:sz w:val="32"/>
          <w:szCs w:val="32"/>
          <w:highlight w:val="none"/>
        </w:rPr>
      </w:pPr>
      <w:bookmarkStart w:id="31" w:name="_Toc18208"/>
      <w:r>
        <w:rPr>
          <w:rFonts w:hint="eastAsia" w:ascii="黑体" w:hAnsi="黑体" w:eastAsia="黑体" w:cs="黑体"/>
          <w:b w:val="0"/>
          <w:sz w:val="32"/>
          <w:szCs w:val="32"/>
          <w:highlight w:val="none"/>
          <w:lang w:val="en-US" w:eastAsia="zh-CN"/>
        </w:rPr>
        <w:t>六</w:t>
      </w:r>
      <w:r>
        <w:rPr>
          <w:rFonts w:hint="eastAsia" w:ascii="黑体" w:hAnsi="黑体" w:eastAsia="黑体" w:cs="黑体"/>
          <w:b w:val="0"/>
          <w:sz w:val="32"/>
          <w:szCs w:val="32"/>
          <w:highlight w:val="none"/>
        </w:rPr>
        <w:t>、投标人须知</w:t>
      </w:r>
      <w:bookmarkEnd w:id="31"/>
    </w:p>
    <w:p w14:paraId="43BE6F6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color w:val="auto"/>
          <w:sz w:val="32"/>
          <w:szCs w:val="32"/>
          <w:highlight w:val="none"/>
        </w:rPr>
      </w:pPr>
      <w:r>
        <w:rPr>
          <w:rFonts w:hint="eastAsia" w:ascii="Times New Roman" w:hAnsi="Times New Roman" w:eastAsia="仿宋_GB2312" w:cs="仿宋_GB2312"/>
          <w:bCs/>
          <w:color w:val="auto"/>
          <w:sz w:val="32"/>
          <w:szCs w:val="32"/>
          <w:highlight w:val="none"/>
        </w:rPr>
        <w:t>（一）投标人已接受邀请，但做出答复后因故不能参加投标的，须在开标会议至少前2个工作日内以书面形式通知招标人。如未按本条要求通知招标人而造成招标工作受到阻碍或不良影响的，三年内不得参与招标人采购项目投标。</w:t>
      </w:r>
    </w:p>
    <w:p w14:paraId="33BDF0E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color w:val="auto"/>
          <w:sz w:val="32"/>
          <w:szCs w:val="32"/>
          <w:highlight w:val="none"/>
        </w:rPr>
      </w:pPr>
      <w:r>
        <w:rPr>
          <w:rFonts w:hint="eastAsia" w:ascii="Times New Roman" w:hAnsi="Times New Roman" w:eastAsia="仿宋_GB2312" w:cs="仿宋_GB2312"/>
          <w:bCs/>
          <w:color w:val="000000"/>
          <w:sz w:val="32"/>
          <w:szCs w:val="32"/>
          <w:highlight w:val="none"/>
        </w:rPr>
        <w:t>（二）投标人对招标文件有任何疑问的，可在2026年11月</w:t>
      </w:r>
      <w:r>
        <w:rPr>
          <w:rFonts w:hint="eastAsia" w:ascii="Times New Roman" w:hAnsi="Times New Roman" w:eastAsia="仿宋_GB2312" w:cs="仿宋_GB2312"/>
          <w:bCs/>
          <w:color w:val="000000"/>
          <w:sz w:val="32"/>
          <w:szCs w:val="32"/>
          <w:highlight w:val="none"/>
          <w:lang w:val="en-US" w:eastAsia="zh-CN"/>
        </w:rPr>
        <w:t>2</w:t>
      </w:r>
      <w:r>
        <w:rPr>
          <w:rFonts w:hint="eastAsia" w:ascii="Times New Roman" w:hAnsi="Times New Roman" w:eastAsia="仿宋_GB2312" w:cs="仿宋_GB2312"/>
          <w:bCs/>
          <w:color w:val="000000"/>
          <w:sz w:val="32"/>
          <w:szCs w:val="32"/>
          <w:highlight w:val="none"/>
        </w:rPr>
        <w:t>日17时前内向本文件“第一部分 招标公告 十、联系方式”预留联系邮箱发送答疑请求，未在规定时间或未按指定方式提出的，视为对招标文件及程序的认可，不得再以任何理由要求修改或提出质疑。招标人将于2026年11月</w:t>
      </w:r>
      <w:r>
        <w:rPr>
          <w:rFonts w:hint="eastAsia" w:ascii="Times New Roman" w:hAnsi="Times New Roman" w:eastAsia="仿宋_GB2312" w:cs="仿宋_GB2312"/>
          <w:bCs/>
          <w:color w:val="000000"/>
          <w:sz w:val="32"/>
          <w:szCs w:val="32"/>
          <w:highlight w:val="none"/>
          <w:lang w:val="en-US" w:eastAsia="zh-CN"/>
        </w:rPr>
        <w:t>3</w:t>
      </w:r>
      <w:r>
        <w:rPr>
          <w:rFonts w:hint="eastAsia" w:ascii="Times New Roman" w:hAnsi="Times New Roman" w:eastAsia="仿宋_GB2312" w:cs="仿宋_GB2312"/>
          <w:bCs/>
          <w:color w:val="000000"/>
          <w:sz w:val="32"/>
          <w:szCs w:val="32"/>
          <w:highlight w:val="none"/>
        </w:rPr>
        <w:t>日17时前进行统一答疑。</w:t>
      </w:r>
    </w:p>
    <w:p w14:paraId="32463BE3">
      <w:pPr>
        <w:pageBreakBefore w:val="0"/>
        <w:widowControl/>
        <w:kinsoku/>
        <w:wordWrap/>
        <w:overflowPunct/>
        <w:topLinePunct w:val="0"/>
        <w:autoSpaceDE/>
        <w:autoSpaceDN/>
        <w:bidi w:val="0"/>
        <w:snapToGrid w:val="0"/>
        <w:spacing w:line="560" w:lineRule="exact"/>
        <w:ind w:firstLine="640" w:firstLineChars="200"/>
        <w:jc w:val="left"/>
        <w:textAlignment w:val="auto"/>
        <w:rPr>
          <w:rFonts w:hint="eastAsia" w:ascii="Times New Roman" w:hAnsi="Times New Roman" w:eastAsia="仿宋_GB2312" w:cs="仿宋_GB2312"/>
          <w:bCs/>
          <w:color w:val="auto"/>
          <w:sz w:val="32"/>
          <w:szCs w:val="32"/>
          <w:highlight w:val="none"/>
        </w:rPr>
      </w:pPr>
      <w:r>
        <w:rPr>
          <w:rFonts w:hint="eastAsia" w:ascii="Times New Roman" w:hAnsi="Times New Roman" w:eastAsia="仿宋_GB2312" w:cs="仿宋_GB2312"/>
          <w:bCs/>
          <w:color w:val="auto"/>
          <w:sz w:val="32"/>
          <w:szCs w:val="32"/>
          <w:highlight w:val="none"/>
        </w:rPr>
        <w:t>（三）投标人</w:t>
      </w:r>
      <w:r>
        <w:rPr>
          <w:rFonts w:hint="eastAsia" w:ascii="Times New Roman" w:hAnsi="Times New Roman" w:eastAsia="仿宋_GB2312" w:cs="仿宋_GB2312"/>
          <w:bCs/>
          <w:color w:val="auto"/>
          <w:sz w:val="32"/>
          <w:szCs w:val="32"/>
          <w:highlight w:val="none"/>
          <w:lang w:val="en-US" w:eastAsia="zh-CN"/>
        </w:rPr>
        <w:t>所</w:t>
      </w:r>
      <w:r>
        <w:rPr>
          <w:rFonts w:hint="eastAsia" w:ascii="Times New Roman" w:hAnsi="Times New Roman" w:eastAsia="仿宋_GB2312" w:cs="仿宋_GB2312"/>
          <w:bCs/>
          <w:color w:val="auto"/>
          <w:sz w:val="32"/>
          <w:szCs w:val="32"/>
          <w:highlight w:val="none"/>
        </w:rPr>
        <w:t>递交</w:t>
      </w:r>
      <w:r>
        <w:rPr>
          <w:rFonts w:hint="eastAsia" w:ascii="Times New Roman" w:hAnsi="Times New Roman" w:eastAsia="仿宋_GB2312" w:cs="仿宋_GB2312"/>
          <w:bCs/>
          <w:color w:val="auto"/>
          <w:sz w:val="32"/>
          <w:szCs w:val="32"/>
          <w:highlight w:val="none"/>
          <w:lang w:val="en-US" w:eastAsia="zh-CN"/>
        </w:rPr>
        <w:t>的投标文件需</w:t>
      </w:r>
      <w:r>
        <w:rPr>
          <w:rFonts w:hint="eastAsia" w:ascii="Times New Roman" w:hAnsi="Times New Roman" w:eastAsia="仿宋_GB2312" w:cs="仿宋_GB2312"/>
          <w:bCs/>
          <w:color w:val="auto"/>
          <w:sz w:val="32"/>
          <w:szCs w:val="32"/>
          <w:highlight w:val="none"/>
        </w:rPr>
        <w:t>加盖投标公司公章，以人民币为报价单位的报价表，包括总价与福利标准的对应套餐价。投标人提出的报价应为已包括项目成本、依法应纳税金、履行服务所必要的随附工作所产生的其他费用等。</w:t>
      </w:r>
    </w:p>
    <w:p w14:paraId="75F520BC">
      <w:pPr>
        <w:pageBreakBefore w:val="0"/>
        <w:widowControl/>
        <w:kinsoku/>
        <w:wordWrap/>
        <w:overflowPunct/>
        <w:topLinePunct w:val="0"/>
        <w:autoSpaceDE/>
        <w:autoSpaceDN/>
        <w:bidi w:val="0"/>
        <w:snapToGrid w:val="0"/>
        <w:spacing w:line="560" w:lineRule="exact"/>
        <w:ind w:firstLine="640" w:firstLineChars="200"/>
        <w:jc w:val="left"/>
        <w:textAlignment w:val="auto"/>
        <w:rPr>
          <w:rFonts w:hint="eastAsia" w:ascii="Times New Roman" w:hAnsi="Times New Roman" w:eastAsia="仿宋_GB2312" w:cs="仿宋_GB2312"/>
          <w:bCs/>
          <w:color w:val="auto"/>
          <w:sz w:val="32"/>
          <w:szCs w:val="32"/>
          <w:highlight w:val="none"/>
        </w:rPr>
      </w:pPr>
      <w:r>
        <w:rPr>
          <w:rFonts w:hint="eastAsia" w:ascii="Times New Roman" w:hAnsi="Times New Roman" w:eastAsia="仿宋_GB2312" w:cs="仿宋_GB2312"/>
          <w:bCs/>
          <w:color w:val="auto"/>
          <w:sz w:val="32"/>
          <w:szCs w:val="32"/>
          <w:highlight w:val="none"/>
        </w:rPr>
        <w:t>只允许有一个以各体检项目单价、限价标准对应套餐分项报价与对应套餐分项合计数为总价构成的报价文件，任何需要由招标人进行条件选择的非唯一报价将不予接受。</w:t>
      </w:r>
    </w:p>
    <w:p w14:paraId="6E0EA675">
      <w:pPr>
        <w:keepNext w:val="0"/>
        <w:keepLines w:val="0"/>
        <w:pageBreakBefore w:val="0"/>
        <w:widowControl w:val="0"/>
        <w:kinsoku/>
        <w:wordWrap w:val="0"/>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color w:val="auto"/>
          <w:sz w:val="32"/>
          <w:szCs w:val="32"/>
          <w:highlight w:val="none"/>
        </w:rPr>
      </w:pPr>
      <w:r>
        <w:rPr>
          <w:rFonts w:hint="eastAsia" w:ascii="Times New Roman" w:hAnsi="Times New Roman" w:eastAsia="仿宋_GB2312" w:cs="仿宋_GB2312"/>
          <w:bCs/>
          <w:color w:val="auto"/>
          <w:sz w:val="32"/>
          <w:szCs w:val="32"/>
          <w:highlight w:val="none"/>
        </w:rPr>
        <w:t>（四）定标完成后，招标人将在公司官网（www.plhr.cn）</w:t>
      </w:r>
      <w:r>
        <w:rPr>
          <w:rFonts w:hint="eastAsia" w:ascii="Times New Roman" w:hAnsi="Times New Roman" w:eastAsia="仿宋_GB2312" w:cs="仿宋_GB2312"/>
          <w:bCs/>
          <w:color w:val="auto"/>
          <w:sz w:val="32"/>
          <w:szCs w:val="32"/>
          <w:highlight w:val="none"/>
          <w:lang w:val="en-US" w:eastAsia="zh-CN"/>
        </w:rPr>
        <w:t>及深圳阳光采购平台</w:t>
      </w:r>
      <w:r>
        <w:rPr>
          <w:rFonts w:hint="eastAsia" w:ascii="Times New Roman" w:hAnsi="Times New Roman" w:eastAsia="仿宋_GB2312" w:cs="仿宋_GB2312"/>
          <w:bCs/>
          <w:color w:val="auto"/>
          <w:sz w:val="32"/>
          <w:szCs w:val="32"/>
          <w:highlight w:val="none"/>
        </w:rPr>
        <w:t>发布预中标结果公示，公示期为3个</w:t>
      </w:r>
      <w:r>
        <w:rPr>
          <w:rFonts w:hint="eastAsia" w:ascii="Times New Roman" w:hAnsi="Times New Roman" w:eastAsia="仿宋_GB2312" w:cs="仿宋_GB2312"/>
          <w:bCs/>
          <w:color w:val="auto"/>
          <w:sz w:val="32"/>
          <w:szCs w:val="32"/>
          <w:highlight w:val="none"/>
          <w:lang w:val="en-US" w:eastAsia="zh-CN"/>
        </w:rPr>
        <w:t>工作</w:t>
      </w:r>
      <w:r>
        <w:rPr>
          <w:rFonts w:hint="eastAsia" w:ascii="Times New Roman" w:hAnsi="Times New Roman" w:eastAsia="仿宋_GB2312" w:cs="仿宋_GB2312"/>
          <w:bCs/>
          <w:color w:val="auto"/>
          <w:sz w:val="32"/>
          <w:szCs w:val="32"/>
          <w:highlight w:val="none"/>
        </w:rPr>
        <w:t>日。公示期结束无异议的，向中标人发放《中标通知书》。公示期内如有质疑，需书面实名向招标人提出并提交随附证据。招标人对电子邮件、口头形式提出或无实际证据的质疑不予受理。经招标人审定存在恶意质疑或投诉的，三年内不得参与招标人项目招标。</w:t>
      </w:r>
    </w:p>
    <w:p w14:paraId="59FA4526">
      <w:pPr>
        <w:pageBreakBefore w:val="0"/>
        <w:widowControl/>
        <w:kinsoku/>
        <w:wordWrap/>
        <w:overflowPunct/>
        <w:topLinePunct w:val="0"/>
        <w:autoSpaceDE/>
        <w:autoSpaceDN/>
        <w:bidi w:val="0"/>
        <w:snapToGrid w:val="0"/>
        <w:spacing w:line="560" w:lineRule="exact"/>
        <w:ind w:firstLine="640" w:firstLineChars="200"/>
        <w:jc w:val="left"/>
        <w:textAlignment w:val="auto"/>
        <w:rPr>
          <w:rFonts w:hint="eastAsia" w:ascii="Times New Roman" w:hAnsi="Times New Roman" w:eastAsia="仿宋_GB2312" w:cs="仿宋_GB2312"/>
          <w:bCs/>
          <w:color w:val="auto"/>
          <w:sz w:val="32"/>
          <w:szCs w:val="32"/>
          <w:highlight w:val="none"/>
          <w:lang w:val="en-US" w:eastAsia="zh-CN"/>
        </w:rPr>
      </w:pPr>
      <w:r>
        <w:rPr>
          <w:rFonts w:hint="eastAsia" w:ascii="Times New Roman" w:hAnsi="Times New Roman" w:eastAsia="仿宋_GB2312" w:cs="仿宋_GB2312"/>
          <w:bCs/>
          <w:color w:val="auto"/>
          <w:sz w:val="32"/>
          <w:szCs w:val="32"/>
          <w:highlight w:val="none"/>
        </w:rPr>
        <w:t>（五）若接受邀请、递交投标文件或投标文件符合性审查阶段中任一阶段的有效投标人数量不足3家，招标人有权根据经营管理需要面向不特定社会公众实施公开招标，如二次招标有效投标人仍不足3家的，招标人将根据经营管理需要变更采购方式为竞争性谈判。前述各阶段已经作出有效响应的投标文件可以直接适用于竞争性谈判。</w:t>
      </w:r>
    </w:p>
    <w:p w14:paraId="14DDECC2">
      <w:pPr>
        <w:pageBreakBefore w:val="0"/>
        <w:widowControl/>
        <w:kinsoku/>
        <w:wordWrap/>
        <w:overflowPunct/>
        <w:topLinePunct w:val="0"/>
        <w:autoSpaceDE/>
        <w:autoSpaceDN/>
        <w:bidi w:val="0"/>
        <w:snapToGrid w:val="0"/>
        <w:spacing w:line="560" w:lineRule="exact"/>
        <w:ind w:firstLine="640" w:firstLineChars="200"/>
        <w:jc w:val="left"/>
        <w:textAlignment w:val="auto"/>
        <w:rPr>
          <w:rFonts w:hint="eastAsia" w:ascii="Times New Roman" w:hAnsi="Times New Roman" w:eastAsia="仿宋_GB2312" w:cs="仿宋_GB2312"/>
          <w:bCs/>
          <w:color w:val="auto"/>
          <w:sz w:val="32"/>
          <w:szCs w:val="32"/>
          <w:highlight w:val="none"/>
        </w:rPr>
      </w:pPr>
      <w:r>
        <w:rPr>
          <w:rFonts w:hint="eastAsia" w:ascii="Times New Roman" w:hAnsi="Times New Roman" w:eastAsia="仿宋_GB2312" w:cs="仿宋_GB2312"/>
          <w:bCs/>
          <w:color w:val="auto"/>
          <w:sz w:val="32"/>
          <w:szCs w:val="32"/>
          <w:highlight w:val="none"/>
        </w:rPr>
        <w:t>招标人不承担因招标失败给投标人造成的损失。</w:t>
      </w:r>
    </w:p>
    <w:p w14:paraId="1D4B0086">
      <w:pPr>
        <w:pageBreakBefore w:val="0"/>
        <w:widowControl/>
        <w:kinsoku/>
        <w:wordWrap/>
        <w:overflowPunct/>
        <w:topLinePunct w:val="0"/>
        <w:autoSpaceDE/>
        <w:autoSpaceDN/>
        <w:bidi w:val="0"/>
        <w:snapToGrid w:val="0"/>
        <w:spacing w:line="560" w:lineRule="exact"/>
        <w:ind w:firstLine="640" w:firstLineChars="200"/>
        <w:jc w:val="left"/>
        <w:textAlignment w:val="auto"/>
        <w:rPr>
          <w:rFonts w:hint="eastAsia" w:ascii="Times New Roman" w:hAnsi="Times New Roman" w:eastAsia="仿宋_GB2312" w:cs="仿宋_GB2312"/>
          <w:bCs/>
          <w:color w:val="auto"/>
          <w:sz w:val="32"/>
          <w:szCs w:val="32"/>
          <w:highlight w:val="none"/>
        </w:rPr>
      </w:pPr>
      <w:r>
        <w:rPr>
          <w:rFonts w:hint="eastAsia" w:ascii="Times New Roman" w:hAnsi="Times New Roman" w:eastAsia="仿宋_GB2312" w:cs="仿宋_GB2312"/>
          <w:bCs/>
          <w:color w:val="auto"/>
          <w:sz w:val="32"/>
          <w:szCs w:val="32"/>
          <w:highlight w:val="none"/>
        </w:rPr>
        <w:t>（六）本项目采用综合评标法，招标人不承诺投标价格最低的投标人中标。</w:t>
      </w:r>
    </w:p>
    <w:p w14:paraId="6F16D316">
      <w:pPr>
        <w:pageBreakBefore w:val="0"/>
        <w:widowControl w:val="0"/>
        <w:kinsoku/>
        <w:wordWrap/>
        <w:overflowPunct/>
        <w:topLinePunct w:val="0"/>
        <w:autoSpaceDE/>
        <w:autoSpaceDN/>
        <w:bidi w:val="0"/>
        <w:snapToGrid w:val="0"/>
        <w:spacing w:line="560" w:lineRule="exact"/>
        <w:ind w:firstLine="640" w:firstLineChars="200"/>
        <w:jc w:val="left"/>
        <w:textAlignment w:val="auto"/>
        <w:rPr>
          <w:rFonts w:hint="eastAsia" w:ascii="Times New Roman" w:hAnsi="Times New Roman" w:eastAsia="仿宋_GB2312" w:cs="仿宋_GB2312"/>
          <w:bCs/>
          <w:color w:val="auto"/>
          <w:sz w:val="32"/>
          <w:szCs w:val="32"/>
          <w:highlight w:val="none"/>
        </w:rPr>
      </w:pPr>
      <w:r>
        <w:rPr>
          <w:rFonts w:hint="eastAsia" w:ascii="Times New Roman" w:hAnsi="Times New Roman" w:eastAsia="仿宋_GB2312" w:cs="仿宋_GB2312"/>
          <w:bCs/>
          <w:color w:val="auto"/>
          <w:sz w:val="32"/>
          <w:szCs w:val="32"/>
          <w:highlight w:val="none"/>
        </w:rPr>
        <w:t>（七）中标方应在接到招标人电话通知后3个工作日内到招标人地址领取中标通知书，若逾期未领取的，视为自动放弃中标资格，项目重新招标，自动放弃的投标方不得再次参加本项目投标。</w:t>
      </w:r>
    </w:p>
    <w:p w14:paraId="0756980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color w:val="auto"/>
          <w:sz w:val="32"/>
          <w:szCs w:val="32"/>
          <w:highlight w:val="none"/>
        </w:rPr>
      </w:pPr>
      <w:r>
        <w:rPr>
          <w:rFonts w:hint="eastAsia" w:ascii="Times New Roman" w:hAnsi="Times New Roman" w:eastAsia="仿宋_GB2312" w:cs="仿宋_GB2312"/>
          <w:bCs/>
          <w:color w:val="auto"/>
          <w:sz w:val="32"/>
          <w:szCs w:val="32"/>
          <w:highlight w:val="none"/>
        </w:rPr>
        <w:t>（八）本项目不设置投标保证金及履约保证金，但招标人可以根据实际经营管理需要在定标完成后就合同条款、补充协议的订立与中标人进行协商以获得更有利于招标人经营管理的服务或价格。</w:t>
      </w:r>
    </w:p>
    <w:p w14:paraId="324352E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color w:val="auto"/>
          <w:sz w:val="32"/>
          <w:szCs w:val="32"/>
          <w:highlight w:val="none"/>
        </w:rPr>
      </w:pPr>
      <w:r>
        <w:rPr>
          <w:rFonts w:hint="eastAsia" w:ascii="Times New Roman" w:hAnsi="Times New Roman" w:eastAsia="仿宋_GB2312" w:cs="仿宋_GB2312"/>
          <w:bCs/>
          <w:color w:val="auto"/>
          <w:sz w:val="32"/>
          <w:szCs w:val="32"/>
          <w:highlight w:val="none"/>
        </w:rPr>
        <w:t>（九）投标人必须接受招标人对本项目的全部招标、谈判方法。招标人对投标人未中标的结果不负有解释义务，不退还投标文件，且不承担投标方因投标产生的任何费用或损失。</w:t>
      </w:r>
    </w:p>
    <w:p w14:paraId="464451E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Cs/>
          <w:color w:val="auto"/>
          <w:sz w:val="32"/>
          <w:szCs w:val="32"/>
          <w:highlight w:val="none"/>
        </w:rPr>
      </w:pPr>
      <w:r>
        <w:rPr>
          <w:rFonts w:hint="eastAsia" w:ascii="Times New Roman" w:hAnsi="Times New Roman" w:eastAsia="仿宋_GB2312" w:cs="仿宋_GB2312"/>
          <w:bCs/>
          <w:color w:val="auto"/>
          <w:sz w:val="32"/>
          <w:szCs w:val="32"/>
          <w:highlight w:val="none"/>
        </w:rPr>
        <w:t>（十）投标人有义务在整个招标工作开展期间自行留意招标人官方网站（www.plhr.cn）发布的公告通知，所有在该网站发布的公告、通知均视为有效送达。因投标人疏于浏览而导致的不利后果由投标人自行承担。</w:t>
      </w:r>
    </w:p>
    <w:p w14:paraId="672A33CD">
      <w:pPr>
        <w:pStyle w:val="5"/>
        <w:pageBreakBefore w:val="0"/>
        <w:widowControl w:val="0"/>
        <w:kinsoku/>
        <w:wordWrap/>
        <w:overflowPunct/>
        <w:topLinePunct w:val="0"/>
        <w:autoSpaceDE/>
        <w:autoSpaceDN/>
        <w:bidi w:val="0"/>
        <w:adjustRightInd/>
        <w:spacing w:before="0" w:after="0" w:line="560" w:lineRule="exact"/>
        <w:ind w:firstLine="640" w:firstLineChars="200"/>
        <w:textAlignment w:val="auto"/>
        <w:rPr>
          <w:rFonts w:hint="eastAsia" w:ascii="黑体" w:hAnsi="黑体" w:eastAsia="黑体" w:cs="黑体"/>
          <w:b w:val="0"/>
          <w:color w:val="auto"/>
          <w:sz w:val="32"/>
          <w:szCs w:val="32"/>
          <w:highlight w:val="none"/>
        </w:rPr>
      </w:pPr>
      <w:bookmarkStart w:id="32" w:name="_Toc18792"/>
      <w:r>
        <w:rPr>
          <w:rFonts w:hint="eastAsia" w:ascii="黑体" w:hAnsi="黑体" w:eastAsia="黑体" w:cs="黑体"/>
          <w:b w:val="0"/>
          <w:color w:val="auto"/>
          <w:sz w:val="32"/>
          <w:szCs w:val="32"/>
          <w:highlight w:val="none"/>
          <w:lang w:val="en-US" w:eastAsia="zh-CN"/>
        </w:rPr>
        <w:t>七</w:t>
      </w:r>
      <w:r>
        <w:rPr>
          <w:rFonts w:hint="eastAsia" w:ascii="黑体" w:hAnsi="黑体" w:eastAsia="黑体" w:cs="黑体"/>
          <w:b w:val="0"/>
          <w:color w:val="auto"/>
          <w:sz w:val="32"/>
          <w:szCs w:val="32"/>
          <w:highlight w:val="none"/>
        </w:rPr>
        <w:t>、投标文件作废</w:t>
      </w:r>
      <w:bookmarkEnd w:id="32"/>
    </w:p>
    <w:p w14:paraId="73E343D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投标人在投标过程中存在以下任一行为的，投标文件作废，取消投标资格：</w:t>
      </w:r>
    </w:p>
    <w:p w14:paraId="213F92B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一</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未按照投标邀请函示要求提交答复函、报名表及随附材料；</w:t>
      </w:r>
    </w:p>
    <w:p w14:paraId="6686BB4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二</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投标人在投标、评标、定标期间存在企图影响招标结果、泄密、违反《</w:t>
      </w:r>
      <w:r>
        <w:rPr>
          <w:rFonts w:hint="eastAsia" w:ascii="仿宋_GB2312" w:hAnsi="仿宋_GB2312" w:eastAsia="仿宋_GB2312" w:cs="仿宋_GB2312"/>
          <w:bCs/>
          <w:color w:val="auto"/>
          <w:sz w:val="32"/>
          <w:szCs w:val="32"/>
          <w:highlight w:val="none"/>
          <w:lang w:val="en-US" w:eastAsia="zh-CN"/>
        </w:rPr>
        <w:t>廉洁</w:t>
      </w:r>
      <w:r>
        <w:rPr>
          <w:rFonts w:hint="eastAsia" w:ascii="仿宋_GB2312" w:hAnsi="仿宋_GB2312" w:eastAsia="仿宋_GB2312" w:cs="仿宋_GB2312"/>
          <w:bCs/>
          <w:color w:val="auto"/>
          <w:sz w:val="32"/>
          <w:szCs w:val="32"/>
          <w:highlight w:val="none"/>
        </w:rPr>
        <w:t>承诺函》函示内容等不公平竞争行为；</w:t>
      </w:r>
    </w:p>
    <w:p w14:paraId="5104D0B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三</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未按照招标文件要求制作投标文件；</w:t>
      </w:r>
    </w:p>
    <w:p w14:paraId="738D73C7">
      <w:pPr>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四</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未经招标方同意擅自改动招标文件内容；</w:t>
      </w:r>
    </w:p>
    <w:p w14:paraId="728A7E78">
      <w:pPr>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五</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投标文件递交超过截止时限或未能递交投标文件；</w:t>
      </w:r>
    </w:p>
    <w:p w14:paraId="47817CA1">
      <w:pPr>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六</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在邀请投标及后续谈判的任意环节中提供虚假材料及信息；</w:t>
      </w:r>
    </w:p>
    <w:p w14:paraId="024C1996">
      <w:pPr>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七</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rPr>
        <w:t>本文件中规定的其它按废标处理的情形。</w:t>
      </w:r>
    </w:p>
    <w:p w14:paraId="7F14A561">
      <w:pPr>
        <w:pStyle w:val="5"/>
        <w:keepNext w:val="0"/>
        <w:keepLines w:val="0"/>
        <w:pageBreakBefore w:val="0"/>
        <w:kinsoku/>
        <w:wordWrap/>
        <w:overflowPunct/>
        <w:topLinePunct w:val="0"/>
        <w:autoSpaceDE/>
        <w:autoSpaceDN/>
        <w:bidi w:val="0"/>
        <w:spacing w:before="0" w:after="0" w:line="560" w:lineRule="exact"/>
        <w:ind w:left="0" w:firstLine="640" w:firstLineChars="200"/>
        <w:textAlignment w:val="auto"/>
        <w:rPr>
          <w:rFonts w:hint="eastAsia" w:ascii="黑体" w:hAnsi="黑体" w:eastAsia="黑体" w:cs="黑体"/>
          <w:b w:val="0"/>
          <w:color w:val="auto"/>
          <w:sz w:val="32"/>
          <w:szCs w:val="32"/>
          <w:highlight w:val="none"/>
        </w:rPr>
      </w:pPr>
      <w:bookmarkStart w:id="33" w:name="_Toc24283"/>
      <w:r>
        <w:rPr>
          <w:rFonts w:hint="eastAsia" w:ascii="黑体" w:hAnsi="黑体" w:eastAsia="黑体" w:cs="黑体"/>
          <w:b w:val="0"/>
          <w:color w:val="auto"/>
          <w:sz w:val="32"/>
          <w:szCs w:val="32"/>
          <w:highlight w:val="none"/>
          <w:lang w:val="en-US" w:eastAsia="zh-CN"/>
        </w:rPr>
        <w:t>八</w:t>
      </w:r>
      <w:r>
        <w:rPr>
          <w:rFonts w:hint="eastAsia" w:ascii="黑体" w:hAnsi="黑体" w:eastAsia="黑体" w:cs="黑体"/>
          <w:b w:val="0"/>
          <w:color w:val="auto"/>
          <w:sz w:val="32"/>
          <w:szCs w:val="32"/>
          <w:highlight w:val="none"/>
        </w:rPr>
        <w:t>、其他要求</w:t>
      </w:r>
      <w:bookmarkEnd w:id="33"/>
    </w:p>
    <w:p w14:paraId="325EF8E8">
      <w:pPr>
        <w:pageBreakBefore w:val="0"/>
        <w:widowControl w:val="0"/>
        <w:kinsoku/>
        <w:wordWrap/>
        <w:overflowPunct/>
        <w:topLinePunct w:val="0"/>
        <w:autoSpaceDE/>
        <w:autoSpaceDN/>
        <w:bidi w:val="0"/>
        <w:snapToGrid w:val="0"/>
        <w:spacing w:line="560" w:lineRule="exact"/>
        <w:ind w:left="0" w:firstLine="640" w:firstLineChars="20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一）</w:t>
      </w:r>
      <w:r>
        <w:rPr>
          <w:rFonts w:hint="eastAsia" w:ascii="仿宋_GB2312" w:hAnsi="仿宋_GB2312" w:eastAsia="仿宋_GB2312" w:cs="仿宋_GB2312"/>
          <w:bCs/>
          <w:color w:val="auto"/>
          <w:sz w:val="32"/>
          <w:szCs w:val="32"/>
          <w:highlight w:val="none"/>
        </w:rPr>
        <w:t>投标人应逐项阅读招标文件的全部要求，根据投标人真实情况以审慎、诚信原则提交投标文件。如投标人编制的投标文件不能响应和满足招标文件及项目要求，该投标文件将被视为无效，由此引起的不利后果由投标人自行承担；</w:t>
      </w:r>
    </w:p>
    <w:p w14:paraId="34FB306E">
      <w:pPr>
        <w:pageBreakBefore w:val="0"/>
        <w:widowControl w:val="0"/>
        <w:kinsoku/>
        <w:wordWrap/>
        <w:overflowPunct/>
        <w:topLinePunct w:val="0"/>
        <w:autoSpaceDE/>
        <w:autoSpaceDN/>
        <w:bidi w:val="0"/>
        <w:snapToGrid w:val="0"/>
        <w:spacing w:line="560" w:lineRule="exact"/>
        <w:ind w:left="0" w:firstLine="640" w:firstLineChars="20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二）</w:t>
      </w:r>
      <w:r>
        <w:rPr>
          <w:rFonts w:hint="eastAsia" w:ascii="仿宋_GB2312" w:hAnsi="仿宋_GB2312" w:eastAsia="仿宋_GB2312" w:cs="仿宋_GB2312"/>
          <w:bCs/>
          <w:color w:val="auto"/>
          <w:sz w:val="32"/>
          <w:szCs w:val="32"/>
          <w:highlight w:val="none"/>
        </w:rPr>
        <w:t>对恶意投标、中标后不能按照本招标文件“第二部分 招标文件 第三章 合同条款”要求的服务标准提供服务者，招标人有权即时停止履行合同，同时取消投标人供应商资格。对招标人造成实际经济或商誉损失的，招标人保留起诉、索赔等正当权利。</w:t>
      </w:r>
    </w:p>
    <w:p w14:paraId="1B2BBF95">
      <w:pPr>
        <w:pageBreakBefore w:val="0"/>
        <w:widowControl/>
        <w:kinsoku/>
        <w:wordWrap/>
        <w:overflowPunct/>
        <w:topLinePunct w:val="0"/>
        <w:autoSpaceDE/>
        <w:autoSpaceDN/>
        <w:bidi w:val="0"/>
        <w:snapToGrid w:val="0"/>
        <w:spacing w:line="560" w:lineRule="exact"/>
        <w:ind w:left="0" w:firstLine="640" w:firstLineChars="20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三）</w:t>
      </w:r>
      <w:r>
        <w:rPr>
          <w:rFonts w:hint="eastAsia" w:ascii="仿宋_GB2312" w:hAnsi="仿宋_GB2312" w:eastAsia="仿宋_GB2312" w:cs="仿宋_GB2312"/>
          <w:bCs/>
          <w:color w:val="auto"/>
          <w:sz w:val="32"/>
          <w:szCs w:val="32"/>
          <w:highlight w:val="none"/>
        </w:rPr>
        <w:t>不论投标结果如何，投标人的投标文件均不退回，且不对未中标单位作任何解释。投标人因投标产生的一切费用不管投标结果如何，均由投标人承担。</w:t>
      </w:r>
    </w:p>
    <w:p w14:paraId="17B7E18A">
      <w:pPr>
        <w:keepNext w:val="0"/>
        <w:keepLines w:val="0"/>
        <w:pageBreakBefore w:val="0"/>
        <w:widowControl w:val="0"/>
        <w:kinsoku/>
        <w:wordWrap/>
        <w:overflowPunct/>
        <w:topLinePunct w:val="0"/>
        <w:autoSpaceDE/>
        <w:autoSpaceDN/>
        <w:bidi w:val="0"/>
        <w:adjustRightInd/>
        <w:snapToGrid w:val="0"/>
        <w:spacing w:line="560" w:lineRule="exact"/>
        <w:ind w:left="0" w:firstLine="640" w:firstLineChars="200"/>
        <w:jc w:val="left"/>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四）</w:t>
      </w:r>
      <w:r>
        <w:rPr>
          <w:rFonts w:hint="eastAsia" w:ascii="仿宋_GB2312" w:hAnsi="仿宋_GB2312" w:eastAsia="仿宋_GB2312" w:cs="仿宋_GB2312"/>
          <w:bCs/>
          <w:color w:val="auto"/>
          <w:sz w:val="32"/>
          <w:szCs w:val="32"/>
          <w:highlight w:val="none"/>
        </w:rPr>
        <w:t>投标人不得相互串通投标报价，不得排挤其他投标人的公平竞争。一经发现违规行为，招标人有权立即终止采购活动并取消违反规定的投标人资格。</w:t>
      </w:r>
    </w:p>
    <w:p w14:paraId="277C8C2D">
      <w:pPr>
        <w:pStyle w:val="5"/>
        <w:keepNext w:val="0"/>
        <w:keepLines w:val="0"/>
        <w:pageBreakBefore w:val="0"/>
        <w:widowControl w:val="0"/>
        <w:kinsoku/>
        <w:wordWrap/>
        <w:overflowPunct/>
        <w:topLinePunct w:val="0"/>
        <w:autoSpaceDE/>
        <w:autoSpaceDN/>
        <w:bidi w:val="0"/>
        <w:adjustRightInd/>
        <w:spacing w:before="0" w:after="0" w:line="560" w:lineRule="exact"/>
        <w:ind w:left="0" w:firstLine="640" w:firstLineChars="200"/>
        <w:textAlignment w:val="auto"/>
        <w:rPr>
          <w:rFonts w:hint="eastAsia" w:ascii="黑体" w:hAnsi="黑体" w:eastAsia="黑体" w:cs="黑体"/>
          <w:b w:val="0"/>
          <w:color w:val="auto"/>
          <w:sz w:val="32"/>
          <w:szCs w:val="32"/>
          <w:highlight w:val="none"/>
        </w:rPr>
      </w:pPr>
      <w:bookmarkStart w:id="34" w:name="_Toc21075"/>
      <w:r>
        <w:rPr>
          <w:rFonts w:hint="eastAsia" w:ascii="黑体" w:hAnsi="黑体" w:eastAsia="黑体" w:cs="黑体"/>
          <w:b w:val="0"/>
          <w:color w:val="auto"/>
          <w:sz w:val="32"/>
          <w:szCs w:val="32"/>
          <w:highlight w:val="none"/>
          <w:lang w:val="en-US" w:eastAsia="zh-CN"/>
        </w:rPr>
        <w:t>九</w:t>
      </w:r>
      <w:r>
        <w:rPr>
          <w:rFonts w:hint="eastAsia" w:ascii="黑体" w:hAnsi="黑体" w:eastAsia="黑体" w:cs="黑体"/>
          <w:b w:val="0"/>
          <w:color w:val="auto"/>
          <w:sz w:val="32"/>
          <w:szCs w:val="32"/>
          <w:highlight w:val="none"/>
        </w:rPr>
        <w:t>、投标文件递交</w:t>
      </w:r>
      <w:bookmarkEnd w:id="34"/>
    </w:p>
    <w:p w14:paraId="4A50906A">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楷体_GB2312" w:hAnsi="楷体_GB2312" w:eastAsia="楷体_GB2312" w:cs="楷体_GB2312"/>
          <w:b w:val="0"/>
          <w:bCs/>
          <w:color w:val="auto"/>
          <w:sz w:val="32"/>
          <w:szCs w:val="32"/>
          <w:highlight w:val="none"/>
          <w:lang w:eastAsia="zh-CN"/>
        </w:rPr>
      </w:pPr>
      <w:r>
        <w:rPr>
          <w:rFonts w:hint="eastAsia" w:ascii="楷体_GB2312" w:hAnsi="楷体_GB2312" w:eastAsia="楷体_GB2312" w:cs="楷体_GB2312"/>
          <w:b w:val="0"/>
          <w:bCs/>
          <w:color w:val="auto"/>
          <w:sz w:val="32"/>
          <w:szCs w:val="32"/>
          <w:highlight w:val="none"/>
          <w:lang w:eastAsia="zh-CN"/>
        </w:rPr>
        <w:t>（</w:t>
      </w:r>
      <w:r>
        <w:rPr>
          <w:rFonts w:hint="eastAsia" w:ascii="楷体_GB2312" w:hAnsi="楷体_GB2312" w:eastAsia="楷体_GB2312" w:cs="楷体_GB2312"/>
          <w:b w:val="0"/>
          <w:bCs/>
          <w:color w:val="auto"/>
          <w:sz w:val="32"/>
          <w:szCs w:val="32"/>
          <w:highlight w:val="none"/>
          <w:lang w:val="en-US" w:eastAsia="zh-CN"/>
        </w:rPr>
        <w:t>一）</w:t>
      </w:r>
      <w:r>
        <w:rPr>
          <w:rFonts w:hint="eastAsia" w:ascii="楷体_GB2312" w:hAnsi="楷体_GB2312" w:eastAsia="楷体_GB2312" w:cs="楷体_GB2312"/>
          <w:b w:val="0"/>
          <w:bCs/>
          <w:color w:val="auto"/>
          <w:sz w:val="32"/>
          <w:szCs w:val="32"/>
          <w:highlight w:val="none"/>
          <w:lang w:eastAsia="zh-CN"/>
        </w:rPr>
        <w:t>递交方式</w:t>
      </w:r>
    </w:p>
    <w:p w14:paraId="496D359D">
      <w:pPr>
        <w:keepNext w:val="0"/>
        <w:keepLines w:val="0"/>
        <w:pageBreakBefore w:val="0"/>
        <w:widowControl/>
        <w:kinsoku/>
        <w:wordWrap/>
        <w:overflowPunct/>
        <w:topLinePunct w:val="0"/>
        <w:autoSpaceDE/>
        <w:autoSpaceDN/>
        <w:bidi w:val="0"/>
        <w:adjustRightInd/>
        <w:snapToGrid w:val="0"/>
        <w:spacing w:line="560" w:lineRule="exact"/>
        <w:ind w:left="0" w:firstLine="640" w:firstLineChars="200"/>
        <w:jc w:val="left"/>
        <w:textAlignment w:val="auto"/>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现场递交</w:t>
      </w:r>
    </w:p>
    <w:p w14:paraId="48D23BFA">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楷体_GB2312" w:hAnsi="楷体_GB2312" w:eastAsia="楷体_GB2312" w:cs="楷体_GB2312"/>
          <w:b w:val="0"/>
          <w:bCs/>
          <w:color w:val="auto"/>
          <w:sz w:val="32"/>
          <w:szCs w:val="32"/>
          <w:highlight w:val="none"/>
          <w:lang w:val="en-US" w:eastAsia="zh-CN"/>
        </w:rPr>
      </w:pPr>
      <w:r>
        <w:rPr>
          <w:rFonts w:hint="eastAsia" w:ascii="楷体_GB2312" w:hAnsi="楷体_GB2312" w:eastAsia="楷体_GB2312" w:cs="楷体_GB2312"/>
          <w:b w:val="0"/>
          <w:bCs/>
          <w:color w:val="auto"/>
          <w:sz w:val="32"/>
          <w:szCs w:val="32"/>
          <w:highlight w:val="none"/>
          <w:lang w:eastAsia="zh-CN"/>
        </w:rPr>
        <w:t>（</w:t>
      </w:r>
      <w:r>
        <w:rPr>
          <w:rFonts w:hint="eastAsia" w:ascii="楷体_GB2312" w:hAnsi="楷体_GB2312" w:eastAsia="楷体_GB2312" w:cs="楷体_GB2312"/>
          <w:b w:val="0"/>
          <w:bCs/>
          <w:color w:val="auto"/>
          <w:sz w:val="32"/>
          <w:szCs w:val="32"/>
          <w:highlight w:val="none"/>
          <w:lang w:val="en-US" w:eastAsia="zh-CN"/>
        </w:rPr>
        <w:t>二）</w:t>
      </w:r>
      <w:r>
        <w:rPr>
          <w:rFonts w:hint="eastAsia" w:ascii="楷体_GB2312" w:hAnsi="楷体_GB2312" w:eastAsia="楷体_GB2312" w:cs="楷体_GB2312"/>
          <w:b w:val="0"/>
          <w:bCs/>
          <w:color w:val="auto"/>
          <w:sz w:val="32"/>
          <w:szCs w:val="32"/>
          <w:highlight w:val="none"/>
          <w:lang w:eastAsia="zh-CN"/>
        </w:rPr>
        <w:t>递交</w:t>
      </w:r>
      <w:r>
        <w:rPr>
          <w:rFonts w:hint="eastAsia" w:ascii="楷体_GB2312" w:hAnsi="楷体_GB2312" w:eastAsia="楷体_GB2312" w:cs="楷体_GB2312"/>
          <w:b w:val="0"/>
          <w:bCs/>
          <w:color w:val="auto"/>
          <w:sz w:val="32"/>
          <w:szCs w:val="32"/>
          <w:highlight w:val="none"/>
          <w:lang w:val="en-US" w:eastAsia="zh-CN"/>
        </w:rPr>
        <w:t>截止时间</w:t>
      </w:r>
    </w:p>
    <w:p w14:paraId="0867A86D">
      <w:pPr>
        <w:keepNext w:val="0"/>
        <w:keepLines w:val="0"/>
        <w:pageBreakBefore w:val="0"/>
        <w:widowControl/>
        <w:numPr>
          <w:ilvl w:val="0"/>
          <w:numId w:val="0"/>
        </w:numPr>
        <w:tabs>
          <w:tab w:val="left" w:pos="0"/>
        </w:tabs>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_GB2312" w:cs="仿宋_GB2312"/>
          <w:b w:val="0"/>
          <w:bCs/>
          <w:color w:val="auto"/>
          <w:sz w:val="32"/>
          <w:szCs w:val="32"/>
          <w:highlight w:val="none"/>
          <w:lang w:val="en-US" w:eastAsia="zh-CN"/>
        </w:rPr>
      </w:pPr>
      <w:r>
        <w:rPr>
          <w:rFonts w:hint="eastAsia" w:ascii="Times New Roman" w:hAnsi="Times New Roman" w:eastAsia="仿宋_GB2312" w:cs="仿宋_GB2312"/>
          <w:b w:val="0"/>
          <w:bCs/>
          <w:color w:val="000000"/>
          <w:kern w:val="0"/>
          <w:sz w:val="32"/>
          <w:szCs w:val="32"/>
          <w:highlight w:val="none"/>
          <w:lang w:val="en-US" w:eastAsia="zh-CN" w:bidi="ar-SA"/>
        </w:rPr>
        <w:t>2026年11月23日9时00分</w:t>
      </w:r>
    </w:p>
    <w:p w14:paraId="7C9E892B">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楷体_GB2312" w:hAnsi="楷体_GB2312" w:eastAsia="楷体_GB2312" w:cs="楷体_GB2312"/>
          <w:b w:val="0"/>
          <w:bCs/>
          <w:color w:val="auto"/>
          <w:sz w:val="32"/>
          <w:szCs w:val="32"/>
          <w:highlight w:val="none"/>
          <w:lang w:eastAsia="zh-CN"/>
        </w:rPr>
      </w:pPr>
      <w:r>
        <w:rPr>
          <w:rFonts w:hint="eastAsia" w:ascii="楷体_GB2312" w:hAnsi="楷体_GB2312" w:eastAsia="楷体_GB2312" w:cs="楷体_GB2312"/>
          <w:b w:val="0"/>
          <w:bCs/>
          <w:color w:val="auto"/>
          <w:sz w:val="32"/>
          <w:szCs w:val="32"/>
          <w:highlight w:val="none"/>
          <w:lang w:eastAsia="zh-CN"/>
        </w:rPr>
        <w:t>（</w:t>
      </w:r>
      <w:r>
        <w:rPr>
          <w:rFonts w:hint="eastAsia" w:ascii="楷体_GB2312" w:hAnsi="楷体_GB2312" w:eastAsia="楷体_GB2312" w:cs="楷体_GB2312"/>
          <w:b w:val="0"/>
          <w:bCs/>
          <w:color w:val="auto"/>
          <w:sz w:val="32"/>
          <w:szCs w:val="32"/>
          <w:highlight w:val="none"/>
          <w:lang w:val="en-US" w:eastAsia="zh-CN"/>
        </w:rPr>
        <w:t>三）</w:t>
      </w:r>
      <w:r>
        <w:rPr>
          <w:rFonts w:hint="eastAsia" w:ascii="楷体_GB2312" w:hAnsi="楷体_GB2312" w:eastAsia="楷体_GB2312" w:cs="楷体_GB2312"/>
          <w:b w:val="0"/>
          <w:bCs/>
          <w:color w:val="auto"/>
          <w:sz w:val="32"/>
          <w:szCs w:val="32"/>
          <w:highlight w:val="none"/>
          <w:lang w:eastAsia="zh-CN"/>
        </w:rPr>
        <w:t>递交地址</w:t>
      </w:r>
    </w:p>
    <w:p w14:paraId="4A27301F">
      <w:pPr>
        <w:pStyle w:val="8"/>
        <w:keepNext w:val="0"/>
        <w:keepLines w:val="0"/>
        <w:pageBreakBefore w:val="0"/>
        <w:widowControl w:val="0"/>
        <w:numPr>
          <w:ilvl w:val="0"/>
          <w:numId w:val="0"/>
        </w:numPr>
        <w:tabs>
          <w:tab w:val="left" w:pos="7740"/>
        </w:tabs>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b w:val="0"/>
          <w:bCs/>
          <w:color w:val="auto"/>
          <w:sz w:val="32"/>
          <w:szCs w:val="32"/>
          <w:highlight w:val="none"/>
          <w:lang w:eastAsia="zh-CN"/>
        </w:rPr>
      </w:pPr>
      <w:r>
        <w:rPr>
          <w:rFonts w:hint="eastAsia" w:ascii="Times New Roman" w:hAnsi="Times New Roman" w:eastAsia="仿宋_GB2312" w:cs="仿宋_GB2312"/>
          <w:b w:val="0"/>
          <w:bCs/>
          <w:color w:val="auto"/>
          <w:sz w:val="32"/>
          <w:szCs w:val="32"/>
          <w:highlight w:val="none"/>
          <w:lang w:eastAsia="zh-CN"/>
        </w:rPr>
        <w:t>深圳市罗湖区笋岗街道田心社区红岭北路2088号招商开元中心A座13层</w:t>
      </w:r>
      <w:r>
        <w:rPr>
          <w:rFonts w:hint="eastAsia" w:ascii="Times New Roman" w:hAnsi="Times New Roman" w:eastAsia="仿宋_GB2312" w:cs="仿宋_GB2312"/>
          <w:b w:val="0"/>
          <w:bCs/>
          <w:color w:val="auto"/>
          <w:sz w:val="32"/>
          <w:szCs w:val="32"/>
          <w:highlight w:val="none"/>
          <w:lang w:val="en-US" w:eastAsia="zh-CN"/>
        </w:rPr>
        <w:t>深圳市鹏劳人力资源管理有限公司</w:t>
      </w:r>
    </w:p>
    <w:p w14:paraId="593CD36A">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楷体_GB2312" w:hAnsi="楷体_GB2312" w:eastAsia="楷体_GB2312" w:cs="楷体_GB2312"/>
          <w:b w:val="0"/>
          <w:bCs/>
          <w:color w:val="auto"/>
          <w:sz w:val="32"/>
          <w:szCs w:val="32"/>
          <w:highlight w:val="none"/>
          <w:lang w:eastAsia="zh-CN"/>
        </w:rPr>
      </w:pPr>
      <w:r>
        <w:rPr>
          <w:rFonts w:hint="eastAsia" w:ascii="楷体_GB2312" w:hAnsi="楷体_GB2312" w:eastAsia="楷体_GB2312" w:cs="楷体_GB2312"/>
          <w:b w:val="0"/>
          <w:bCs/>
          <w:color w:val="auto"/>
          <w:sz w:val="32"/>
          <w:szCs w:val="32"/>
          <w:highlight w:val="none"/>
          <w:lang w:eastAsia="zh-CN"/>
        </w:rPr>
        <w:t>（</w:t>
      </w:r>
      <w:r>
        <w:rPr>
          <w:rFonts w:hint="eastAsia" w:ascii="楷体_GB2312" w:hAnsi="楷体_GB2312" w:eastAsia="楷体_GB2312" w:cs="楷体_GB2312"/>
          <w:b w:val="0"/>
          <w:bCs/>
          <w:color w:val="auto"/>
          <w:sz w:val="32"/>
          <w:szCs w:val="32"/>
          <w:highlight w:val="none"/>
          <w:lang w:val="en-US" w:eastAsia="zh-CN"/>
        </w:rPr>
        <w:t>四）</w:t>
      </w:r>
      <w:r>
        <w:rPr>
          <w:rFonts w:hint="eastAsia" w:ascii="楷体_GB2312" w:hAnsi="楷体_GB2312" w:eastAsia="楷体_GB2312" w:cs="楷体_GB2312"/>
          <w:b w:val="0"/>
          <w:bCs/>
          <w:color w:val="auto"/>
          <w:sz w:val="32"/>
          <w:szCs w:val="32"/>
          <w:highlight w:val="none"/>
          <w:lang w:eastAsia="zh-CN"/>
        </w:rPr>
        <w:t>递交要求</w:t>
      </w:r>
    </w:p>
    <w:p w14:paraId="314E1109">
      <w:pPr>
        <w:pStyle w:val="8"/>
        <w:keepNext w:val="0"/>
        <w:keepLines w:val="0"/>
        <w:pageBreakBefore w:val="0"/>
        <w:widowControl w:val="0"/>
        <w:numPr>
          <w:ilvl w:val="0"/>
          <w:numId w:val="0"/>
        </w:numPr>
        <w:tabs>
          <w:tab w:val="left" w:pos="7740"/>
        </w:tabs>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所有投标文件由投标人按照招标文件指定格式与方式逐一进场递交。</w:t>
      </w:r>
    </w:p>
    <w:p w14:paraId="0FB38D26">
      <w:pPr>
        <w:pStyle w:val="5"/>
        <w:pageBreakBefore w:val="0"/>
        <w:kinsoku/>
        <w:wordWrap/>
        <w:overflowPunct/>
        <w:topLinePunct w:val="0"/>
        <w:autoSpaceDE/>
        <w:autoSpaceDN/>
        <w:bidi w:val="0"/>
        <w:spacing w:before="0" w:after="0" w:line="560" w:lineRule="exact"/>
        <w:ind w:left="0" w:firstLine="640" w:firstLineChars="200"/>
        <w:textAlignment w:val="auto"/>
        <w:rPr>
          <w:rFonts w:hint="eastAsia" w:ascii="黑体" w:hAnsi="黑体" w:eastAsia="黑体" w:cs="黑体"/>
          <w:b w:val="0"/>
          <w:bCs/>
          <w:color w:val="auto"/>
          <w:sz w:val="32"/>
          <w:szCs w:val="32"/>
          <w:highlight w:val="none"/>
        </w:rPr>
      </w:pPr>
      <w:bookmarkStart w:id="35" w:name="_Toc4297"/>
      <w:bookmarkStart w:id="36" w:name="_Toc616"/>
      <w:r>
        <w:rPr>
          <w:rFonts w:hint="eastAsia" w:ascii="黑体" w:hAnsi="黑体" w:eastAsia="黑体" w:cs="黑体"/>
          <w:b w:val="0"/>
          <w:bCs/>
          <w:color w:val="auto"/>
          <w:sz w:val="32"/>
          <w:szCs w:val="32"/>
          <w:highlight w:val="none"/>
        </w:rPr>
        <w:t>十、开标</w:t>
      </w:r>
      <w:bookmarkEnd w:id="35"/>
      <w:bookmarkEnd w:id="36"/>
    </w:p>
    <w:p w14:paraId="7B7A69F2">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楷体_GB2312" w:hAnsi="楷体_GB2312" w:eastAsia="楷体_GB2312" w:cs="楷体_GB2312"/>
          <w:b w:val="0"/>
          <w:bCs/>
          <w:color w:val="auto"/>
          <w:sz w:val="32"/>
          <w:szCs w:val="32"/>
          <w:highlight w:val="none"/>
        </w:rPr>
      </w:pPr>
      <w:r>
        <w:rPr>
          <w:rFonts w:hint="eastAsia" w:ascii="楷体_GB2312" w:hAnsi="楷体_GB2312" w:eastAsia="楷体_GB2312" w:cs="楷体_GB2312"/>
          <w:b w:val="0"/>
          <w:bCs/>
          <w:color w:val="auto"/>
          <w:sz w:val="32"/>
          <w:szCs w:val="32"/>
          <w:highlight w:val="none"/>
          <w:lang w:eastAsia="zh-CN"/>
        </w:rPr>
        <w:t>（</w:t>
      </w:r>
      <w:r>
        <w:rPr>
          <w:rFonts w:hint="eastAsia" w:ascii="楷体_GB2312" w:hAnsi="楷体_GB2312" w:eastAsia="楷体_GB2312" w:cs="楷体_GB2312"/>
          <w:b w:val="0"/>
          <w:bCs/>
          <w:color w:val="auto"/>
          <w:sz w:val="32"/>
          <w:szCs w:val="32"/>
          <w:highlight w:val="none"/>
          <w:lang w:val="en-US" w:eastAsia="zh-CN"/>
        </w:rPr>
        <w:t>一</w:t>
      </w:r>
      <w:r>
        <w:rPr>
          <w:rFonts w:hint="eastAsia" w:ascii="楷体_GB2312" w:hAnsi="楷体_GB2312" w:eastAsia="楷体_GB2312" w:cs="楷体_GB2312"/>
          <w:b w:val="0"/>
          <w:bCs/>
          <w:color w:val="auto"/>
          <w:sz w:val="32"/>
          <w:szCs w:val="32"/>
          <w:highlight w:val="none"/>
          <w:lang w:eastAsia="zh-CN"/>
        </w:rPr>
        <w:t>）</w:t>
      </w:r>
      <w:r>
        <w:rPr>
          <w:rFonts w:hint="eastAsia" w:ascii="楷体_GB2312" w:hAnsi="楷体_GB2312" w:eastAsia="楷体_GB2312" w:cs="楷体_GB2312"/>
          <w:b w:val="0"/>
          <w:bCs/>
          <w:color w:val="000000"/>
          <w:sz w:val="32"/>
          <w:szCs w:val="32"/>
          <w:highlight w:val="none"/>
        </w:rPr>
        <w:t>开标、评标时间</w:t>
      </w:r>
    </w:p>
    <w:p w14:paraId="49023999">
      <w:pPr>
        <w:keepNext w:val="0"/>
        <w:keepLines w:val="0"/>
        <w:pageBreakBefore w:val="0"/>
        <w:widowControl/>
        <w:numPr>
          <w:ilvl w:val="0"/>
          <w:numId w:val="0"/>
        </w:numPr>
        <w:tabs>
          <w:tab w:val="left" w:pos="0"/>
        </w:tab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仿宋_GB2312" w:cs="仿宋_GB2312"/>
          <w:b w:val="0"/>
          <w:bCs/>
          <w:color w:val="auto"/>
          <w:sz w:val="32"/>
          <w:szCs w:val="32"/>
          <w:highlight w:val="none"/>
        </w:rPr>
      </w:pPr>
      <w:r>
        <w:rPr>
          <w:rFonts w:hint="eastAsia" w:ascii="Times New Roman" w:hAnsi="Times New Roman" w:eastAsia="仿宋_GB2312" w:cs="仿宋_GB2312"/>
          <w:b w:val="0"/>
          <w:bCs/>
          <w:color w:val="000000"/>
          <w:kern w:val="0"/>
          <w:sz w:val="32"/>
          <w:szCs w:val="32"/>
          <w:highlight w:val="none"/>
          <w:lang w:val="en-US" w:eastAsia="zh-CN" w:bidi="ar-SA"/>
        </w:rPr>
        <w:t>2026年11月23日9时30分</w:t>
      </w:r>
    </w:p>
    <w:p w14:paraId="7479C3E3">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楷体_GB2312" w:hAnsi="楷体_GB2312" w:eastAsia="楷体_GB2312" w:cs="楷体_GB2312"/>
          <w:b w:val="0"/>
          <w:bCs/>
          <w:color w:val="auto"/>
          <w:sz w:val="32"/>
          <w:szCs w:val="32"/>
          <w:highlight w:val="none"/>
          <w:lang w:eastAsia="zh-CN"/>
        </w:rPr>
      </w:pPr>
      <w:r>
        <w:rPr>
          <w:rFonts w:hint="eastAsia" w:ascii="楷体_GB2312" w:hAnsi="楷体_GB2312" w:eastAsia="楷体_GB2312" w:cs="楷体_GB2312"/>
          <w:b w:val="0"/>
          <w:bCs/>
          <w:color w:val="auto"/>
          <w:sz w:val="32"/>
          <w:szCs w:val="32"/>
          <w:highlight w:val="none"/>
          <w:lang w:eastAsia="zh-CN"/>
        </w:rPr>
        <w:t>（</w:t>
      </w:r>
      <w:r>
        <w:rPr>
          <w:rFonts w:hint="eastAsia" w:ascii="楷体_GB2312" w:hAnsi="楷体_GB2312" w:eastAsia="楷体_GB2312" w:cs="楷体_GB2312"/>
          <w:b w:val="0"/>
          <w:bCs/>
          <w:color w:val="auto"/>
          <w:sz w:val="32"/>
          <w:szCs w:val="32"/>
          <w:highlight w:val="none"/>
          <w:lang w:val="en-US" w:eastAsia="zh-CN"/>
        </w:rPr>
        <w:t>二）</w:t>
      </w:r>
      <w:r>
        <w:rPr>
          <w:rFonts w:hint="eastAsia" w:ascii="楷体_GB2312" w:hAnsi="楷体_GB2312" w:eastAsia="楷体_GB2312" w:cs="楷体_GB2312"/>
          <w:b w:val="0"/>
          <w:bCs/>
          <w:color w:val="auto"/>
          <w:sz w:val="32"/>
          <w:szCs w:val="32"/>
          <w:highlight w:val="none"/>
          <w:lang w:eastAsia="zh-CN"/>
        </w:rPr>
        <w:t>开标方式</w:t>
      </w:r>
    </w:p>
    <w:p w14:paraId="069DB9E3">
      <w:pPr>
        <w:pStyle w:val="8"/>
        <w:keepNext w:val="0"/>
        <w:keepLines w:val="0"/>
        <w:pageBreakBefore w:val="0"/>
        <w:widowControl w:val="0"/>
        <w:numPr>
          <w:ilvl w:val="0"/>
          <w:numId w:val="0"/>
        </w:numPr>
        <w:tabs>
          <w:tab w:val="left" w:pos="77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现场开标</w:t>
      </w:r>
    </w:p>
    <w:p w14:paraId="26E2B1A7">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楷体_GB2312" w:hAnsi="楷体_GB2312" w:eastAsia="楷体_GB2312" w:cs="楷体_GB2312"/>
          <w:b w:val="0"/>
          <w:bCs/>
          <w:color w:val="auto"/>
          <w:sz w:val="32"/>
          <w:szCs w:val="32"/>
          <w:highlight w:val="none"/>
          <w:lang w:eastAsia="zh-CN"/>
        </w:rPr>
      </w:pPr>
      <w:r>
        <w:rPr>
          <w:rFonts w:hint="eastAsia" w:ascii="楷体_GB2312" w:hAnsi="楷体_GB2312" w:eastAsia="楷体_GB2312" w:cs="楷体_GB2312"/>
          <w:b w:val="0"/>
          <w:bCs/>
          <w:color w:val="auto"/>
          <w:sz w:val="32"/>
          <w:szCs w:val="32"/>
          <w:highlight w:val="none"/>
          <w:lang w:eastAsia="zh-CN"/>
        </w:rPr>
        <w:t>（</w:t>
      </w:r>
      <w:r>
        <w:rPr>
          <w:rFonts w:hint="eastAsia" w:ascii="楷体_GB2312" w:hAnsi="楷体_GB2312" w:eastAsia="楷体_GB2312" w:cs="楷体_GB2312"/>
          <w:b w:val="0"/>
          <w:bCs/>
          <w:color w:val="auto"/>
          <w:sz w:val="32"/>
          <w:szCs w:val="32"/>
          <w:highlight w:val="none"/>
          <w:lang w:val="en-US" w:eastAsia="zh-CN"/>
        </w:rPr>
        <w:t>三）</w:t>
      </w:r>
      <w:r>
        <w:rPr>
          <w:rFonts w:hint="eastAsia" w:ascii="楷体_GB2312" w:hAnsi="楷体_GB2312" w:eastAsia="楷体_GB2312" w:cs="楷体_GB2312"/>
          <w:b w:val="0"/>
          <w:bCs/>
          <w:color w:val="auto"/>
          <w:sz w:val="32"/>
          <w:szCs w:val="32"/>
          <w:highlight w:val="none"/>
          <w:lang w:eastAsia="zh-CN"/>
        </w:rPr>
        <w:t>开标地点</w:t>
      </w:r>
    </w:p>
    <w:p w14:paraId="6FF0C2AF">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Times New Roman" w:hAnsi="Times New Roman" w:eastAsia="仿宋_GB2312" w:cs="仿宋_GB2312"/>
          <w:bCs/>
          <w:color w:val="auto"/>
          <w:sz w:val="32"/>
          <w:szCs w:val="32"/>
          <w:highlight w:val="none"/>
        </w:rPr>
      </w:pPr>
      <w:r>
        <w:rPr>
          <w:rFonts w:hint="eastAsia" w:ascii="Times New Roman" w:hAnsi="Times New Roman" w:eastAsia="仿宋_GB2312" w:cs="仿宋_GB2312"/>
          <w:bCs/>
          <w:color w:val="auto"/>
          <w:sz w:val="32"/>
          <w:szCs w:val="32"/>
          <w:highlight w:val="none"/>
        </w:rPr>
        <w:t>深圳市罗湖区笋岗街道田心社区红岭北路2088号招商开元中心A座13层</w:t>
      </w:r>
      <w:r>
        <w:rPr>
          <w:rFonts w:hint="eastAsia" w:ascii="Times New Roman" w:hAnsi="Times New Roman" w:eastAsia="仿宋_GB2312" w:cs="仿宋_GB2312"/>
          <w:bCs/>
          <w:color w:val="auto"/>
          <w:sz w:val="32"/>
          <w:szCs w:val="32"/>
          <w:highlight w:val="none"/>
          <w:lang w:val="en-US" w:eastAsia="zh-CN"/>
        </w:rPr>
        <w:t>深圳市鹏劳人力资源管理有限公司</w:t>
      </w:r>
    </w:p>
    <w:p w14:paraId="6C4E15AB">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楷体_GB2312" w:hAnsi="楷体_GB2312" w:eastAsia="楷体_GB2312" w:cs="楷体_GB2312"/>
          <w:b w:val="0"/>
          <w:bCs/>
          <w:color w:val="auto"/>
          <w:sz w:val="32"/>
          <w:szCs w:val="32"/>
          <w:highlight w:val="none"/>
          <w:lang w:eastAsia="zh-CN"/>
        </w:rPr>
      </w:pPr>
      <w:r>
        <w:rPr>
          <w:rFonts w:hint="eastAsia" w:ascii="楷体_GB2312" w:hAnsi="楷体_GB2312" w:eastAsia="楷体_GB2312" w:cs="楷体_GB2312"/>
          <w:b w:val="0"/>
          <w:bCs/>
          <w:color w:val="auto"/>
          <w:sz w:val="32"/>
          <w:szCs w:val="32"/>
          <w:highlight w:val="none"/>
          <w:lang w:eastAsia="zh-CN"/>
        </w:rPr>
        <w:t>（</w:t>
      </w:r>
      <w:r>
        <w:rPr>
          <w:rFonts w:hint="eastAsia" w:ascii="楷体_GB2312" w:hAnsi="楷体_GB2312" w:eastAsia="楷体_GB2312" w:cs="楷体_GB2312"/>
          <w:b w:val="0"/>
          <w:bCs/>
          <w:color w:val="auto"/>
          <w:sz w:val="32"/>
          <w:szCs w:val="32"/>
          <w:highlight w:val="none"/>
          <w:lang w:val="en-US" w:eastAsia="zh-CN"/>
        </w:rPr>
        <w:t>四）</w:t>
      </w:r>
      <w:r>
        <w:rPr>
          <w:rFonts w:hint="eastAsia" w:ascii="楷体_GB2312" w:hAnsi="楷体_GB2312" w:eastAsia="楷体_GB2312" w:cs="楷体_GB2312"/>
          <w:b w:val="0"/>
          <w:bCs/>
          <w:color w:val="auto"/>
          <w:sz w:val="32"/>
          <w:szCs w:val="32"/>
          <w:highlight w:val="none"/>
          <w:lang w:eastAsia="zh-CN"/>
        </w:rPr>
        <w:t>开标程序</w:t>
      </w:r>
    </w:p>
    <w:p w14:paraId="04FE77E9">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lang w:val="en-US" w:eastAsia="zh-CN"/>
        </w:rPr>
        <w:t>1.</w:t>
      </w:r>
      <w:r>
        <w:rPr>
          <w:rFonts w:hint="eastAsia" w:ascii="仿宋_GB2312" w:hAnsi="仿宋_GB2312" w:eastAsia="仿宋_GB2312" w:cs="仿宋_GB2312"/>
          <w:b w:val="0"/>
          <w:bCs/>
          <w:color w:val="auto"/>
          <w:sz w:val="32"/>
          <w:szCs w:val="32"/>
          <w:highlight w:val="none"/>
        </w:rPr>
        <w:t>招标人工作组进场；</w:t>
      </w:r>
    </w:p>
    <w:p w14:paraId="7E2F9C15">
      <w:pPr>
        <w:pStyle w:val="8"/>
        <w:keepNext w:val="0"/>
        <w:keepLines w:val="0"/>
        <w:pageBreakBefore w:val="0"/>
        <w:widowControl w:val="0"/>
        <w:tabs>
          <w:tab w:val="left" w:pos="7740"/>
        </w:tabs>
        <w:kinsoku/>
        <w:wordWrap w:val="0"/>
        <w:overflowPunct/>
        <w:topLinePunct/>
        <w:autoSpaceDE/>
        <w:autoSpaceDN/>
        <w:bidi w:val="0"/>
        <w:adjustRightInd w:val="0"/>
        <w:snapToGrid w:val="0"/>
        <w:spacing w:line="560" w:lineRule="exact"/>
        <w:ind w:left="0" w:firstLine="640" w:firstLineChars="200"/>
        <w:jc w:val="left"/>
        <w:textAlignment w:val="auto"/>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lang w:val="en-US" w:eastAsia="zh-CN"/>
        </w:rPr>
        <w:t>2.</w:t>
      </w:r>
      <w:r>
        <w:rPr>
          <w:rFonts w:hint="eastAsia" w:ascii="仿宋_GB2312" w:hAnsi="仿宋_GB2312" w:eastAsia="仿宋_GB2312" w:cs="仿宋_GB2312"/>
          <w:b w:val="0"/>
          <w:bCs/>
          <w:color w:val="auto"/>
          <w:sz w:val="32"/>
          <w:szCs w:val="32"/>
          <w:highlight w:val="none"/>
        </w:rPr>
        <w:t>招标人监督员、投标人代表检查投标文件密封情况并向工作组组长通报加密情况；</w:t>
      </w:r>
    </w:p>
    <w:p w14:paraId="5C00C1E0">
      <w:pPr>
        <w:pStyle w:val="8"/>
        <w:keepNext w:val="0"/>
        <w:keepLines w:val="0"/>
        <w:pageBreakBefore w:val="0"/>
        <w:widowControl w:val="0"/>
        <w:tabs>
          <w:tab w:val="left" w:pos="7740"/>
        </w:tabs>
        <w:kinsoku/>
        <w:wordWrap w:val="0"/>
        <w:overflowPunct/>
        <w:topLinePunct/>
        <w:autoSpaceDE/>
        <w:autoSpaceDN/>
        <w:bidi w:val="0"/>
        <w:adjustRightInd w:val="0"/>
        <w:snapToGrid w:val="0"/>
        <w:spacing w:line="560" w:lineRule="exact"/>
        <w:ind w:left="0" w:firstLine="640" w:firstLineChars="200"/>
        <w:jc w:val="left"/>
        <w:textAlignment w:val="auto"/>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lang w:val="en-US" w:eastAsia="zh-CN"/>
        </w:rPr>
        <w:t>3.</w:t>
      </w:r>
      <w:r>
        <w:rPr>
          <w:rFonts w:hint="eastAsia" w:ascii="仿宋_GB2312" w:hAnsi="仿宋_GB2312" w:eastAsia="仿宋_GB2312" w:cs="仿宋_GB2312"/>
          <w:b w:val="0"/>
          <w:bCs/>
          <w:color w:val="auto"/>
          <w:sz w:val="32"/>
          <w:szCs w:val="32"/>
          <w:highlight w:val="none"/>
        </w:rPr>
        <w:t>招标人工作组组长宣布开标；</w:t>
      </w:r>
    </w:p>
    <w:p w14:paraId="22E36383">
      <w:pPr>
        <w:pStyle w:val="8"/>
        <w:keepNext w:val="0"/>
        <w:keepLines w:val="0"/>
        <w:pageBreakBefore w:val="0"/>
        <w:widowControl w:val="0"/>
        <w:tabs>
          <w:tab w:val="left" w:pos="7740"/>
        </w:tabs>
        <w:kinsoku/>
        <w:wordWrap w:val="0"/>
        <w:overflowPunct/>
        <w:topLinePunct/>
        <w:autoSpaceDE/>
        <w:autoSpaceDN/>
        <w:bidi w:val="0"/>
        <w:adjustRightInd w:val="0"/>
        <w:snapToGrid w:val="0"/>
        <w:spacing w:line="560" w:lineRule="exact"/>
        <w:ind w:left="0" w:firstLine="640" w:firstLineChars="200"/>
        <w:jc w:val="left"/>
        <w:textAlignment w:val="auto"/>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lang w:val="en-US" w:eastAsia="zh-CN"/>
        </w:rPr>
        <w:t>4.</w:t>
      </w:r>
      <w:r>
        <w:rPr>
          <w:rFonts w:hint="eastAsia" w:ascii="仿宋_GB2312" w:hAnsi="仿宋_GB2312" w:eastAsia="仿宋_GB2312" w:cs="仿宋_GB2312"/>
          <w:b w:val="0"/>
          <w:bCs/>
          <w:color w:val="auto"/>
          <w:sz w:val="32"/>
          <w:szCs w:val="32"/>
          <w:highlight w:val="none"/>
        </w:rPr>
        <w:t>招标人工作组成员逐一拆开唱标信封，现场唱标并形成《开标记录表》；</w:t>
      </w:r>
    </w:p>
    <w:p w14:paraId="0AF51D77">
      <w:pPr>
        <w:pStyle w:val="8"/>
        <w:keepNext w:val="0"/>
        <w:keepLines w:val="0"/>
        <w:pageBreakBefore w:val="0"/>
        <w:widowControl w:val="0"/>
        <w:tabs>
          <w:tab w:val="left" w:pos="7740"/>
        </w:tabs>
        <w:kinsoku/>
        <w:wordWrap w:val="0"/>
        <w:overflowPunct/>
        <w:topLinePunct/>
        <w:autoSpaceDE/>
        <w:autoSpaceDN/>
        <w:bidi w:val="0"/>
        <w:adjustRightInd w:val="0"/>
        <w:snapToGrid w:val="0"/>
        <w:spacing w:line="560" w:lineRule="exact"/>
        <w:ind w:left="0" w:firstLine="640" w:firstLineChars="200"/>
        <w:jc w:val="left"/>
        <w:textAlignment w:val="auto"/>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lang w:val="en-US" w:eastAsia="zh-CN"/>
        </w:rPr>
        <w:t>5.</w:t>
      </w:r>
      <w:r>
        <w:rPr>
          <w:rFonts w:hint="eastAsia" w:ascii="仿宋_GB2312" w:hAnsi="仿宋_GB2312" w:eastAsia="仿宋_GB2312" w:cs="仿宋_GB2312"/>
          <w:b w:val="0"/>
          <w:bCs/>
          <w:color w:val="auto"/>
          <w:sz w:val="32"/>
          <w:szCs w:val="32"/>
          <w:highlight w:val="none"/>
        </w:rPr>
        <w:t>投标人代表确认开标记录，签字确认并离场。</w:t>
      </w:r>
    </w:p>
    <w:p w14:paraId="48871728">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楷体_GB2312" w:hAnsi="楷体_GB2312" w:eastAsia="楷体_GB2312" w:cs="楷体_GB2312"/>
          <w:b w:val="0"/>
          <w:bCs/>
          <w:color w:val="auto"/>
          <w:sz w:val="32"/>
          <w:szCs w:val="32"/>
          <w:highlight w:val="none"/>
          <w:lang w:eastAsia="zh-CN"/>
        </w:rPr>
      </w:pPr>
      <w:r>
        <w:rPr>
          <w:rFonts w:hint="eastAsia" w:ascii="楷体_GB2312" w:hAnsi="楷体_GB2312" w:eastAsia="楷体_GB2312" w:cs="楷体_GB2312"/>
          <w:b w:val="0"/>
          <w:bCs/>
          <w:color w:val="auto"/>
          <w:sz w:val="32"/>
          <w:szCs w:val="32"/>
          <w:highlight w:val="none"/>
          <w:lang w:eastAsia="zh-CN"/>
        </w:rPr>
        <w:t>（</w:t>
      </w:r>
      <w:r>
        <w:rPr>
          <w:rFonts w:hint="eastAsia" w:ascii="楷体_GB2312" w:hAnsi="楷体_GB2312" w:eastAsia="楷体_GB2312" w:cs="楷体_GB2312"/>
          <w:b w:val="0"/>
          <w:bCs/>
          <w:color w:val="auto"/>
          <w:sz w:val="32"/>
          <w:szCs w:val="32"/>
          <w:highlight w:val="none"/>
          <w:lang w:val="en-US" w:eastAsia="zh-CN"/>
        </w:rPr>
        <w:t>五）</w:t>
      </w:r>
      <w:r>
        <w:rPr>
          <w:rFonts w:hint="eastAsia" w:ascii="楷体_GB2312" w:hAnsi="楷体_GB2312" w:eastAsia="楷体_GB2312" w:cs="楷体_GB2312"/>
          <w:b w:val="0"/>
          <w:bCs/>
          <w:color w:val="auto"/>
          <w:sz w:val="32"/>
          <w:szCs w:val="32"/>
          <w:highlight w:val="none"/>
          <w:lang w:eastAsia="zh-CN"/>
        </w:rPr>
        <w:t>注意事项</w:t>
      </w:r>
    </w:p>
    <w:p w14:paraId="0D7ECA03">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lang w:val="en-US" w:eastAsia="zh-CN"/>
        </w:rPr>
        <w:t>1.</w:t>
      </w:r>
      <w:r>
        <w:rPr>
          <w:rFonts w:hint="eastAsia" w:ascii="仿宋_GB2312" w:hAnsi="仿宋_GB2312" w:eastAsia="仿宋_GB2312" w:cs="仿宋_GB2312"/>
          <w:b w:val="0"/>
          <w:bCs/>
          <w:color w:val="auto"/>
          <w:sz w:val="32"/>
          <w:szCs w:val="32"/>
          <w:highlight w:val="none"/>
        </w:rPr>
        <w:t>开标全程由投标人代表、招标人派员监督；</w:t>
      </w:r>
    </w:p>
    <w:p w14:paraId="67BE76D8">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lang w:val="en-US" w:eastAsia="zh-CN"/>
        </w:rPr>
        <w:t>2.</w:t>
      </w:r>
      <w:r>
        <w:rPr>
          <w:rFonts w:hint="eastAsia" w:ascii="仿宋_GB2312" w:hAnsi="仿宋_GB2312" w:eastAsia="仿宋_GB2312" w:cs="仿宋_GB2312"/>
          <w:b w:val="0"/>
          <w:bCs/>
          <w:color w:val="auto"/>
          <w:sz w:val="32"/>
          <w:szCs w:val="32"/>
          <w:highlight w:val="none"/>
        </w:rPr>
        <w:t>开标会议全程录音录像；</w:t>
      </w:r>
    </w:p>
    <w:p w14:paraId="6BCD544B">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color w:val="auto"/>
          <w:sz w:val="32"/>
          <w:szCs w:val="32"/>
          <w:highlight w:val="none"/>
          <w:lang w:val="en-US" w:eastAsia="zh-CN"/>
        </w:rPr>
        <w:t>3.</w:t>
      </w:r>
      <w:r>
        <w:rPr>
          <w:rFonts w:hint="eastAsia" w:ascii="仿宋_GB2312" w:hAnsi="仿宋_GB2312" w:eastAsia="仿宋_GB2312" w:cs="仿宋_GB2312"/>
          <w:b w:val="0"/>
          <w:bCs/>
          <w:color w:val="auto"/>
          <w:sz w:val="32"/>
          <w:szCs w:val="32"/>
          <w:highlight w:val="none"/>
        </w:rPr>
        <w:t>投标人代表因故未能到场，或到场后中途离场的，视同为</w:t>
      </w:r>
      <w:r>
        <w:rPr>
          <w:rFonts w:hint="eastAsia" w:ascii="仿宋_GB2312" w:hAnsi="仿宋_GB2312" w:eastAsia="仿宋_GB2312" w:cs="仿宋_GB2312"/>
          <w:b w:val="0"/>
          <w:bCs/>
          <w:sz w:val="32"/>
          <w:szCs w:val="32"/>
          <w:highlight w:val="none"/>
        </w:rPr>
        <w:t>投标人主动放弃监督权利且投标人对开标结果完全认可，投标人不得再就此提出质疑或投诉。</w:t>
      </w:r>
    </w:p>
    <w:p w14:paraId="1532C139">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4.实质性响应投标人少于3家的，不予开标，根据招标人经营管理需要转其他采购方式。</w:t>
      </w:r>
    </w:p>
    <w:p w14:paraId="377732CC">
      <w:pPr>
        <w:pStyle w:val="5"/>
        <w:pageBreakBefore w:val="0"/>
        <w:kinsoku/>
        <w:wordWrap/>
        <w:overflowPunct/>
        <w:topLinePunct w:val="0"/>
        <w:autoSpaceDE/>
        <w:autoSpaceDN/>
        <w:bidi w:val="0"/>
        <w:spacing w:before="0" w:after="0" w:line="560" w:lineRule="exact"/>
        <w:ind w:left="0" w:firstLine="640" w:firstLineChars="200"/>
        <w:textAlignment w:val="auto"/>
        <w:rPr>
          <w:rFonts w:hint="eastAsia" w:ascii="黑体" w:hAnsi="黑体" w:eastAsia="黑体" w:cs="黑体"/>
          <w:b w:val="0"/>
          <w:bCs/>
          <w:sz w:val="32"/>
          <w:szCs w:val="32"/>
          <w:highlight w:val="none"/>
        </w:rPr>
      </w:pPr>
      <w:bookmarkStart w:id="37" w:name="_Toc7878"/>
      <w:bookmarkStart w:id="38" w:name="_Toc8414"/>
      <w:r>
        <w:rPr>
          <w:rFonts w:hint="eastAsia" w:ascii="黑体" w:hAnsi="黑体" w:eastAsia="黑体" w:cs="黑体"/>
          <w:b w:val="0"/>
          <w:bCs/>
          <w:sz w:val="32"/>
          <w:szCs w:val="32"/>
          <w:highlight w:val="none"/>
        </w:rPr>
        <w:t>十</w:t>
      </w:r>
      <w:r>
        <w:rPr>
          <w:rFonts w:hint="eastAsia" w:ascii="黑体" w:hAnsi="黑体" w:eastAsia="黑体" w:cs="黑体"/>
          <w:b w:val="0"/>
          <w:bCs/>
          <w:sz w:val="32"/>
          <w:szCs w:val="32"/>
          <w:highlight w:val="none"/>
          <w:lang w:val="en-US" w:eastAsia="zh-CN"/>
        </w:rPr>
        <w:t>一</w:t>
      </w:r>
      <w:r>
        <w:rPr>
          <w:rFonts w:hint="eastAsia" w:ascii="黑体" w:hAnsi="黑体" w:eastAsia="黑体" w:cs="黑体"/>
          <w:b w:val="0"/>
          <w:bCs/>
          <w:sz w:val="32"/>
          <w:szCs w:val="32"/>
          <w:highlight w:val="none"/>
        </w:rPr>
        <w:t>、评标</w:t>
      </w:r>
      <w:bookmarkEnd w:id="37"/>
      <w:bookmarkEnd w:id="38"/>
    </w:p>
    <w:p w14:paraId="73B12F39">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楷体_GB2312" w:hAnsi="楷体_GB2312" w:eastAsia="楷体_GB2312" w:cs="楷体_GB2312"/>
          <w:b w:val="0"/>
          <w:bCs/>
          <w:sz w:val="32"/>
          <w:szCs w:val="32"/>
          <w:highlight w:val="none"/>
          <w:lang w:eastAsia="zh-CN"/>
        </w:rPr>
      </w:pPr>
      <w:r>
        <w:rPr>
          <w:rFonts w:hint="eastAsia" w:ascii="楷体_GB2312" w:hAnsi="楷体_GB2312" w:eastAsia="楷体_GB2312" w:cs="楷体_GB2312"/>
          <w:b w:val="0"/>
          <w:bCs/>
          <w:sz w:val="32"/>
          <w:szCs w:val="32"/>
          <w:highlight w:val="none"/>
          <w:lang w:eastAsia="zh-CN"/>
        </w:rPr>
        <w:t>（</w:t>
      </w:r>
      <w:r>
        <w:rPr>
          <w:rFonts w:hint="eastAsia" w:ascii="楷体_GB2312" w:hAnsi="楷体_GB2312" w:eastAsia="楷体_GB2312" w:cs="楷体_GB2312"/>
          <w:b w:val="0"/>
          <w:bCs/>
          <w:sz w:val="32"/>
          <w:szCs w:val="32"/>
          <w:highlight w:val="none"/>
          <w:lang w:val="en-US" w:eastAsia="zh-CN"/>
        </w:rPr>
        <w:t>一）</w:t>
      </w:r>
      <w:r>
        <w:rPr>
          <w:rFonts w:hint="eastAsia" w:ascii="楷体_GB2312" w:hAnsi="楷体_GB2312" w:eastAsia="楷体_GB2312" w:cs="楷体_GB2312"/>
          <w:b w:val="0"/>
          <w:bCs/>
          <w:sz w:val="32"/>
          <w:szCs w:val="32"/>
          <w:highlight w:val="none"/>
          <w:lang w:eastAsia="zh-CN"/>
        </w:rPr>
        <w:t>评标方法</w:t>
      </w:r>
    </w:p>
    <w:p w14:paraId="3E7610DB">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本项目采用综合评标法。</w:t>
      </w:r>
    </w:p>
    <w:p w14:paraId="76D6B312">
      <w:pPr>
        <w:pStyle w:val="8"/>
        <w:keepNext w:val="0"/>
        <w:keepLines w:val="0"/>
        <w:pageBreakBefore w:val="0"/>
        <w:widowControl w:val="0"/>
        <w:tabs>
          <w:tab w:val="left" w:pos="7740"/>
        </w:tabs>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楷体_GB2312" w:hAnsi="楷体_GB2312" w:eastAsia="楷体_GB2312" w:cs="楷体_GB2312"/>
          <w:b w:val="0"/>
          <w:bCs/>
          <w:sz w:val="32"/>
          <w:szCs w:val="32"/>
          <w:highlight w:val="none"/>
          <w:lang w:eastAsia="zh-CN"/>
        </w:rPr>
      </w:pPr>
      <w:r>
        <w:rPr>
          <w:rFonts w:hint="eastAsia" w:ascii="楷体_GB2312" w:hAnsi="楷体_GB2312" w:eastAsia="楷体_GB2312" w:cs="楷体_GB2312"/>
          <w:b w:val="0"/>
          <w:bCs/>
          <w:sz w:val="32"/>
          <w:szCs w:val="32"/>
          <w:highlight w:val="none"/>
          <w:lang w:eastAsia="zh-CN"/>
        </w:rPr>
        <w:t>（</w:t>
      </w:r>
      <w:r>
        <w:rPr>
          <w:rFonts w:hint="eastAsia" w:ascii="楷体_GB2312" w:hAnsi="楷体_GB2312" w:eastAsia="楷体_GB2312" w:cs="楷体_GB2312"/>
          <w:b w:val="0"/>
          <w:bCs/>
          <w:sz w:val="32"/>
          <w:szCs w:val="32"/>
          <w:highlight w:val="none"/>
          <w:lang w:val="en-US" w:eastAsia="zh-CN"/>
        </w:rPr>
        <w:t>二）</w:t>
      </w:r>
      <w:r>
        <w:rPr>
          <w:rFonts w:hint="eastAsia" w:ascii="楷体_GB2312" w:hAnsi="楷体_GB2312" w:eastAsia="楷体_GB2312" w:cs="楷体_GB2312"/>
          <w:b w:val="0"/>
          <w:bCs/>
          <w:sz w:val="32"/>
          <w:szCs w:val="32"/>
          <w:highlight w:val="none"/>
          <w:lang w:eastAsia="zh-CN"/>
        </w:rPr>
        <w:t>评标细则及标准</w:t>
      </w:r>
    </w:p>
    <w:p w14:paraId="34BB53F3">
      <w:pPr>
        <w:pStyle w:val="8"/>
        <w:keepNext w:val="0"/>
        <w:keepLines w:val="0"/>
        <w:pageBreakBefore w:val="0"/>
        <w:widowControl w:val="0"/>
        <w:numPr>
          <w:ilvl w:val="0"/>
          <w:numId w:val="0"/>
        </w:numPr>
        <w:tabs>
          <w:tab w:val="left" w:pos="7740"/>
        </w:tabs>
        <w:kinsoku/>
        <w:wordWrap/>
        <w:overflowPunct/>
        <w:topLinePunct w:val="0"/>
        <w:autoSpaceDE/>
        <w:autoSpaceDN/>
        <w:bidi w:val="0"/>
        <w:adjustRightInd w:val="0"/>
        <w:snapToGrid w:val="0"/>
        <w:spacing w:line="560" w:lineRule="exact"/>
        <w:ind w:left="0" w:firstLine="640" w:firstLineChars="200"/>
        <w:textAlignment w:val="auto"/>
        <w:rPr>
          <w:rFonts w:hint="eastAsia" w:ascii="仿宋" w:hAnsi="仿宋" w:eastAsia="仿宋" w:cs="仿宋"/>
          <w:b w:val="0"/>
          <w:bCs/>
          <w:sz w:val="32"/>
          <w:szCs w:val="32"/>
          <w:highlight w:val="none"/>
        </w:rPr>
      </w:pP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见“</w:t>
      </w:r>
      <w:r>
        <w:rPr>
          <w:rFonts w:hint="eastAsia" w:ascii="仿宋_GB2312" w:hAnsi="仿宋_GB2312" w:eastAsia="仿宋_GB2312" w:cs="仿宋_GB2312"/>
          <w:b w:val="0"/>
          <w:bCs/>
          <w:sz w:val="32"/>
          <w:szCs w:val="32"/>
          <w:highlight w:val="none"/>
          <w:lang w:eastAsia="zh-CN"/>
        </w:rPr>
        <w:t>招标文件</w:t>
      </w:r>
      <w:r>
        <w:rPr>
          <w:rFonts w:hint="eastAsia" w:ascii="仿宋_GB2312" w:hAnsi="仿宋_GB2312" w:eastAsia="仿宋_GB2312" w:cs="仿宋_GB2312"/>
          <w:b w:val="0"/>
          <w:bCs/>
          <w:sz w:val="32"/>
          <w:szCs w:val="32"/>
          <w:highlight w:val="none"/>
        </w:rPr>
        <w:t xml:space="preserve"> 第二章 评标程序及标准”）</w:t>
      </w:r>
    </w:p>
    <w:p w14:paraId="0A4C5C70">
      <w:pPr>
        <w:pStyle w:val="5"/>
        <w:pageBreakBefore w:val="0"/>
        <w:kinsoku/>
        <w:wordWrap/>
        <w:overflowPunct/>
        <w:topLinePunct w:val="0"/>
        <w:autoSpaceDE/>
        <w:autoSpaceDN/>
        <w:bidi w:val="0"/>
        <w:spacing w:before="0" w:after="0" w:line="560" w:lineRule="exact"/>
        <w:ind w:left="0" w:firstLine="640" w:firstLineChars="200"/>
        <w:textAlignment w:val="auto"/>
        <w:rPr>
          <w:rFonts w:hint="eastAsia" w:ascii="黑体" w:hAnsi="黑体" w:eastAsia="黑体" w:cs="黑体"/>
          <w:b w:val="0"/>
          <w:bCs/>
          <w:sz w:val="32"/>
          <w:szCs w:val="32"/>
          <w:highlight w:val="none"/>
        </w:rPr>
      </w:pPr>
      <w:bookmarkStart w:id="39" w:name="_Toc4865"/>
      <w:bookmarkStart w:id="40" w:name="_Toc3785"/>
      <w:r>
        <w:rPr>
          <w:rFonts w:hint="eastAsia" w:ascii="黑体" w:hAnsi="黑体" w:eastAsia="黑体" w:cs="黑体"/>
          <w:b w:val="0"/>
          <w:bCs/>
          <w:sz w:val="32"/>
          <w:szCs w:val="32"/>
          <w:highlight w:val="none"/>
        </w:rPr>
        <w:t>十</w:t>
      </w:r>
      <w:r>
        <w:rPr>
          <w:rFonts w:hint="eastAsia" w:ascii="黑体" w:hAnsi="黑体" w:eastAsia="黑体" w:cs="黑体"/>
          <w:b w:val="0"/>
          <w:bCs/>
          <w:sz w:val="32"/>
          <w:szCs w:val="32"/>
          <w:highlight w:val="none"/>
          <w:lang w:val="en-US" w:eastAsia="zh-CN"/>
        </w:rPr>
        <w:t>二</w:t>
      </w:r>
      <w:r>
        <w:rPr>
          <w:rFonts w:hint="eastAsia" w:ascii="黑体" w:hAnsi="黑体" w:eastAsia="黑体" w:cs="黑体"/>
          <w:b w:val="0"/>
          <w:bCs/>
          <w:sz w:val="32"/>
          <w:szCs w:val="32"/>
          <w:highlight w:val="none"/>
        </w:rPr>
        <w:t>、定标</w:t>
      </w:r>
      <w:bookmarkEnd w:id="39"/>
      <w:bookmarkEnd w:id="40"/>
    </w:p>
    <w:p w14:paraId="359766E8">
      <w:pPr>
        <w:pStyle w:val="8"/>
        <w:pageBreakBefore w:val="0"/>
        <w:tabs>
          <w:tab w:val="left" w:pos="7740"/>
        </w:tabs>
        <w:kinsoku/>
        <w:wordWrap/>
        <w:overflowPunct/>
        <w:topLinePunct w:val="0"/>
        <w:autoSpaceDE/>
        <w:autoSpaceDN/>
        <w:bidi w:val="0"/>
        <w:adjustRightInd w:val="0"/>
        <w:snapToGrid w:val="0"/>
        <w:spacing w:line="560" w:lineRule="exact"/>
        <w:ind w:left="0" w:firstLine="640" w:firstLineChars="200"/>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由招标人招标决策委员会依据评标报告综合评价定标。</w:t>
      </w:r>
    </w:p>
    <w:p w14:paraId="49554875">
      <w:pPr>
        <w:pStyle w:val="5"/>
        <w:pageBreakBefore w:val="0"/>
        <w:kinsoku/>
        <w:wordWrap/>
        <w:overflowPunct/>
        <w:topLinePunct w:val="0"/>
        <w:autoSpaceDE/>
        <w:autoSpaceDN/>
        <w:bidi w:val="0"/>
        <w:spacing w:before="0" w:after="0" w:line="560" w:lineRule="exact"/>
        <w:ind w:left="0" w:firstLine="640" w:firstLineChars="200"/>
        <w:textAlignment w:val="auto"/>
        <w:rPr>
          <w:rFonts w:hint="eastAsia" w:ascii="黑体" w:hAnsi="黑体" w:eastAsia="黑体" w:cs="黑体"/>
          <w:b w:val="0"/>
          <w:bCs/>
          <w:sz w:val="32"/>
          <w:szCs w:val="32"/>
          <w:highlight w:val="none"/>
        </w:rPr>
      </w:pPr>
      <w:bookmarkStart w:id="41" w:name="_Toc10451"/>
      <w:bookmarkStart w:id="42" w:name="_Toc30510"/>
      <w:r>
        <w:rPr>
          <w:rFonts w:hint="eastAsia" w:ascii="黑体" w:hAnsi="黑体" w:eastAsia="黑体" w:cs="黑体"/>
          <w:b w:val="0"/>
          <w:bCs/>
          <w:sz w:val="32"/>
          <w:szCs w:val="32"/>
          <w:highlight w:val="none"/>
        </w:rPr>
        <w:t>十</w:t>
      </w:r>
      <w:r>
        <w:rPr>
          <w:rFonts w:hint="eastAsia" w:ascii="黑体" w:hAnsi="黑体" w:eastAsia="黑体" w:cs="黑体"/>
          <w:b w:val="0"/>
          <w:bCs/>
          <w:sz w:val="32"/>
          <w:szCs w:val="32"/>
          <w:highlight w:val="none"/>
          <w:lang w:val="en-US" w:eastAsia="zh-CN"/>
        </w:rPr>
        <w:t>三</w:t>
      </w:r>
      <w:r>
        <w:rPr>
          <w:rFonts w:hint="eastAsia" w:ascii="黑体" w:hAnsi="黑体" w:eastAsia="黑体" w:cs="黑体"/>
          <w:b w:val="0"/>
          <w:bCs/>
          <w:sz w:val="32"/>
          <w:szCs w:val="32"/>
          <w:highlight w:val="none"/>
        </w:rPr>
        <w:t>、结算方式</w:t>
      </w:r>
      <w:bookmarkEnd w:id="41"/>
      <w:bookmarkEnd w:id="42"/>
    </w:p>
    <w:p w14:paraId="137DE4BA">
      <w:pPr>
        <w:pStyle w:val="8"/>
        <w:pageBreakBefore w:val="0"/>
        <w:tabs>
          <w:tab w:val="left" w:pos="7740"/>
        </w:tabs>
        <w:kinsoku/>
        <w:wordWrap/>
        <w:overflowPunct/>
        <w:topLinePunct w:val="0"/>
        <w:autoSpaceDE/>
        <w:autoSpaceDN/>
        <w:bidi w:val="0"/>
        <w:adjustRightInd w:val="0"/>
        <w:snapToGrid w:val="0"/>
        <w:spacing w:line="560" w:lineRule="exact"/>
        <w:ind w:left="0" w:firstLine="640" w:firstLineChars="200"/>
        <w:textAlignment w:val="auto"/>
        <w:rPr>
          <w:rFonts w:hint="eastAsia" w:ascii="仿宋" w:hAnsi="仿宋" w:eastAsia="仿宋" w:cs="仿宋"/>
          <w:b w:val="0"/>
          <w:bCs/>
          <w:sz w:val="32"/>
          <w:szCs w:val="32"/>
          <w:highlight w:val="none"/>
        </w:rPr>
      </w:pPr>
      <w:r>
        <w:rPr>
          <w:rFonts w:hint="eastAsia" w:ascii="仿宋_GB2312" w:hAnsi="仿宋_GB2312" w:eastAsia="仿宋_GB2312" w:cs="仿宋_GB2312"/>
          <w:b w:val="0"/>
          <w:bCs/>
          <w:sz w:val="32"/>
          <w:szCs w:val="32"/>
          <w:highlight w:val="none"/>
        </w:rPr>
        <w:t>按本文件“</w:t>
      </w:r>
      <w:r>
        <w:rPr>
          <w:rFonts w:hint="eastAsia" w:ascii="仿宋_GB2312" w:hAnsi="仿宋_GB2312" w:eastAsia="仿宋_GB2312" w:cs="仿宋_GB2312"/>
          <w:b w:val="0"/>
          <w:bCs/>
          <w:sz w:val="32"/>
          <w:szCs w:val="32"/>
          <w:highlight w:val="none"/>
          <w:lang w:eastAsia="zh-CN"/>
        </w:rPr>
        <w:t>招标文件</w:t>
      </w:r>
      <w:r>
        <w:rPr>
          <w:rFonts w:hint="eastAsia" w:ascii="仿宋_GB2312" w:hAnsi="仿宋_GB2312" w:eastAsia="仿宋_GB2312" w:cs="仿宋_GB2312"/>
          <w:b w:val="0"/>
          <w:bCs/>
          <w:sz w:val="32"/>
          <w:szCs w:val="32"/>
          <w:highlight w:val="none"/>
        </w:rPr>
        <w:t xml:space="preserve"> 第三章 合同条款”约定的结算方式执行。</w:t>
      </w:r>
    </w:p>
    <w:p w14:paraId="0A442761">
      <w:pPr>
        <w:pStyle w:val="5"/>
        <w:pageBreakBefore w:val="0"/>
        <w:kinsoku/>
        <w:wordWrap/>
        <w:overflowPunct/>
        <w:topLinePunct w:val="0"/>
        <w:autoSpaceDE/>
        <w:autoSpaceDN/>
        <w:bidi w:val="0"/>
        <w:spacing w:before="0" w:after="0" w:line="560" w:lineRule="exact"/>
        <w:ind w:left="0" w:firstLine="640" w:firstLineChars="200"/>
        <w:textAlignment w:val="auto"/>
        <w:rPr>
          <w:rFonts w:hint="eastAsia" w:ascii="黑体" w:hAnsi="黑体" w:eastAsia="黑体" w:cs="黑体"/>
          <w:b w:val="0"/>
          <w:bCs/>
          <w:sz w:val="32"/>
          <w:szCs w:val="32"/>
          <w:highlight w:val="none"/>
        </w:rPr>
      </w:pPr>
      <w:bookmarkStart w:id="43" w:name="_Toc30136"/>
      <w:bookmarkStart w:id="44" w:name="_Toc12355"/>
      <w:r>
        <w:rPr>
          <w:rFonts w:hint="eastAsia" w:ascii="黑体" w:hAnsi="黑体" w:eastAsia="黑体" w:cs="黑体"/>
          <w:b w:val="0"/>
          <w:bCs/>
          <w:sz w:val="32"/>
          <w:szCs w:val="32"/>
          <w:highlight w:val="none"/>
        </w:rPr>
        <w:t>十</w:t>
      </w:r>
      <w:r>
        <w:rPr>
          <w:rFonts w:hint="eastAsia" w:ascii="黑体" w:hAnsi="黑体" w:eastAsia="黑体" w:cs="黑体"/>
          <w:b w:val="0"/>
          <w:bCs/>
          <w:sz w:val="32"/>
          <w:szCs w:val="32"/>
          <w:highlight w:val="none"/>
          <w:lang w:val="en-US" w:eastAsia="zh-CN"/>
        </w:rPr>
        <w:t>四</w:t>
      </w:r>
      <w:r>
        <w:rPr>
          <w:rFonts w:hint="eastAsia" w:ascii="黑体" w:hAnsi="黑体" w:eastAsia="黑体" w:cs="黑体"/>
          <w:b w:val="0"/>
          <w:bCs/>
          <w:sz w:val="32"/>
          <w:szCs w:val="32"/>
          <w:highlight w:val="none"/>
        </w:rPr>
        <w:t>、解释权</w:t>
      </w:r>
      <w:bookmarkEnd w:id="43"/>
      <w:bookmarkEnd w:id="44"/>
    </w:p>
    <w:p w14:paraId="6232DC18">
      <w:pPr>
        <w:pStyle w:val="8"/>
        <w:pageBreakBefore w:val="0"/>
        <w:tabs>
          <w:tab w:val="left" w:pos="7740"/>
        </w:tabs>
        <w:kinsoku/>
        <w:wordWrap/>
        <w:overflowPunct/>
        <w:topLinePunct w:val="0"/>
        <w:autoSpaceDE/>
        <w:autoSpaceDN/>
        <w:bidi w:val="0"/>
        <w:adjustRightInd w:val="0"/>
        <w:snapToGrid w:val="0"/>
        <w:spacing w:line="560" w:lineRule="exact"/>
        <w:ind w:left="0" w:firstLine="640" w:firstLineChars="200"/>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招标文件解释权归深圳市鹏劳人力资源管理有限公司招标决策委员会所有。</w:t>
      </w:r>
    </w:p>
    <w:p w14:paraId="24F86FA3">
      <w:pPr>
        <w:pStyle w:val="13"/>
        <w:spacing w:line="480" w:lineRule="exact"/>
        <w:ind w:firstLine="0" w:firstLineChars="0"/>
        <w:outlineLvl w:val="9"/>
        <w:rPr>
          <w:rFonts w:ascii="宋体" w:hAnsi="宋体"/>
          <w:bCs w:val="0"/>
          <w:highlight w:val="none"/>
        </w:rPr>
      </w:pPr>
      <w:r>
        <w:rPr>
          <w:rFonts w:hint="eastAsia" w:ascii="宋体" w:hAnsi="宋体" w:cs="宋体"/>
          <w:b w:val="0"/>
          <w:sz w:val="28"/>
          <w:szCs w:val="28"/>
          <w:highlight w:val="none"/>
        </w:rPr>
        <w:br w:type="page"/>
      </w:r>
    </w:p>
    <w:p w14:paraId="74BFB540">
      <w:pPr>
        <w:pStyle w:val="4"/>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sz w:val="32"/>
          <w:szCs w:val="32"/>
          <w:highlight w:val="none"/>
        </w:rPr>
      </w:pPr>
      <w:bookmarkStart w:id="45" w:name="_Toc25565"/>
      <w:bookmarkStart w:id="46" w:name="_Toc22140"/>
      <w:r>
        <w:rPr>
          <w:rFonts w:hint="eastAsia" w:ascii="黑体" w:hAnsi="黑体" w:eastAsia="黑体" w:cs="黑体"/>
          <w:b w:val="0"/>
          <w:bCs/>
          <w:sz w:val="32"/>
          <w:szCs w:val="32"/>
          <w:highlight w:val="none"/>
        </w:rPr>
        <w:t xml:space="preserve">第二章 </w:t>
      </w:r>
      <w:bookmarkEnd w:id="45"/>
      <w:r>
        <w:rPr>
          <w:rFonts w:hint="eastAsia" w:ascii="黑体" w:hAnsi="黑体" w:eastAsia="黑体" w:cs="黑体"/>
          <w:b w:val="0"/>
          <w:bCs/>
          <w:sz w:val="32"/>
          <w:szCs w:val="32"/>
          <w:highlight w:val="none"/>
        </w:rPr>
        <w:t>评标程序及标准</w:t>
      </w:r>
      <w:bookmarkEnd w:id="46"/>
    </w:p>
    <w:p w14:paraId="286C24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本项目采用综合评估法。是指在最大限度地满足招标文件实质性要求前提下，按照招标文件规定的评审标准进行评审，按评审因素的量化指标评审排序靠前的推荐中标候选人。得分相同的，按投标报价由低到高顺序排列；得分且投标报价相同的，按商务技术指标或服务方案得分顺序排列；如商务技术指标或服务方案得分仍然相同，则采用抽签的方法确定中标候选人的排序。具体程序如下：</w:t>
      </w:r>
    </w:p>
    <w:p w14:paraId="2B6400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highlight w:val="none"/>
        </w:rPr>
      </w:pPr>
      <w:bookmarkStart w:id="47" w:name="_Toc40445480"/>
      <w:bookmarkStart w:id="48" w:name="_Toc532127158"/>
      <w:r>
        <w:rPr>
          <w:rFonts w:hint="eastAsia" w:ascii="黑体" w:hAnsi="黑体" w:eastAsia="黑体" w:cs="黑体"/>
          <w:bCs/>
          <w:sz w:val="32"/>
          <w:szCs w:val="32"/>
          <w:highlight w:val="none"/>
          <w:lang w:val="en-US" w:eastAsia="zh-CN"/>
        </w:rPr>
        <w:t>一、</w:t>
      </w:r>
      <w:r>
        <w:rPr>
          <w:rFonts w:hint="eastAsia" w:ascii="黑体" w:hAnsi="黑体" w:eastAsia="黑体" w:cs="黑体"/>
          <w:bCs/>
          <w:sz w:val="32"/>
          <w:szCs w:val="32"/>
          <w:highlight w:val="none"/>
        </w:rPr>
        <w:t>初步评审</w:t>
      </w:r>
      <w:bookmarkEnd w:id="47"/>
      <w:bookmarkEnd w:id="48"/>
    </w:p>
    <w:p w14:paraId="5B34E3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评标专家组根据投标人根据本文件“第二部分 招标文件 第一章 项目需求 六、投标文件要求 2.资质证明文件 ”所提交的文件进行核验。有一项不符合评审标准的，评标专家组应否决其投标。</w:t>
      </w:r>
    </w:p>
    <w:p w14:paraId="42E80B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初步评审的结论是“通过”或“不通过”，只有结论为“通过”的投标方能进入下一阶段的评标，否则其投标将按无效标处理。</w:t>
      </w:r>
    </w:p>
    <w:p w14:paraId="294AF0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highlight w:val="none"/>
          <w:lang w:val="en-US" w:eastAsia="zh-CN"/>
        </w:rPr>
      </w:pPr>
      <w:bookmarkStart w:id="49" w:name="_bookmark89"/>
      <w:bookmarkEnd w:id="49"/>
      <w:bookmarkStart w:id="50" w:name="_Toc40445481"/>
      <w:bookmarkStart w:id="51" w:name="_Toc532127159"/>
      <w:r>
        <w:rPr>
          <w:rFonts w:hint="eastAsia" w:ascii="黑体" w:hAnsi="黑体" w:eastAsia="黑体" w:cs="黑体"/>
          <w:bCs/>
          <w:sz w:val="32"/>
          <w:szCs w:val="32"/>
          <w:highlight w:val="none"/>
          <w:lang w:val="en-US" w:eastAsia="zh-CN"/>
        </w:rPr>
        <w:t>二、详细评审</w:t>
      </w:r>
      <w:bookmarkEnd w:id="50"/>
      <w:bookmarkEnd w:id="51"/>
    </w:p>
    <w:p w14:paraId="6A6471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val="en-US" w:eastAsia="zh-CN"/>
        </w:rPr>
        <w:t>1.</w:t>
      </w:r>
      <w:r>
        <w:rPr>
          <w:rFonts w:hint="eastAsia" w:ascii="仿宋_GB2312" w:hAnsi="仿宋_GB2312" w:eastAsia="仿宋_GB2312" w:cs="仿宋_GB2312"/>
          <w:bCs/>
          <w:sz w:val="32"/>
          <w:szCs w:val="32"/>
          <w:highlight w:val="none"/>
        </w:rPr>
        <w:t>评标专家组按本章规定的量化因素和分值进行打分并计算出综合评估得分。</w:t>
      </w:r>
    </w:p>
    <w:p w14:paraId="2DA0DF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lang w:val="en-US" w:eastAsia="zh-CN"/>
        </w:rPr>
        <w:t>1）</w:t>
      </w:r>
      <w:r>
        <w:rPr>
          <w:rFonts w:hint="eastAsia" w:ascii="仿宋_GB2312" w:hAnsi="仿宋_GB2312" w:eastAsia="仿宋_GB2312" w:cs="仿宋_GB2312"/>
          <w:bCs/>
          <w:sz w:val="32"/>
          <w:szCs w:val="32"/>
          <w:highlight w:val="none"/>
        </w:rPr>
        <w:t>按本章商务技术标评分标准规定的评审因素和权重对应分值对商务部分计算出得分A；</w:t>
      </w:r>
    </w:p>
    <w:p w14:paraId="09237B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（2）按本章价格标评分方法规定的评审因素和权重对应分值对投标报价计算出得分B；</w:t>
      </w:r>
    </w:p>
    <w:p w14:paraId="544252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评分分值计算保留小数点后两位，小数点后第三位“四舍五入”。</w:t>
      </w:r>
    </w:p>
    <w:p w14:paraId="03CAE7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（3）投标人得分=A+B。</w:t>
      </w:r>
    </w:p>
    <w:p w14:paraId="6484CB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val="en-US" w:eastAsia="zh-CN"/>
        </w:rPr>
        <w:t>2.</w:t>
      </w:r>
      <w:r>
        <w:rPr>
          <w:rFonts w:hint="eastAsia" w:ascii="仿宋_GB2312" w:hAnsi="仿宋_GB2312" w:eastAsia="仿宋_GB2312" w:cs="仿宋_GB2312"/>
          <w:bCs/>
          <w:sz w:val="32"/>
          <w:szCs w:val="32"/>
          <w:highlight w:val="none"/>
        </w:rPr>
        <w:t>评标专家组发现投标人的报价明显低于其他投标报价，使得其投标报价可能低于其成本的，应当要求该投标人作出书面说明并提供相应的证明材料。投标人不能合理说明或者不能提供相应证明材料的，由评标专家组认定该投标人以低于成本报价竞标，并否决其投标。</w:t>
      </w:r>
    </w:p>
    <w:p w14:paraId="74B316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highlight w:val="none"/>
          <w:lang w:val="en-US" w:eastAsia="zh-CN"/>
        </w:rPr>
      </w:pPr>
      <w:bookmarkStart w:id="52" w:name="_Toc40445482"/>
      <w:bookmarkStart w:id="53" w:name="_Toc532127160"/>
      <w:r>
        <w:rPr>
          <w:rFonts w:hint="eastAsia" w:ascii="黑体" w:hAnsi="黑体" w:eastAsia="黑体" w:cs="黑体"/>
          <w:bCs/>
          <w:sz w:val="32"/>
          <w:szCs w:val="32"/>
          <w:highlight w:val="none"/>
          <w:lang w:val="en-US" w:eastAsia="zh-CN"/>
        </w:rPr>
        <w:t>三、投标文件的澄清</w:t>
      </w:r>
      <w:bookmarkEnd w:id="52"/>
      <w:bookmarkEnd w:id="53"/>
    </w:p>
    <w:p w14:paraId="7E62D9F8">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在评标过程中，评标专家组可以书面形式要求投标人对投标文件中含义不明确、对同类问题表述不一致或者有明显文字和计算错误的内容作必要的澄清、说明或补正。澄清、说明或补正应以电子公文（或书面方式）进行。评标专家组不接受投标人主动提出的澄清、说明或补正。</w:t>
      </w:r>
    </w:p>
    <w:p w14:paraId="05264CDF">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澄清、说明或补正不得超出投标文件的范围且不得改变投标文件的实质性内容，并构成投标文件的组成部分。</w:t>
      </w:r>
    </w:p>
    <w:p w14:paraId="1E5D2FB7">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评标专家组对投标人提交的澄清、说明或补正有疑问的，可以要求投标人进一步澄清、说明或补正，直至满足评标专家组的要求。</w:t>
      </w:r>
    </w:p>
    <w:p w14:paraId="78F23A56">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投标文件存在投标报价问题的，评标专家组可以进行投标报价的算术修正，投标报价算术修正按有利于招标人的原则进行。修正后的投标报价经投标人同意后，对投标人起约束作用。如果投标人不接受修正后的报价，其投标将被拒绝。</w:t>
      </w:r>
      <w:bookmarkStart w:id="54" w:name="_Toc532127161"/>
    </w:p>
    <w:p w14:paraId="577865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highlight w:val="none"/>
          <w:lang w:val="en-US" w:eastAsia="zh-CN"/>
        </w:rPr>
      </w:pPr>
      <w:bookmarkStart w:id="55" w:name="_Toc40445483"/>
      <w:r>
        <w:rPr>
          <w:rFonts w:hint="eastAsia" w:ascii="黑体" w:hAnsi="黑体" w:eastAsia="黑体" w:cs="黑体"/>
          <w:bCs/>
          <w:sz w:val="32"/>
          <w:szCs w:val="32"/>
          <w:highlight w:val="none"/>
          <w:lang w:val="en-US" w:eastAsia="zh-CN"/>
        </w:rPr>
        <w:t>四、评标结果</w:t>
      </w:r>
      <w:bookmarkEnd w:id="54"/>
      <w:bookmarkEnd w:id="55"/>
    </w:p>
    <w:p w14:paraId="33F0FD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val="en-US" w:eastAsia="zh-CN"/>
        </w:rPr>
        <w:t>1.</w:t>
      </w:r>
      <w:r>
        <w:rPr>
          <w:rFonts w:hint="eastAsia" w:ascii="仿宋_GB2312" w:hAnsi="仿宋_GB2312" w:eastAsia="仿宋_GB2312" w:cs="仿宋_GB2312"/>
          <w:bCs/>
          <w:sz w:val="32"/>
          <w:szCs w:val="32"/>
          <w:highlight w:val="none"/>
        </w:rPr>
        <w:t>评标专家组按照评审分数由低到高的顺序推荐中标候选人，并标明排序。</w:t>
      </w:r>
    </w:p>
    <w:p w14:paraId="6D124B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val="en-US" w:eastAsia="zh-CN"/>
        </w:rPr>
        <w:t>2.</w:t>
      </w:r>
      <w:r>
        <w:rPr>
          <w:rFonts w:hint="eastAsia" w:ascii="仿宋_GB2312" w:hAnsi="仿宋_GB2312" w:eastAsia="仿宋_GB2312" w:cs="仿宋_GB2312"/>
          <w:bCs/>
          <w:sz w:val="32"/>
          <w:szCs w:val="32"/>
          <w:highlight w:val="none"/>
        </w:rPr>
        <w:t>评标专家组完成评标后，应当向招标决策委员会提交书面评标报告和中标候选人名单。</w:t>
      </w:r>
      <w:bookmarkStart w:id="56" w:name="_Toc532127162"/>
      <w:r>
        <w:rPr>
          <w:rFonts w:hint="eastAsia" w:ascii="仿宋_GB2312" w:hAnsi="仿宋_GB2312" w:eastAsia="仿宋_GB2312" w:cs="仿宋_GB2312"/>
          <w:bCs/>
          <w:sz w:val="32"/>
          <w:szCs w:val="32"/>
          <w:highlight w:val="none"/>
        </w:rPr>
        <w:t>具体程序如下:</w:t>
      </w:r>
    </w:p>
    <w:bookmarkEnd w:id="56"/>
    <w:p w14:paraId="4A7E1A20">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lang w:val="en-US" w:eastAsia="zh-CN"/>
        </w:rPr>
        <w:t>1）</w:t>
      </w:r>
      <w:r>
        <w:rPr>
          <w:rFonts w:hint="eastAsia" w:ascii="仿宋_GB2312" w:hAnsi="仿宋_GB2312" w:eastAsia="仿宋_GB2312" w:cs="仿宋_GB2312"/>
          <w:bCs/>
          <w:sz w:val="32"/>
          <w:szCs w:val="32"/>
          <w:highlight w:val="none"/>
        </w:rPr>
        <w:t>按评审综合得分从高至低的顺序进行排序，向招标人决策委员会推荐评审总得分排名靠前的投标人为中标候选人，推荐数为2家。</w:t>
      </w:r>
    </w:p>
    <w:p w14:paraId="47B03C1D">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lang w:val="en-US" w:eastAsia="zh-CN"/>
        </w:rPr>
        <w:t>2）</w:t>
      </w:r>
      <w:r>
        <w:rPr>
          <w:rFonts w:hint="eastAsia" w:ascii="仿宋_GB2312" w:hAnsi="仿宋_GB2312" w:eastAsia="仿宋_GB2312" w:cs="仿宋_GB2312"/>
          <w:bCs/>
          <w:sz w:val="32"/>
          <w:szCs w:val="32"/>
          <w:highlight w:val="none"/>
        </w:rPr>
        <w:t>若出现评审综合得分相同的情形，按投标报价由低到高顺序排列；得分且投标报价相同的，按商务技术标得分顺序排列；如商务技术标得分仍然相同，则采用抽签的方法确定中标候选人的排序。</w:t>
      </w:r>
    </w:p>
    <w:p w14:paraId="37A0E0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t>五、转为竞争性谈判的程序</w:t>
      </w:r>
    </w:p>
    <w:p w14:paraId="4D7CFE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参照法律法规规定执行。</w:t>
      </w:r>
    </w:p>
    <w:p w14:paraId="4C468F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highlight w:val="none"/>
          <w:lang w:val="en-US" w:eastAsia="zh-CN"/>
        </w:rPr>
      </w:pPr>
      <w:bookmarkStart w:id="57" w:name="_Toc40445485"/>
      <w:bookmarkStart w:id="58" w:name="_Toc532127163"/>
      <w:r>
        <w:rPr>
          <w:rFonts w:hint="eastAsia" w:ascii="黑体" w:hAnsi="黑体" w:eastAsia="黑体" w:cs="黑体"/>
          <w:bCs/>
          <w:sz w:val="32"/>
          <w:szCs w:val="32"/>
          <w:highlight w:val="none"/>
          <w:lang w:val="en-US" w:eastAsia="zh-CN"/>
        </w:rPr>
        <w:t>六、附表</w:t>
      </w:r>
      <w:bookmarkEnd w:id="57"/>
      <w:bookmarkEnd w:id="58"/>
    </w:p>
    <w:p w14:paraId="476FDD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附表1《商务技术标评审标准》</w:t>
      </w:r>
    </w:p>
    <w:p w14:paraId="10AA46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附表2《价格标评分方法》</w:t>
      </w:r>
    </w:p>
    <w:p w14:paraId="7DDF06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附表3《商务技术标、价格标权重表》</w:t>
      </w:r>
    </w:p>
    <w:p w14:paraId="04751EA2">
      <w:pPr>
        <w:keepNext/>
        <w:keepLines/>
        <w:widowControl/>
        <w:numPr>
          <w:ilvl w:val="3"/>
          <w:numId w:val="0"/>
        </w:numPr>
        <w:adjustRightInd w:val="0"/>
        <w:snapToGrid w:val="0"/>
        <w:spacing w:line="360" w:lineRule="auto"/>
        <w:outlineLvl w:val="3"/>
        <w:rPr>
          <w:rFonts w:hint="eastAsia" w:ascii="Times New Roman" w:hAnsi="Times New Roman" w:eastAsia="仿宋" w:cs="Times New Roman"/>
          <w:b/>
          <w:sz w:val="22"/>
          <w:szCs w:val="24"/>
          <w:highlight w:val="none"/>
          <w:lang w:eastAsia="zh-CN"/>
        </w:rPr>
      </w:pPr>
      <w:bookmarkStart w:id="59" w:name="_bookmark90"/>
      <w:bookmarkEnd w:id="59"/>
      <w:bookmarkStart w:id="60" w:name="_bookmark91"/>
      <w:bookmarkEnd w:id="60"/>
      <w:r>
        <w:rPr>
          <w:rFonts w:ascii="Arial" w:hAnsi="Arial" w:eastAsia="黑体" w:cs="Times New Roman"/>
          <w:b/>
          <w:sz w:val="28"/>
          <w:szCs w:val="28"/>
          <w:highlight w:val="none"/>
        </w:rPr>
        <w:br w:type="page"/>
      </w:r>
      <w:r>
        <w:rPr>
          <w:rFonts w:hint="eastAsia" w:ascii="仿宋" w:hAnsi="仿宋" w:eastAsia="仿宋" w:cs="仿宋"/>
          <w:b w:val="0"/>
          <w:bCs/>
          <w:sz w:val="22"/>
          <w:szCs w:val="24"/>
          <w:highlight w:val="none"/>
        </w:rPr>
        <w:t>附表1</w:t>
      </w:r>
      <w:r>
        <w:rPr>
          <w:rFonts w:hint="eastAsia" w:ascii="仿宋" w:hAnsi="仿宋" w:eastAsia="仿宋" w:cs="仿宋"/>
          <w:b w:val="0"/>
          <w:bCs/>
          <w:sz w:val="22"/>
          <w:szCs w:val="24"/>
          <w:highlight w:val="none"/>
          <w:lang w:eastAsia="zh-CN"/>
        </w:rPr>
        <w:t>《</w:t>
      </w:r>
      <w:r>
        <w:rPr>
          <w:rFonts w:hint="eastAsia" w:ascii="仿宋" w:hAnsi="仿宋" w:eastAsia="仿宋" w:cs="仿宋"/>
          <w:b w:val="0"/>
          <w:bCs/>
          <w:sz w:val="22"/>
          <w:szCs w:val="24"/>
          <w:highlight w:val="none"/>
        </w:rPr>
        <w:t>商务技术标评审标准</w:t>
      </w:r>
      <w:r>
        <w:rPr>
          <w:rFonts w:hint="eastAsia" w:ascii="仿宋" w:hAnsi="仿宋" w:eastAsia="仿宋" w:cs="仿宋"/>
          <w:b w:val="0"/>
          <w:bCs/>
          <w:sz w:val="22"/>
          <w:szCs w:val="24"/>
          <w:highlight w:val="none"/>
          <w:lang w:eastAsia="zh-CN"/>
        </w:rPr>
        <w:t>》</w:t>
      </w:r>
    </w:p>
    <w:p w14:paraId="678A3E87">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b w:val="0"/>
          <w:bCs/>
          <w:sz w:val="32"/>
          <w:szCs w:val="32"/>
          <w:highlight w:val="none"/>
        </w:rPr>
      </w:pPr>
      <w:r>
        <w:rPr>
          <w:rFonts w:hint="eastAsia" w:ascii="方正小标宋简体" w:hAnsi="方正小标宋简体" w:eastAsia="方正小标宋简体" w:cs="方正小标宋简体"/>
          <w:b w:val="0"/>
          <w:bCs/>
          <w:sz w:val="32"/>
          <w:szCs w:val="32"/>
          <w:highlight w:val="none"/>
        </w:rPr>
        <w:t>商务技术标评审标准</w:t>
      </w:r>
    </w:p>
    <w:tbl>
      <w:tblPr>
        <w:tblStyle w:val="15"/>
        <w:tblW w:w="562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1076"/>
        <w:gridCol w:w="7012"/>
        <w:gridCol w:w="1445"/>
      </w:tblGrid>
      <w:tr w14:paraId="0A861E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tblHeader/>
          <w:jc w:val="center"/>
        </w:trPr>
        <w:tc>
          <w:tcPr>
            <w:tcW w:w="328" w:type="pct"/>
            <w:tcBorders>
              <w:tl2br w:val="nil"/>
              <w:tr2bl w:val="nil"/>
            </w:tcBorders>
            <w:shd w:val="clear" w:color="auto" w:fill="FFFFFF" w:themeFill="background1"/>
            <w:vAlign w:val="center"/>
          </w:tcPr>
          <w:p w14:paraId="17C08768">
            <w:pPr>
              <w:keepNext w:val="0"/>
              <w:keepLines w:val="0"/>
              <w:pageBreakBefore w:val="0"/>
              <w:widowControl/>
              <w:kinsoku/>
              <w:wordWrap/>
              <w:overflowPunct/>
              <w:topLinePunct w:val="0"/>
              <w:autoSpaceDE/>
              <w:autoSpaceDN/>
              <w:bidi w:val="0"/>
              <w:adjustRightInd w:val="0"/>
              <w:snapToGrid w:val="0"/>
              <w:spacing w:line="280" w:lineRule="exact"/>
              <w:jc w:val="center"/>
              <w:textAlignment w:val="auto"/>
              <w:rPr>
                <w:rFonts w:ascii="Times New Roman" w:hAnsi="Times New Roman" w:eastAsia="宋体" w:cs="Times New Roman"/>
                <w:b/>
                <w:szCs w:val="21"/>
                <w:highlight w:val="none"/>
              </w:rPr>
            </w:pPr>
            <w:r>
              <w:rPr>
                <w:rFonts w:hint="eastAsia" w:ascii="Times New Roman" w:hAnsi="Times New Roman" w:eastAsia="宋体" w:cs="Times New Roman"/>
                <w:b/>
                <w:szCs w:val="21"/>
                <w:highlight w:val="none"/>
              </w:rPr>
              <w:t>序号</w:t>
            </w:r>
          </w:p>
        </w:tc>
        <w:tc>
          <w:tcPr>
            <w:tcW w:w="527" w:type="pct"/>
            <w:tcBorders>
              <w:tl2br w:val="nil"/>
              <w:tr2bl w:val="nil"/>
            </w:tcBorders>
            <w:shd w:val="clear" w:color="auto" w:fill="FFFFFF" w:themeFill="background1"/>
            <w:vAlign w:val="center"/>
          </w:tcPr>
          <w:p w14:paraId="5F79941B">
            <w:pPr>
              <w:keepNext w:val="0"/>
              <w:keepLines w:val="0"/>
              <w:pageBreakBefore w:val="0"/>
              <w:widowControl/>
              <w:kinsoku/>
              <w:wordWrap/>
              <w:overflowPunct/>
              <w:topLinePunct w:val="0"/>
              <w:autoSpaceDE/>
              <w:autoSpaceDN/>
              <w:bidi w:val="0"/>
              <w:adjustRightInd w:val="0"/>
              <w:snapToGrid w:val="0"/>
              <w:spacing w:line="280" w:lineRule="exact"/>
              <w:jc w:val="center"/>
              <w:textAlignment w:val="auto"/>
              <w:rPr>
                <w:rFonts w:ascii="Times New Roman" w:hAnsi="Times New Roman" w:eastAsia="宋体" w:cs="Times New Roman"/>
                <w:b/>
                <w:szCs w:val="21"/>
                <w:highlight w:val="none"/>
              </w:rPr>
            </w:pPr>
            <w:r>
              <w:rPr>
                <w:rFonts w:hint="eastAsia" w:ascii="Times New Roman" w:hAnsi="Times New Roman" w:eastAsia="宋体" w:cs="Times New Roman"/>
                <w:b/>
                <w:szCs w:val="21"/>
                <w:highlight w:val="none"/>
              </w:rPr>
              <w:t>评分因素</w:t>
            </w:r>
          </w:p>
        </w:tc>
        <w:tc>
          <w:tcPr>
            <w:tcW w:w="3435" w:type="pct"/>
            <w:tcBorders>
              <w:tl2br w:val="nil"/>
              <w:tr2bl w:val="nil"/>
            </w:tcBorders>
            <w:shd w:val="clear" w:color="auto" w:fill="FFFFFF" w:themeFill="background1"/>
            <w:vAlign w:val="center"/>
          </w:tcPr>
          <w:p w14:paraId="12F5C2E5">
            <w:pPr>
              <w:keepNext w:val="0"/>
              <w:keepLines w:val="0"/>
              <w:pageBreakBefore w:val="0"/>
              <w:widowControl/>
              <w:kinsoku/>
              <w:wordWrap/>
              <w:overflowPunct/>
              <w:topLinePunct w:val="0"/>
              <w:autoSpaceDE/>
              <w:autoSpaceDN/>
              <w:bidi w:val="0"/>
              <w:adjustRightInd w:val="0"/>
              <w:snapToGrid w:val="0"/>
              <w:spacing w:line="280" w:lineRule="exact"/>
              <w:jc w:val="center"/>
              <w:textAlignment w:val="auto"/>
              <w:rPr>
                <w:rFonts w:ascii="Times New Roman" w:hAnsi="Times New Roman" w:eastAsia="宋体" w:cs="Times New Roman"/>
                <w:b/>
                <w:szCs w:val="21"/>
                <w:highlight w:val="none"/>
              </w:rPr>
            </w:pPr>
            <w:r>
              <w:rPr>
                <w:rFonts w:hint="eastAsia" w:ascii="Times New Roman" w:hAnsi="Times New Roman" w:eastAsia="宋体" w:cs="Times New Roman"/>
                <w:b/>
                <w:szCs w:val="21"/>
                <w:highlight w:val="none"/>
              </w:rPr>
              <w:t>评分准则</w:t>
            </w:r>
          </w:p>
        </w:tc>
        <w:tc>
          <w:tcPr>
            <w:tcW w:w="708" w:type="pct"/>
            <w:tcBorders>
              <w:tl2br w:val="nil"/>
              <w:tr2bl w:val="nil"/>
            </w:tcBorders>
            <w:shd w:val="clear" w:color="auto" w:fill="FFFFFF" w:themeFill="background1"/>
            <w:vAlign w:val="center"/>
          </w:tcPr>
          <w:p w14:paraId="144D11E1">
            <w:pPr>
              <w:keepNext w:val="0"/>
              <w:keepLines w:val="0"/>
              <w:pageBreakBefore w:val="0"/>
              <w:widowControl/>
              <w:kinsoku/>
              <w:wordWrap/>
              <w:overflowPunct/>
              <w:topLinePunct w:val="0"/>
              <w:autoSpaceDE/>
              <w:autoSpaceDN/>
              <w:bidi w:val="0"/>
              <w:adjustRightInd w:val="0"/>
              <w:snapToGrid w:val="0"/>
              <w:spacing w:line="280" w:lineRule="exact"/>
              <w:jc w:val="center"/>
              <w:textAlignment w:val="auto"/>
              <w:rPr>
                <w:rFonts w:ascii="Times New Roman" w:hAnsi="Times New Roman" w:eastAsia="宋体" w:cs="Times New Roman"/>
                <w:b/>
                <w:szCs w:val="21"/>
                <w:highlight w:val="none"/>
              </w:rPr>
            </w:pPr>
            <w:r>
              <w:rPr>
                <w:rFonts w:hint="eastAsia" w:ascii="Times New Roman" w:hAnsi="Times New Roman" w:eastAsia="宋体" w:cs="Times New Roman"/>
                <w:b/>
                <w:szCs w:val="21"/>
                <w:highlight w:val="none"/>
              </w:rPr>
              <w:t>分值</w:t>
            </w:r>
          </w:p>
        </w:tc>
      </w:tr>
      <w:tr w14:paraId="187734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322" w:hRule="atLeast"/>
          <w:jc w:val="center"/>
        </w:trPr>
        <w:tc>
          <w:tcPr>
            <w:tcW w:w="328" w:type="pct"/>
            <w:tcBorders>
              <w:tl2br w:val="nil"/>
              <w:tr2bl w:val="nil"/>
            </w:tcBorders>
            <w:vAlign w:val="center"/>
          </w:tcPr>
          <w:p w14:paraId="7128E98B">
            <w:pPr>
              <w:keepNext w:val="0"/>
              <w:keepLines w:val="0"/>
              <w:pageBreakBefore w:val="0"/>
              <w:widowControl/>
              <w:kinsoku/>
              <w:wordWrap/>
              <w:overflowPunct/>
              <w:topLinePunct w:val="0"/>
              <w:autoSpaceDE/>
              <w:autoSpaceDN/>
              <w:bidi w:val="0"/>
              <w:adjustRightInd w:val="0"/>
              <w:snapToGrid w:val="0"/>
              <w:spacing w:line="280" w:lineRule="exact"/>
              <w:jc w:val="center"/>
              <w:textAlignment w:val="auto"/>
              <w:rPr>
                <w:rFonts w:ascii="Times New Roman" w:hAnsi="Times New Roman" w:eastAsia="宋体" w:cs="Times New Roman"/>
                <w:bCs/>
                <w:sz w:val="20"/>
                <w:szCs w:val="20"/>
                <w:highlight w:val="none"/>
              </w:rPr>
            </w:pPr>
            <w:r>
              <w:rPr>
                <w:rFonts w:hint="eastAsia" w:ascii="Times New Roman" w:hAnsi="Times New Roman" w:eastAsia="宋体" w:cs="Times New Roman"/>
                <w:bCs/>
                <w:sz w:val="20"/>
                <w:szCs w:val="20"/>
                <w:highlight w:val="none"/>
              </w:rPr>
              <w:t>1</w:t>
            </w:r>
          </w:p>
        </w:tc>
        <w:tc>
          <w:tcPr>
            <w:tcW w:w="527" w:type="pct"/>
            <w:tcBorders>
              <w:tl2br w:val="nil"/>
              <w:tr2bl w:val="nil"/>
            </w:tcBorders>
            <w:vAlign w:val="center"/>
          </w:tcPr>
          <w:p w14:paraId="09F44E72">
            <w:pPr>
              <w:keepNext w:val="0"/>
              <w:keepLines w:val="0"/>
              <w:pageBreakBefore w:val="0"/>
              <w:kinsoku/>
              <w:wordWrap/>
              <w:overflowPunct/>
              <w:topLinePunct w:val="0"/>
              <w:autoSpaceDE/>
              <w:autoSpaceDN/>
              <w:bidi w:val="0"/>
              <w:snapToGrid w:val="0"/>
              <w:spacing w:line="280" w:lineRule="exact"/>
              <w:jc w:val="center"/>
              <w:textAlignment w:val="auto"/>
              <w:rPr>
                <w:rFonts w:ascii="Times New Roman" w:hAnsi="Times New Roman" w:eastAsia="宋体" w:cs="Times New Roman"/>
                <w:bCs/>
                <w:sz w:val="20"/>
                <w:szCs w:val="20"/>
                <w:highlight w:val="none"/>
              </w:rPr>
            </w:pPr>
            <w:r>
              <w:rPr>
                <w:rStyle w:val="22"/>
                <w:rFonts w:hint="eastAsia" w:ascii="Times New Roman" w:hAnsi="Times New Roman" w:eastAsia="宋体" w:cs="Times New Roman"/>
                <w:bCs/>
                <w:sz w:val="20"/>
                <w:szCs w:val="20"/>
                <w:highlight w:val="none"/>
              </w:rPr>
              <w:t>企业实力和业绩</w:t>
            </w:r>
          </w:p>
        </w:tc>
        <w:tc>
          <w:tcPr>
            <w:tcW w:w="3435" w:type="pct"/>
            <w:tcBorders>
              <w:tl2br w:val="nil"/>
              <w:tr2bl w:val="nil"/>
            </w:tcBorders>
            <w:vAlign w:val="center"/>
          </w:tcPr>
          <w:p w14:paraId="3C0F66A2">
            <w:pPr>
              <w:keepNext w:val="0"/>
              <w:keepLines w:val="0"/>
              <w:pageBreakBefore w:val="0"/>
              <w:widowControl/>
              <w:shd w:val="clear" w:color="auto" w:fill="FFFFFF"/>
              <w:kinsoku/>
              <w:wordWrap/>
              <w:overflowPunct/>
              <w:topLinePunct w:val="0"/>
              <w:autoSpaceDE/>
              <w:autoSpaceDN/>
              <w:bidi w:val="0"/>
              <w:spacing w:line="280" w:lineRule="exact"/>
              <w:ind w:firstLine="32"/>
              <w:jc w:val="both"/>
              <w:textAlignment w:val="auto"/>
              <w:rPr>
                <w:rFonts w:hint="eastAsia" w:ascii="Times New Roman" w:hAnsi="Times New Roman" w:eastAsia="宋体" w:cs="Times New Roman"/>
                <w:bCs/>
                <w:sz w:val="20"/>
                <w:szCs w:val="20"/>
                <w:highlight w:val="none"/>
              </w:rPr>
            </w:pPr>
            <w:r>
              <w:rPr>
                <w:rFonts w:hint="eastAsia" w:ascii="Times New Roman" w:hAnsi="Times New Roman" w:eastAsia="宋体" w:cs="Times New Roman"/>
                <w:b/>
                <w:bCs w:val="0"/>
                <w:color w:val="000000"/>
                <w:sz w:val="20"/>
                <w:szCs w:val="20"/>
                <w:highlight w:val="none"/>
                <w:lang w:val="en-US" w:eastAsia="zh-CN"/>
              </w:rPr>
              <w:t>评审标准：标人提供在近三年（投标截止时间前三年，即2023，2024，2025年）完成的具有类似项目的有效业绩证明，每提供一份企业团检规模达到500人以上（包含异地分支机构）的有效业绩，每提供1个得2分，上限不超过10分。</w:t>
            </w:r>
          </w:p>
          <w:p w14:paraId="4922A2E4">
            <w:pPr>
              <w:keepNext w:val="0"/>
              <w:keepLines w:val="0"/>
              <w:pageBreakBefore w:val="0"/>
              <w:widowControl/>
              <w:shd w:val="clear" w:color="auto" w:fill="FFFFFF"/>
              <w:kinsoku/>
              <w:wordWrap/>
              <w:overflowPunct/>
              <w:topLinePunct w:val="0"/>
              <w:autoSpaceDE/>
              <w:autoSpaceDN/>
              <w:bidi w:val="0"/>
              <w:spacing w:line="280" w:lineRule="exact"/>
              <w:ind w:firstLine="32"/>
              <w:jc w:val="both"/>
              <w:textAlignment w:val="auto"/>
              <w:rPr>
                <w:rFonts w:hint="eastAsia" w:ascii="Times New Roman" w:hAnsi="Times New Roman" w:eastAsia="宋体" w:cs="Times New Roman"/>
                <w:bCs/>
                <w:sz w:val="20"/>
                <w:szCs w:val="20"/>
                <w:highlight w:val="none"/>
                <w:lang w:val="en-US" w:eastAsia="zh-CN"/>
              </w:rPr>
            </w:pPr>
            <w:r>
              <w:rPr>
                <w:rFonts w:hint="eastAsia" w:ascii="Times New Roman" w:hAnsi="Times New Roman" w:eastAsia="宋体" w:cs="Times New Roman"/>
                <w:b/>
                <w:bCs w:val="0"/>
                <w:sz w:val="20"/>
                <w:szCs w:val="20"/>
                <w:highlight w:val="none"/>
                <w:lang w:val="en-US" w:eastAsia="zh-CN"/>
              </w:rPr>
              <w:t>证明材料：</w:t>
            </w:r>
            <w:r>
              <w:rPr>
                <w:rFonts w:hint="eastAsia" w:ascii="Times New Roman" w:hAnsi="Times New Roman" w:eastAsia="宋体" w:cs="Times New Roman"/>
                <w:b w:val="0"/>
                <w:bCs/>
                <w:sz w:val="20"/>
                <w:szCs w:val="20"/>
                <w:highlight w:val="none"/>
                <w:lang w:val="en-US" w:eastAsia="zh-CN"/>
              </w:rPr>
              <w:t>提供业绩汇总表及合同关键页扫描件，根据投标人提供业绩合同关键页扫描件进行评分（要求能体现合同签订方盖章页、合同金额、合同体检人数、合同签订时间）。如提供合同未显示体检人数，提供对应结算清单的，</w:t>
            </w:r>
            <w:r>
              <w:rPr>
                <w:rFonts w:hint="eastAsia" w:ascii="Times New Roman" w:hAnsi="Times New Roman" w:eastAsia="宋体"/>
                <w:color w:val="000000"/>
                <w:sz w:val="18"/>
                <w:szCs w:val="18"/>
                <w:highlight w:val="none"/>
              </w:rPr>
              <w:t>可以作为有效佐证计入业绩</w:t>
            </w:r>
            <w:r>
              <w:rPr>
                <w:rFonts w:hint="eastAsia" w:ascii="Times New Roman" w:hAnsi="Times New Roman" w:eastAsia="宋体" w:cs="Times New Roman"/>
                <w:b w:val="0"/>
                <w:bCs/>
                <w:sz w:val="20"/>
                <w:szCs w:val="20"/>
                <w:highlight w:val="none"/>
                <w:lang w:val="en-US" w:eastAsia="zh-CN"/>
              </w:rPr>
              <w:t>，所有文件均需清晰扫描并加盖公章。“格式参见本文件“第四章 投标文件格式 格式3 业绩证明”。</w:t>
            </w:r>
          </w:p>
        </w:tc>
        <w:tc>
          <w:tcPr>
            <w:tcW w:w="708" w:type="pct"/>
            <w:tcBorders>
              <w:tl2br w:val="nil"/>
              <w:tr2bl w:val="nil"/>
            </w:tcBorders>
            <w:vAlign w:val="center"/>
          </w:tcPr>
          <w:p w14:paraId="286340DA">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Times New Roman" w:hAnsi="Times New Roman" w:eastAsia="宋体" w:cs="Times New Roman"/>
                <w:bCs/>
                <w:szCs w:val="21"/>
                <w:highlight w:val="none"/>
              </w:rPr>
            </w:pPr>
            <w:r>
              <w:rPr>
                <w:rFonts w:hint="eastAsia" w:ascii="Times New Roman" w:hAnsi="Times New Roman" w:eastAsia="宋体" w:cs="Times New Roman"/>
                <w:bCs/>
                <w:szCs w:val="21"/>
                <w:highlight w:val="none"/>
              </w:rPr>
              <w:t>10分</w:t>
            </w:r>
          </w:p>
        </w:tc>
      </w:tr>
      <w:tr w14:paraId="6BE8D6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530" w:hRule="atLeast"/>
          <w:jc w:val="center"/>
        </w:trPr>
        <w:tc>
          <w:tcPr>
            <w:tcW w:w="328" w:type="pct"/>
            <w:tcBorders>
              <w:tl2br w:val="nil"/>
              <w:tr2bl w:val="nil"/>
            </w:tcBorders>
            <w:vAlign w:val="center"/>
          </w:tcPr>
          <w:p w14:paraId="6C7519B9">
            <w:pPr>
              <w:keepNext w:val="0"/>
              <w:keepLines w:val="0"/>
              <w:pageBreakBefore w:val="0"/>
              <w:widowControl/>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z w:val="20"/>
                <w:szCs w:val="20"/>
                <w:highlight w:val="none"/>
                <w:lang w:val="en-US" w:eastAsia="zh-CN"/>
              </w:rPr>
            </w:pPr>
            <w:r>
              <w:rPr>
                <w:rFonts w:hint="eastAsia" w:ascii="Times New Roman" w:hAnsi="Times New Roman" w:eastAsia="宋体" w:cs="Times New Roman"/>
                <w:bCs/>
                <w:sz w:val="20"/>
                <w:szCs w:val="20"/>
                <w:highlight w:val="none"/>
                <w:lang w:val="en-US" w:eastAsia="zh-CN"/>
              </w:rPr>
              <w:t>2</w:t>
            </w:r>
          </w:p>
        </w:tc>
        <w:tc>
          <w:tcPr>
            <w:tcW w:w="527" w:type="pct"/>
            <w:tcBorders>
              <w:tl2br w:val="nil"/>
              <w:tr2bl w:val="nil"/>
            </w:tcBorders>
            <w:vAlign w:val="center"/>
          </w:tcPr>
          <w:p w14:paraId="624B3A63">
            <w:pPr>
              <w:keepNext w:val="0"/>
              <w:keepLines w:val="0"/>
              <w:pageBreakBefore w:val="0"/>
              <w:kinsoku/>
              <w:wordWrap/>
              <w:overflowPunct/>
              <w:topLinePunct w:val="0"/>
              <w:autoSpaceDE/>
              <w:autoSpaceDN/>
              <w:bidi w:val="0"/>
              <w:snapToGrid w:val="0"/>
              <w:spacing w:line="280" w:lineRule="exact"/>
              <w:jc w:val="center"/>
              <w:textAlignment w:val="auto"/>
              <w:rPr>
                <w:rStyle w:val="22"/>
                <w:rFonts w:hint="eastAsia" w:ascii="Times New Roman" w:hAnsi="Times New Roman" w:eastAsia="宋体" w:cs="Times New Roman"/>
                <w:bCs/>
                <w:sz w:val="20"/>
                <w:szCs w:val="20"/>
                <w:highlight w:val="none"/>
              </w:rPr>
            </w:pPr>
            <w:r>
              <w:rPr>
                <w:rStyle w:val="22"/>
                <w:rFonts w:hint="eastAsia" w:ascii="Times New Roman" w:hAnsi="Times New Roman" w:eastAsia="宋体" w:cs="Times New Roman"/>
                <w:bCs/>
                <w:sz w:val="20"/>
                <w:szCs w:val="20"/>
                <w:highlight w:val="none"/>
              </w:rPr>
              <w:t>体检项目</w:t>
            </w:r>
            <w:r>
              <w:rPr>
                <w:rStyle w:val="22"/>
                <w:rFonts w:hint="eastAsia" w:ascii="Times New Roman" w:hAnsi="Times New Roman" w:eastAsia="宋体" w:cs="Times New Roman"/>
                <w:bCs/>
                <w:sz w:val="20"/>
                <w:szCs w:val="20"/>
                <w:highlight w:val="none"/>
                <w:lang w:val="en-US" w:eastAsia="zh-CN"/>
              </w:rPr>
              <w:t>先进性、</w:t>
            </w:r>
            <w:r>
              <w:rPr>
                <w:rStyle w:val="22"/>
                <w:rFonts w:hint="eastAsia" w:ascii="Times New Roman" w:hAnsi="Times New Roman" w:eastAsia="宋体" w:cs="Times New Roman"/>
                <w:bCs/>
                <w:sz w:val="20"/>
                <w:szCs w:val="20"/>
                <w:highlight w:val="none"/>
              </w:rPr>
              <w:t>丰富性</w:t>
            </w:r>
          </w:p>
        </w:tc>
        <w:tc>
          <w:tcPr>
            <w:tcW w:w="3435" w:type="pct"/>
            <w:tcBorders>
              <w:tl2br w:val="nil"/>
              <w:tr2bl w:val="nil"/>
            </w:tcBorders>
            <w:vAlign w:val="center"/>
          </w:tcPr>
          <w:p w14:paraId="767C4372">
            <w:pPr>
              <w:keepNext w:val="0"/>
              <w:keepLines w:val="0"/>
              <w:pageBreakBefore w:val="0"/>
              <w:widowControl/>
              <w:kinsoku/>
              <w:wordWrap/>
              <w:overflowPunct/>
              <w:topLinePunct w:val="0"/>
              <w:autoSpaceDE/>
              <w:autoSpaceDN/>
              <w:bidi w:val="0"/>
              <w:spacing w:line="280" w:lineRule="exact"/>
              <w:jc w:val="both"/>
              <w:textAlignment w:val="auto"/>
              <w:rPr>
                <w:rFonts w:hint="eastAsia" w:ascii="Times New Roman" w:hAnsi="Times New Roman" w:eastAsia="宋体" w:cs="Times New Roman"/>
                <w:bCs/>
                <w:sz w:val="20"/>
                <w:szCs w:val="20"/>
                <w:highlight w:val="none"/>
              </w:rPr>
            </w:pPr>
            <w:r>
              <w:rPr>
                <w:rFonts w:hint="eastAsia" w:ascii="Times New Roman" w:hAnsi="Times New Roman" w:eastAsia="宋体" w:cs="Times New Roman"/>
                <w:b/>
                <w:bCs w:val="0"/>
                <w:sz w:val="20"/>
                <w:szCs w:val="20"/>
                <w:highlight w:val="none"/>
                <w:lang w:val="en-US" w:eastAsia="zh-CN"/>
              </w:rPr>
              <w:t>评审标准：</w:t>
            </w:r>
            <w:r>
              <w:rPr>
                <w:rFonts w:hint="eastAsia" w:ascii="Times New Roman" w:hAnsi="Times New Roman" w:eastAsia="宋体" w:cs="Times New Roman"/>
                <w:bCs/>
                <w:sz w:val="20"/>
                <w:szCs w:val="20"/>
                <w:highlight w:val="none"/>
              </w:rPr>
              <w:t>以招标文件要求的</w:t>
            </w:r>
            <w:r>
              <w:rPr>
                <w:rFonts w:hint="eastAsia" w:ascii="Times New Roman" w:hAnsi="Times New Roman" w:eastAsia="宋体" w:cs="Times New Roman"/>
                <w:bCs/>
                <w:sz w:val="20"/>
                <w:szCs w:val="20"/>
                <w:highlight w:val="none"/>
                <w:lang w:val="en-US" w:eastAsia="zh-CN"/>
              </w:rPr>
              <w:t>体检套餐</w:t>
            </w:r>
            <w:r>
              <w:rPr>
                <w:rFonts w:hint="eastAsia" w:ascii="Times New Roman" w:hAnsi="Times New Roman" w:eastAsia="宋体" w:cs="Times New Roman"/>
                <w:bCs/>
                <w:sz w:val="20"/>
                <w:szCs w:val="20"/>
                <w:highlight w:val="none"/>
              </w:rPr>
              <w:t>基准项目为标准，</w:t>
            </w:r>
          </w:p>
          <w:p w14:paraId="77D1F2FC">
            <w:pPr>
              <w:keepNext w:val="0"/>
              <w:keepLines w:val="0"/>
              <w:pageBreakBefore w:val="0"/>
              <w:widowControl/>
              <w:numPr>
                <w:ilvl w:val="0"/>
                <w:numId w:val="8"/>
              </w:numPr>
              <w:kinsoku/>
              <w:wordWrap/>
              <w:overflowPunct/>
              <w:topLinePunct w:val="0"/>
              <w:autoSpaceDE/>
              <w:autoSpaceDN/>
              <w:bidi w:val="0"/>
              <w:adjustRightInd/>
              <w:snapToGrid/>
              <w:spacing w:line="280" w:lineRule="exact"/>
              <w:ind w:firstLine="400" w:firstLineChars="200"/>
              <w:jc w:val="both"/>
              <w:textAlignment w:val="auto"/>
              <w:rPr>
                <w:rFonts w:hint="eastAsia" w:ascii="Times New Roman" w:hAnsi="Times New Roman" w:eastAsia="宋体" w:cs="Times New Roman"/>
                <w:bCs/>
                <w:sz w:val="20"/>
                <w:szCs w:val="20"/>
                <w:highlight w:val="none"/>
              </w:rPr>
            </w:pPr>
            <w:r>
              <w:rPr>
                <w:rFonts w:hint="eastAsia" w:ascii="Times New Roman" w:hAnsi="Times New Roman" w:eastAsia="宋体" w:cs="Times New Roman"/>
                <w:bCs/>
                <w:sz w:val="20"/>
                <w:szCs w:val="20"/>
                <w:highlight w:val="none"/>
                <w:lang w:val="en-US" w:eastAsia="zh-CN"/>
              </w:rPr>
              <w:t>投标人</w:t>
            </w:r>
            <w:r>
              <w:rPr>
                <w:rFonts w:hint="eastAsia" w:ascii="Times New Roman" w:hAnsi="Times New Roman" w:eastAsia="宋体" w:cs="Times New Roman"/>
                <w:bCs/>
                <w:sz w:val="20"/>
                <w:szCs w:val="20"/>
                <w:highlight w:val="none"/>
              </w:rPr>
              <w:t>在</w:t>
            </w:r>
            <w:r>
              <w:rPr>
                <w:rFonts w:hint="eastAsia" w:ascii="Times New Roman" w:hAnsi="Times New Roman" w:eastAsia="宋体" w:cs="Times New Roman"/>
                <w:bCs/>
                <w:sz w:val="20"/>
                <w:szCs w:val="20"/>
                <w:highlight w:val="none"/>
                <w:lang w:val="en-US" w:eastAsia="zh-CN"/>
              </w:rPr>
              <w:t>对应体检</w:t>
            </w:r>
            <w:r>
              <w:rPr>
                <w:rFonts w:hint="eastAsia" w:ascii="Times New Roman" w:hAnsi="Times New Roman" w:eastAsia="宋体" w:cs="Times New Roman"/>
                <w:bCs/>
                <w:sz w:val="20"/>
                <w:szCs w:val="20"/>
                <w:highlight w:val="none"/>
              </w:rPr>
              <w:t>项目上</w:t>
            </w:r>
            <w:r>
              <w:rPr>
                <w:rFonts w:hint="eastAsia" w:ascii="Times New Roman" w:hAnsi="Times New Roman" w:eastAsia="宋体" w:cs="Times New Roman"/>
                <w:bCs/>
                <w:sz w:val="20"/>
                <w:szCs w:val="20"/>
                <w:highlight w:val="none"/>
                <w:lang w:val="en-US" w:eastAsia="zh-CN"/>
              </w:rPr>
              <w:t>有技术更新得需于投标文件格式4提升优化处进行说明，简要说明技术更新要点及对体检提升的作用，</w:t>
            </w:r>
            <w:r>
              <w:rPr>
                <w:rFonts w:hint="eastAsia" w:ascii="Times New Roman" w:hAnsi="Times New Roman" w:eastAsia="宋体" w:cs="Times New Roman"/>
                <w:bCs/>
                <w:sz w:val="20"/>
                <w:szCs w:val="20"/>
                <w:highlight w:val="none"/>
              </w:rPr>
              <w:t>每提供1项加</w:t>
            </w:r>
            <w:r>
              <w:rPr>
                <w:rFonts w:hint="eastAsia" w:ascii="Times New Roman" w:hAnsi="Times New Roman" w:eastAsia="宋体" w:cs="Times New Roman"/>
                <w:bCs/>
                <w:sz w:val="20"/>
                <w:szCs w:val="20"/>
                <w:highlight w:val="none"/>
                <w:lang w:val="en-US" w:eastAsia="zh-CN"/>
              </w:rPr>
              <w:t>2</w:t>
            </w:r>
            <w:r>
              <w:rPr>
                <w:rFonts w:hint="eastAsia" w:ascii="Times New Roman" w:hAnsi="Times New Roman" w:eastAsia="宋体" w:cs="Times New Roman"/>
                <w:bCs/>
                <w:sz w:val="20"/>
                <w:szCs w:val="20"/>
                <w:highlight w:val="none"/>
              </w:rPr>
              <w:t>分</w:t>
            </w:r>
            <w:r>
              <w:rPr>
                <w:rFonts w:hint="eastAsia" w:ascii="Times New Roman" w:hAnsi="Times New Roman" w:eastAsia="宋体" w:cs="Times New Roman"/>
                <w:bCs/>
                <w:sz w:val="20"/>
                <w:szCs w:val="20"/>
                <w:highlight w:val="none"/>
                <w:lang w:eastAsia="zh-CN"/>
              </w:rPr>
              <w:t>，</w:t>
            </w:r>
            <w:r>
              <w:rPr>
                <w:rFonts w:hint="eastAsia" w:ascii="Times New Roman" w:hAnsi="Times New Roman" w:eastAsia="宋体" w:cs="Times New Roman"/>
                <w:bCs/>
                <w:sz w:val="20"/>
                <w:szCs w:val="20"/>
                <w:highlight w:val="none"/>
                <w:lang w:val="en-US" w:eastAsia="zh-CN"/>
              </w:rPr>
              <w:t>最高分不超过6分。</w:t>
            </w:r>
          </w:p>
          <w:p w14:paraId="7F96B0C0">
            <w:pPr>
              <w:keepNext w:val="0"/>
              <w:keepLines w:val="0"/>
              <w:pageBreakBefore w:val="0"/>
              <w:widowControl/>
              <w:numPr>
                <w:ilvl w:val="0"/>
                <w:numId w:val="8"/>
              </w:numPr>
              <w:kinsoku/>
              <w:wordWrap/>
              <w:overflowPunct/>
              <w:topLinePunct w:val="0"/>
              <w:autoSpaceDE/>
              <w:autoSpaceDN/>
              <w:bidi w:val="0"/>
              <w:adjustRightInd/>
              <w:snapToGrid/>
              <w:spacing w:line="280" w:lineRule="exact"/>
              <w:ind w:firstLine="400" w:firstLineChars="200"/>
              <w:jc w:val="both"/>
              <w:textAlignment w:val="auto"/>
              <w:rPr>
                <w:rFonts w:hint="eastAsia" w:ascii="Times New Roman" w:hAnsi="Times New Roman" w:eastAsia="宋体" w:cs="Times New Roman"/>
                <w:bCs/>
                <w:sz w:val="20"/>
                <w:szCs w:val="20"/>
                <w:highlight w:val="none"/>
              </w:rPr>
            </w:pPr>
            <w:r>
              <w:rPr>
                <w:rFonts w:hint="eastAsia" w:ascii="Times New Roman" w:hAnsi="Times New Roman" w:eastAsia="宋体" w:cs="Times New Roman"/>
                <w:bCs/>
                <w:sz w:val="20"/>
                <w:szCs w:val="20"/>
                <w:highlight w:val="none"/>
                <w:lang w:val="en-US" w:eastAsia="zh-CN"/>
              </w:rPr>
              <w:t>投标人在</w:t>
            </w:r>
            <w:r>
              <w:rPr>
                <w:rFonts w:hint="eastAsia" w:ascii="Times New Roman" w:hAnsi="Times New Roman" w:eastAsia="宋体" w:cs="Times New Roman"/>
                <w:bCs/>
                <w:sz w:val="20"/>
                <w:szCs w:val="20"/>
                <w:highlight w:val="none"/>
              </w:rPr>
              <w:t>原</w:t>
            </w:r>
            <w:r>
              <w:rPr>
                <w:rFonts w:hint="eastAsia" w:ascii="Times New Roman" w:hAnsi="Times New Roman" w:eastAsia="宋体" w:cs="Times New Roman"/>
                <w:bCs/>
                <w:sz w:val="20"/>
                <w:szCs w:val="20"/>
                <w:highlight w:val="none"/>
                <w:lang w:val="en-US" w:eastAsia="zh-CN"/>
              </w:rPr>
              <w:t>体检套餐</w:t>
            </w:r>
            <w:r>
              <w:rPr>
                <w:rFonts w:hint="eastAsia" w:ascii="Times New Roman" w:hAnsi="Times New Roman" w:eastAsia="宋体" w:cs="Times New Roman"/>
                <w:bCs/>
                <w:sz w:val="20"/>
                <w:szCs w:val="20"/>
                <w:highlight w:val="none"/>
              </w:rPr>
              <w:t>基准项目以外新增1个检查项目的，</w:t>
            </w:r>
            <w:r>
              <w:rPr>
                <w:rFonts w:hint="eastAsia" w:ascii="Times New Roman" w:hAnsi="Times New Roman" w:eastAsia="宋体" w:cs="Times New Roman"/>
                <w:bCs/>
                <w:sz w:val="20"/>
                <w:szCs w:val="20"/>
                <w:highlight w:val="none"/>
                <w:lang w:val="en-US" w:eastAsia="zh-CN"/>
              </w:rPr>
              <w:t>每</w:t>
            </w:r>
            <w:r>
              <w:rPr>
                <w:rFonts w:hint="eastAsia" w:ascii="Times New Roman" w:hAnsi="Times New Roman" w:eastAsia="宋体" w:cs="Times New Roman"/>
                <w:bCs/>
                <w:sz w:val="20"/>
                <w:szCs w:val="20"/>
                <w:highlight w:val="none"/>
              </w:rPr>
              <w:t>新增1项加</w:t>
            </w:r>
            <w:r>
              <w:rPr>
                <w:rFonts w:hint="eastAsia" w:ascii="Times New Roman" w:hAnsi="Times New Roman" w:eastAsia="宋体" w:cs="Times New Roman"/>
                <w:bCs/>
                <w:sz w:val="20"/>
                <w:szCs w:val="20"/>
                <w:highlight w:val="none"/>
                <w:lang w:val="en-US" w:eastAsia="zh-CN"/>
              </w:rPr>
              <w:t>3</w:t>
            </w:r>
            <w:r>
              <w:rPr>
                <w:rFonts w:hint="eastAsia" w:ascii="Times New Roman" w:hAnsi="Times New Roman" w:eastAsia="宋体" w:cs="Times New Roman"/>
                <w:bCs/>
                <w:sz w:val="20"/>
                <w:szCs w:val="20"/>
                <w:highlight w:val="none"/>
              </w:rPr>
              <w:t>分，</w:t>
            </w:r>
            <w:r>
              <w:rPr>
                <w:rFonts w:hint="eastAsia" w:ascii="Times New Roman" w:hAnsi="Times New Roman" w:eastAsia="宋体" w:cs="Times New Roman"/>
                <w:bCs/>
                <w:sz w:val="20"/>
                <w:szCs w:val="20"/>
                <w:highlight w:val="none"/>
                <w:lang w:val="en-US" w:eastAsia="zh-CN"/>
              </w:rPr>
              <w:t>最高分不</w:t>
            </w:r>
            <w:r>
              <w:rPr>
                <w:rFonts w:hint="eastAsia" w:ascii="Times New Roman" w:hAnsi="Times New Roman" w:eastAsia="宋体" w:cs="Times New Roman"/>
                <w:bCs/>
                <w:sz w:val="20"/>
                <w:szCs w:val="20"/>
                <w:highlight w:val="none"/>
              </w:rPr>
              <w:t>超过</w:t>
            </w:r>
            <w:r>
              <w:rPr>
                <w:rFonts w:hint="eastAsia" w:ascii="Times New Roman" w:hAnsi="Times New Roman" w:eastAsia="宋体" w:cs="Times New Roman"/>
                <w:bCs/>
                <w:sz w:val="20"/>
                <w:szCs w:val="20"/>
                <w:highlight w:val="none"/>
                <w:lang w:val="en-US" w:eastAsia="zh-CN"/>
              </w:rPr>
              <w:t>6</w:t>
            </w:r>
            <w:r>
              <w:rPr>
                <w:rFonts w:hint="eastAsia" w:ascii="Times New Roman" w:hAnsi="Times New Roman" w:eastAsia="宋体" w:cs="Times New Roman"/>
                <w:bCs/>
                <w:sz w:val="20"/>
                <w:szCs w:val="20"/>
                <w:highlight w:val="none"/>
              </w:rPr>
              <w:t>分。</w:t>
            </w:r>
          </w:p>
          <w:p w14:paraId="4A9F4644">
            <w:pPr>
              <w:keepNext w:val="0"/>
              <w:keepLines w:val="0"/>
              <w:pageBreakBefore w:val="0"/>
              <w:widowControl/>
              <w:kinsoku/>
              <w:wordWrap/>
              <w:overflowPunct/>
              <w:topLinePunct w:val="0"/>
              <w:autoSpaceDE/>
              <w:autoSpaceDN/>
              <w:bidi w:val="0"/>
              <w:spacing w:line="280" w:lineRule="exact"/>
              <w:jc w:val="both"/>
              <w:textAlignment w:val="auto"/>
              <w:rPr>
                <w:rFonts w:hint="eastAsia" w:ascii="Times New Roman" w:hAnsi="Times New Roman" w:eastAsia="宋体" w:cs="Times New Roman"/>
                <w:b/>
                <w:bCs w:val="0"/>
                <w:sz w:val="20"/>
                <w:szCs w:val="20"/>
                <w:highlight w:val="none"/>
                <w:lang w:val="en-US" w:eastAsia="zh-CN"/>
              </w:rPr>
            </w:pPr>
            <w:r>
              <w:rPr>
                <w:rFonts w:hint="eastAsia" w:ascii="Times New Roman" w:hAnsi="Times New Roman" w:eastAsia="宋体" w:cs="Times New Roman"/>
                <w:b/>
                <w:bCs w:val="0"/>
                <w:color w:val="000000"/>
                <w:sz w:val="20"/>
                <w:szCs w:val="20"/>
                <w:highlight w:val="none"/>
                <w:lang w:val="en-US" w:eastAsia="zh-CN"/>
              </w:rPr>
              <w:t>本项目基准体检项目详见本招标文件投标文件格式4：一、390元套餐；二、500元套餐；三、1000元套餐；四、360元套餐。</w:t>
            </w:r>
          </w:p>
        </w:tc>
        <w:tc>
          <w:tcPr>
            <w:tcW w:w="708" w:type="pct"/>
            <w:tcBorders>
              <w:tl2br w:val="nil"/>
              <w:tr2bl w:val="nil"/>
            </w:tcBorders>
            <w:vAlign w:val="center"/>
          </w:tcPr>
          <w:p w14:paraId="46C092D2">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eastAsia" w:ascii="Times New Roman" w:hAnsi="Times New Roman" w:eastAsia="宋体" w:cs="Times New Roman"/>
                <w:bCs/>
                <w:szCs w:val="21"/>
                <w:highlight w:val="none"/>
                <w:lang w:val="en-US" w:eastAsia="zh-CN"/>
              </w:rPr>
            </w:pPr>
            <w:r>
              <w:rPr>
                <w:rFonts w:hint="eastAsia" w:ascii="Times New Roman" w:hAnsi="Times New Roman" w:eastAsia="宋体" w:cs="Times New Roman"/>
                <w:bCs/>
                <w:szCs w:val="21"/>
                <w:highlight w:val="none"/>
                <w:lang w:val="en-US" w:eastAsia="zh-CN"/>
              </w:rPr>
              <w:t>12</w:t>
            </w:r>
            <w:r>
              <w:rPr>
                <w:rFonts w:hint="eastAsia" w:ascii="Times New Roman" w:hAnsi="Times New Roman" w:eastAsia="宋体" w:cs="Times New Roman"/>
                <w:bCs/>
                <w:szCs w:val="21"/>
                <w:highlight w:val="none"/>
              </w:rPr>
              <w:t>分</w:t>
            </w:r>
          </w:p>
        </w:tc>
      </w:tr>
      <w:tr w14:paraId="68FF1E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028" w:hRule="atLeast"/>
          <w:jc w:val="center"/>
        </w:trPr>
        <w:tc>
          <w:tcPr>
            <w:tcW w:w="328" w:type="pct"/>
            <w:tcBorders>
              <w:tl2br w:val="nil"/>
              <w:tr2bl w:val="nil"/>
            </w:tcBorders>
            <w:vAlign w:val="center"/>
          </w:tcPr>
          <w:p w14:paraId="729F0175">
            <w:pPr>
              <w:keepNext w:val="0"/>
              <w:keepLines w:val="0"/>
              <w:pageBreakBefore w:val="0"/>
              <w:widowControl/>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z w:val="20"/>
                <w:szCs w:val="20"/>
                <w:highlight w:val="none"/>
                <w:lang w:val="en-US" w:eastAsia="zh-CN"/>
              </w:rPr>
            </w:pPr>
            <w:r>
              <w:rPr>
                <w:rFonts w:hint="eastAsia" w:ascii="Times New Roman" w:hAnsi="Times New Roman" w:eastAsia="宋体" w:cs="Times New Roman"/>
                <w:bCs/>
                <w:sz w:val="20"/>
                <w:szCs w:val="20"/>
                <w:highlight w:val="none"/>
                <w:lang w:val="en-US" w:eastAsia="zh-CN"/>
              </w:rPr>
              <w:t>3</w:t>
            </w:r>
          </w:p>
        </w:tc>
        <w:tc>
          <w:tcPr>
            <w:tcW w:w="527" w:type="pct"/>
            <w:tcBorders>
              <w:tl2br w:val="nil"/>
              <w:tr2bl w:val="nil"/>
            </w:tcBorders>
            <w:vAlign w:val="center"/>
          </w:tcPr>
          <w:p w14:paraId="314D2D76">
            <w:pPr>
              <w:keepNext w:val="0"/>
              <w:keepLines w:val="0"/>
              <w:pageBreakBefore w:val="0"/>
              <w:kinsoku/>
              <w:wordWrap/>
              <w:overflowPunct/>
              <w:topLinePunct w:val="0"/>
              <w:autoSpaceDE/>
              <w:autoSpaceDN/>
              <w:bidi w:val="0"/>
              <w:snapToGrid w:val="0"/>
              <w:spacing w:line="260" w:lineRule="exact"/>
              <w:jc w:val="center"/>
              <w:textAlignment w:val="auto"/>
              <w:rPr>
                <w:rFonts w:hint="eastAsia" w:ascii="Times New Roman" w:hAnsi="Times New Roman" w:eastAsia="宋体" w:cstheme="minorEastAsia"/>
                <w:b w:val="0"/>
                <w:bCs/>
                <w:sz w:val="20"/>
                <w:szCs w:val="20"/>
                <w:highlight w:val="none"/>
                <w:lang w:val="en-US" w:eastAsia="zh-CN"/>
              </w:rPr>
            </w:pPr>
            <w:r>
              <w:rPr>
                <w:rFonts w:hint="eastAsia" w:ascii="Times New Roman" w:hAnsi="Times New Roman" w:eastAsia="宋体" w:cstheme="minorEastAsia"/>
                <w:b w:val="0"/>
                <w:bCs/>
                <w:sz w:val="20"/>
                <w:szCs w:val="20"/>
                <w:highlight w:val="none"/>
                <w:lang w:val="en-US" w:eastAsia="zh-CN"/>
              </w:rPr>
              <w:t>响应</w:t>
            </w:r>
          </w:p>
          <w:p w14:paraId="1912FFD5">
            <w:pPr>
              <w:keepNext w:val="0"/>
              <w:keepLines w:val="0"/>
              <w:pageBreakBefore w:val="0"/>
              <w:kinsoku/>
              <w:wordWrap/>
              <w:overflowPunct/>
              <w:topLinePunct w:val="0"/>
              <w:autoSpaceDE/>
              <w:autoSpaceDN/>
              <w:bidi w:val="0"/>
              <w:snapToGrid w:val="0"/>
              <w:spacing w:line="260" w:lineRule="exact"/>
              <w:jc w:val="center"/>
              <w:textAlignment w:val="auto"/>
              <w:rPr>
                <w:rStyle w:val="22"/>
                <w:rFonts w:hint="eastAsia" w:ascii="Times New Roman" w:hAnsi="Times New Roman" w:eastAsia="宋体" w:cs="Times New Roman"/>
                <w:bCs/>
                <w:sz w:val="20"/>
                <w:szCs w:val="20"/>
                <w:highlight w:val="none"/>
              </w:rPr>
            </w:pPr>
            <w:r>
              <w:rPr>
                <w:rFonts w:hint="eastAsia" w:ascii="Times New Roman" w:hAnsi="Times New Roman" w:eastAsia="宋体" w:cstheme="minorEastAsia"/>
                <w:b w:val="0"/>
                <w:bCs/>
                <w:sz w:val="20"/>
                <w:szCs w:val="20"/>
                <w:highlight w:val="none"/>
                <w:lang w:val="en-US" w:eastAsia="zh-CN"/>
              </w:rPr>
              <w:t>偏离</w:t>
            </w:r>
          </w:p>
        </w:tc>
        <w:tc>
          <w:tcPr>
            <w:tcW w:w="3435" w:type="pct"/>
            <w:tcBorders>
              <w:tl2br w:val="nil"/>
              <w:tr2bl w:val="nil"/>
            </w:tcBorders>
            <w:vAlign w:val="center"/>
          </w:tcPr>
          <w:p w14:paraId="79F8D9BC">
            <w:pPr>
              <w:keepNext w:val="0"/>
              <w:keepLines w:val="0"/>
              <w:pageBreakBefore w:val="0"/>
              <w:widowControl w:val="0"/>
              <w:shd w:val="clear" w:color="auto" w:fill="FFFFFF"/>
              <w:kinsoku/>
              <w:wordWrap w:val="0"/>
              <w:overflowPunct/>
              <w:topLinePunct/>
              <w:autoSpaceDE/>
              <w:autoSpaceDN/>
              <w:bidi w:val="0"/>
              <w:adjustRightInd/>
              <w:spacing w:line="280" w:lineRule="exact"/>
              <w:ind w:firstLine="0" w:firstLineChars="0"/>
              <w:jc w:val="left"/>
              <w:textAlignment w:val="auto"/>
              <w:rPr>
                <w:rFonts w:hint="eastAsia" w:ascii="Times New Roman" w:hAnsi="Times New Roman" w:eastAsia="宋体" w:cs="仿宋_GB2312"/>
                <w:bCs/>
                <w:sz w:val="20"/>
                <w:szCs w:val="20"/>
                <w:highlight w:val="none"/>
              </w:rPr>
            </w:pPr>
            <w:r>
              <w:rPr>
                <w:rFonts w:hint="eastAsia" w:ascii="Times New Roman" w:hAnsi="Times New Roman" w:eastAsia="宋体" w:cstheme="minorEastAsia"/>
                <w:b/>
                <w:bCs w:val="0"/>
                <w:sz w:val="20"/>
                <w:szCs w:val="20"/>
                <w:highlight w:val="none"/>
                <w:lang w:val="en-US" w:eastAsia="zh-CN"/>
              </w:rPr>
              <w:t>评审标准：</w:t>
            </w:r>
            <w:r>
              <w:rPr>
                <w:rFonts w:hint="eastAsia" w:ascii="Times New Roman" w:hAnsi="Times New Roman" w:eastAsia="宋体" w:cs="仿宋_GB2312"/>
                <w:bCs/>
                <w:sz w:val="20"/>
                <w:szCs w:val="20"/>
                <w:highlight w:val="none"/>
              </w:rPr>
              <w:t>根据投标人填制的《招标文件响应偏离表》实施打分，具体如下：</w:t>
            </w:r>
          </w:p>
          <w:p w14:paraId="075F11B9">
            <w:pPr>
              <w:keepNext w:val="0"/>
              <w:keepLines w:val="0"/>
              <w:pageBreakBefore w:val="0"/>
              <w:widowControl w:val="0"/>
              <w:numPr>
                <w:ilvl w:val="0"/>
                <w:numId w:val="9"/>
              </w:numPr>
              <w:shd w:val="clear" w:color="auto" w:fill="FFFFFF"/>
              <w:kinsoku/>
              <w:wordWrap w:val="0"/>
              <w:overflowPunct/>
              <w:topLinePunct/>
              <w:autoSpaceDE/>
              <w:autoSpaceDN/>
              <w:bidi w:val="0"/>
              <w:adjustRightInd/>
              <w:spacing w:line="280" w:lineRule="exact"/>
              <w:ind w:left="0" w:leftChars="0" w:firstLine="400" w:firstLineChars="200"/>
              <w:jc w:val="left"/>
              <w:textAlignment w:val="auto"/>
              <w:rPr>
                <w:rFonts w:hint="eastAsia" w:ascii="Times New Roman" w:hAnsi="Times New Roman" w:eastAsia="宋体" w:cs="仿宋_GB2312"/>
                <w:bCs/>
                <w:sz w:val="20"/>
                <w:szCs w:val="20"/>
                <w:highlight w:val="none"/>
              </w:rPr>
            </w:pPr>
            <w:r>
              <w:rPr>
                <w:rFonts w:hint="eastAsia" w:ascii="Times New Roman" w:hAnsi="Times New Roman" w:eastAsia="宋体" w:cs="仿宋_GB2312"/>
                <w:bCs/>
                <w:sz w:val="20"/>
                <w:szCs w:val="20"/>
                <w:highlight w:val="none"/>
              </w:rPr>
              <w:t>对招标文件所有内容无偏离，此项得</w:t>
            </w:r>
            <w:r>
              <w:rPr>
                <w:rFonts w:hint="eastAsia" w:ascii="Times New Roman" w:hAnsi="Times New Roman" w:eastAsia="宋体" w:cs="仿宋_GB2312"/>
                <w:bCs/>
                <w:sz w:val="20"/>
                <w:szCs w:val="20"/>
                <w:highlight w:val="none"/>
                <w:lang w:val="en-US" w:eastAsia="zh-CN"/>
              </w:rPr>
              <w:t>5</w:t>
            </w:r>
            <w:r>
              <w:rPr>
                <w:rFonts w:hint="eastAsia" w:ascii="Times New Roman" w:hAnsi="Times New Roman" w:eastAsia="宋体" w:cs="仿宋_GB2312"/>
                <w:bCs/>
                <w:sz w:val="20"/>
                <w:szCs w:val="20"/>
                <w:highlight w:val="none"/>
              </w:rPr>
              <w:t>分；</w:t>
            </w:r>
          </w:p>
          <w:p w14:paraId="44C2AB15">
            <w:pPr>
              <w:keepNext w:val="0"/>
              <w:keepLines w:val="0"/>
              <w:pageBreakBefore w:val="0"/>
              <w:widowControl w:val="0"/>
              <w:numPr>
                <w:ilvl w:val="0"/>
                <w:numId w:val="9"/>
              </w:numPr>
              <w:shd w:val="clear" w:color="auto" w:fill="FFFFFF"/>
              <w:kinsoku/>
              <w:wordWrap w:val="0"/>
              <w:overflowPunct/>
              <w:topLinePunct/>
              <w:autoSpaceDE/>
              <w:autoSpaceDN/>
              <w:bidi w:val="0"/>
              <w:adjustRightInd/>
              <w:spacing w:line="280" w:lineRule="exact"/>
              <w:ind w:left="0" w:leftChars="0" w:firstLine="400" w:firstLineChars="200"/>
              <w:jc w:val="left"/>
              <w:textAlignment w:val="auto"/>
              <w:rPr>
                <w:rFonts w:hint="eastAsia" w:ascii="Times New Roman" w:hAnsi="Times New Roman" w:eastAsia="宋体" w:cs="仿宋_GB2312"/>
                <w:bCs/>
                <w:sz w:val="20"/>
                <w:szCs w:val="20"/>
                <w:highlight w:val="none"/>
              </w:rPr>
            </w:pPr>
            <w:r>
              <w:rPr>
                <w:rFonts w:hint="eastAsia" w:ascii="Times New Roman" w:hAnsi="Times New Roman" w:eastAsia="宋体" w:cs="仿宋_GB2312"/>
                <w:bCs/>
                <w:sz w:val="20"/>
                <w:szCs w:val="20"/>
                <w:highlight w:val="none"/>
              </w:rPr>
              <w:t>每出现1项负偏离扣</w:t>
            </w:r>
            <w:r>
              <w:rPr>
                <w:rFonts w:hint="eastAsia" w:ascii="Times New Roman" w:hAnsi="Times New Roman" w:eastAsia="宋体" w:cs="仿宋_GB2312"/>
                <w:bCs/>
                <w:sz w:val="20"/>
                <w:szCs w:val="20"/>
                <w:highlight w:val="none"/>
                <w:lang w:val="en-US" w:eastAsia="zh-CN"/>
              </w:rPr>
              <w:t>2</w:t>
            </w:r>
            <w:r>
              <w:rPr>
                <w:rFonts w:hint="eastAsia" w:ascii="Times New Roman" w:hAnsi="Times New Roman" w:eastAsia="宋体" w:cs="仿宋_GB2312"/>
                <w:bCs/>
                <w:sz w:val="20"/>
                <w:szCs w:val="20"/>
                <w:highlight w:val="none"/>
              </w:rPr>
              <w:t>分，合计出现</w:t>
            </w:r>
            <w:r>
              <w:rPr>
                <w:rFonts w:hint="eastAsia" w:ascii="Times New Roman" w:hAnsi="Times New Roman" w:eastAsia="宋体" w:cs="仿宋_GB2312"/>
                <w:bCs/>
                <w:sz w:val="20"/>
                <w:szCs w:val="20"/>
                <w:highlight w:val="none"/>
                <w:lang w:val="en-US" w:eastAsia="zh-CN"/>
              </w:rPr>
              <w:t>2</w:t>
            </w:r>
            <w:r>
              <w:rPr>
                <w:rFonts w:hint="eastAsia" w:ascii="Times New Roman" w:hAnsi="Times New Roman" w:eastAsia="宋体" w:cs="仿宋_GB2312"/>
                <w:bCs/>
                <w:sz w:val="20"/>
                <w:szCs w:val="20"/>
                <w:highlight w:val="none"/>
              </w:rPr>
              <w:t>项及以上偏离，此项不得分；</w:t>
            </w:r>
          </w:p>
          <w:p w14:paraId="79ED70D4">
            <w:pPr>
              <w:keepNext w:val="0"/>
              <w:keepLines w:val="0"/>
              <w:pageBreakBefore w:val="0"/>
              <w:widowControl w:val="0"/>
              <w:numPr>
                <w:ilvl w:val="0"/>
                <w:numId w:val="9"/>
              </w:numPr>
              <w:shd w:val="clear" w:color="auto" w:fill="FFFFFF"/>
              <w:kinsoku/>
              <w:wordWrap w:val="0"/>
              <w:overflowPunct/>
              <w:topLinePunct/>
              <w:autoSpaceDE/>
              <w:autoSpaceDN/>
              <w:bidi w:val="0"/>
              <w:adjustRightInd/>
              <w:spacing w:line="280" w:lineRule="exact"/>
              <w:ind w:left="0" w:leftChars="0" w:firstLine="400" w:firstLineChars="200"/>
              <w:jc w:val="left"/>
              <w:textAlignment w:val="auto"/>
              <w:rPr>
                <w:rFonts w:hint="eastAsia" w:ascii="Times New Roman" w:hAnsi="Times New Roman" w:eastAsia="宋体" w:cs="仿宋_GB2312"/>
                <w:bCs/>
                <w:sz w:val="20"/>
                <w:szCs w:val="20"/>
                <w:highlight w:val="none"/>
              </w:rPr>
            </w:pPr>
            <w:r>
              <w:rPr>
                <w:rFonts w:hint="eastAsia" w:ascii="Times New Roman" w:hAnsi="Times New Roman" w:eastAsia="宋体" w:cs="仿宋_GB2312"/>
                <w:bCs/>
                <w:sz w:val="20"/>
                <w:szCs w:val="20"/>
                <w:highlight w:val="none"/>
              </w:rPr>
              <w:t>每出现1项正偏离加</w:t>
            </w:r>
            <w:r>
              <w:rPr>
                <w:rFonts w:hint="eastAsia" w:ascii="Times New Roman" w:hAnsi="Times New Roman" w:eastAsia="宋体" w:cs="仿宋_GB2312"/>
                <w:bCs/>
                <w:sz w:val="20"/>
                <w:szCs w:val="20"/>
                <w:highlight w:val="none"/>
                <w:lang w:val="en-US" w:eastAsia="zh-CN"/>
              </w:rPr>
              <w:t>2</w:t>
            </w:r>
            <w:r>
              <w:rPr>
                <w:rFonts w:hint="eastAsia" w:ascii="Times New Roman" w:hAnsi="Times New Roman" w:eastAsia="宋体" w:cs="仿宋_GB2312"/>
                <w:bCs/>
                <w:sz w:val="20"/>
                <w:szCs w:val="20"/>
                <w:highlight w:val="none"/>
              </w:rPr>
              <w:t>分，最高不超过</w:t>
            </w:r>
            <w:r>
              <w:rPr>
                <w:rFonts w:hint="eastAsia" w:ascii="Times New Roman" w:hAnsi="Times New Roman" w:eastAsia="宋体" w:cs="仿宋_GB2312"/>
                <w:bCs/>
                <w:sz w:val="20"/>
                <w:szCs w:val="20"/>
                <w:highlight w:val="none"/>
                <w:lang w:val="en-US" w:eastAsia="zh-CN"/>
              </w:rPr>
              <w:t>5</w:t>
            </w:r>
            <w:r>
              <w:rPr>
                <w:rFonts w:hint="eastAsia" w:ascii="Times New Roman" w:hAnsi="Times New Roman" w:eastAsia="宋体" w:cs="仿宋_GB2312"/>
                <w:bCs/>
                <w:sz w:val="20"/>
                <w:szCs w:val="20"/>
                <w:highlight w:val="none"/>
              </w:rPr>
              <w:t>分；</w:t>
            </w:r>
          </w:p>
          <w:p w14:paraId="2C0E740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Times New Roman" w:hAnsi="Times New Roman" w:eastAsia="宋体" w:cs="Times New Roman"/>
                <w:b/>
                <w:bCs w:val="0"/>
                <w:sz w:val="20"/>
                <w:szCs w:val="20"/>
                <w:highlight w:val="none"/>
                <w:lang w:val="en-US" w:eastAsia="zh-CN"/>
              </w:rPr>
            </w:pPr>
            <w:r>
              <w:rPr>
                <w:rFonts w:hint="eastAsia" w:ascii="Times New Roman" w:hAnsi="Times New Roman" w:eastAsia="宋体" w:cs="宋体"/>
                <w:b/>
                <w:bCs w:val="0"/>
                <w:sz w:val="20"/>
                <w:szCs w:val="20"/>
                <w:highlight w:val="none"/>
                <w:lang w:val="en-US" w:eastAsia="zh-CN"/>
              </w:rPr>
              <w:t>证明材料：</w:t>
            </w:r>
            <w:r>
              <w:rPr>
                <w:rFonts w:hint="eastAsia" w:ascii="Times New Roman" w:hAnsi="Times New Roman" w:eastAsia="宋体" w:cs="仿宋_GB2312"/>
                <w:b w:val="0"/>
                <w:bCs/>
                <w:sz w:val="20"/>
                <w:szCs w:val="20"/>
                <w:highlight w:val="none"/>
                <w:lang w:val="en-US" w:eastAsia="zh-CN"/>
              </w:rPr>
              <w:t>需</w:t>
            </w:r>
            <w:r>
              <w:rPr>
                <w:rFonts w:hint="eastAsia" w:ascii="Times New Roman" w:hAnsi="Times New Roman" w:eastAsia="宋体" w:cs="仿宋_GB2312"/>
                <w:b w:val="0"/>
                <w:bCs/>
                <w:sz w:val="20"/>
                <w:szCs w:val="20"/>
                <w:highlight w:val="none"/>
              </w:rPr>
              <w:t>提供</w:t>
            </w:r>
            <w:r>
              <w:rPr>
                <w:rFonts w:hint="eastAsia" w:ascii="Times New Roman" w:hAnsi="Times New Roman" w:eastAsia="宋体" w:cs="仿宋_GB2312"/>
                <w:bCs/>
                <w:sz w:val="20"/>
                <w:szCs w:val="20"/>
                <w:highlight w:val="none"/>
              </w:rPr>
              <w:t>的加盖投标人公章的</w:t>
            </w:r>
            <w:r>
              <w:rPr>
                <w:rFonts w:hint="eastAsia" w:ascii="Times New Roman" w:hAnsi="Times New Roman" w:eastAsia="宋体" w:cs="仿宋_GB2312"/>
                <w:bCs/>
                <w:sz w:val="20"/>
                <w:szCs w:val="20"/>
                <w:highlight w:val="none"/>
                <w:lang w:eastAsia="zh-CN"/>
              </w:rPr>
              <w:t>《</w:t>
            </w:r>
            <w:r>
              <w:rPr>
                <w:rFonts w:hint="eastAsia" w:ascii="Times New Roman" w:hAnsi="Times New Roman" w:eastAsia="宋体" w:cs="仿宋_GB2312"/>
                <w:bCs/>
                <w:sz w:val="20"/>
                <w:szCs w:val="20"/>
                <w:highlight w:val="none"/>
                <w:lang w:val="en-US" w:eastAsia="zh-CN"/>
              </w:rPr>
              <w:t>招标文件响应偏离表</w:t>
            </w:r>
            <w:r>
              <w:rPr>
                <w:rFonts w:hint="eastAsia" w:ascii="Times New Roman" w:hAnsi="Times New Roman" w:eastAsia="宋体" w:cs="仿宋_GB2312"/>
                <w:bCs/>
                <w:sz w:val="20"/>
                <w:szCs w:val="20"/>
                <w:highlight w:val="none"/>
                <w:lang w:eastAsia="zh-CN"/>
              </w:rPr>
              <w:t>》</w:t>
            </w:r>
            <w:r>
              <w:rPr>
                <w:rFonts w:hint="eastAsia" w:ascii="Times New Roman" w:hAnsi="Times New Roman" w:eastAsia="宋体" w:cs="仿宋_GB2312"/>
                <w:bCs/>
                <w:sz w:val="20"/>
                <w:szCs w:val="20"/>
                <w:highlight w:val="none"/>
                <w:lang w:val="en-US" w:eastAsia="zh-CN"/>
              </w:rPr>
              <w:t>作为评审依据。</w:t>
            </w:r>
            <w:r>
              <w:rPr>
                <w:rFonts w:hint="eastAsia" w:ascii="Times New Roman" w:hAnsi="Times New Roman" w:eastAsia="宋体" w:cs="仿宋_GB2312"/>
                <w:b w:val="0"/>
                <w:bCs/>
                <w:smallCaps w:val="0"/>
                <w:color w:val="auto"/>
                <w:sz w:val="20"/>
                <w:szCs w:val="20"/>
                <w:highlight w:val="none"/>
                <w:lang w:val="en-US" w:eastAsia="zh-CN"/>
              </w:rPr>
              <w:t xml:space="preserve">“格式参见本招标文件“第四章 投标文件格式 格式4 </w:t>
            </w:r>
            <w:r>
              <w:rPr>
                <w:rFonts w:hint="eastAsia" w:ascii="Times New Roman" w:hAnsi="Times New Roman" w:eastAsia="宋体" w:cs="仿宋_GB2312"/>
                <w:bCs/>
                <w:sz w:val="20"/>
                <w:szCs w:val="20"/>
                <w:highlight w:val="none"/>
                <w:lang w:val="en-US" w:eastAsia="zh-CN"/>
              </w:rPr>
              <w:t>招标文件响应情况偏离表</w:t>
            </w:r>
            <w:r>
              <w:rPr>
                <w:rFonts w:hint="eastAsia" w:ascii="Times New Roman" w:hAnsi="Times New Roman" w:eastAsia="宋体" w:cs="仿宋_GB2312"/>
                <w:b w:val="0"/>
                <w:bCs/>
                <w:smallCaps w:val="0"/>
                <w:color w:val="auto"/>
                <w:sz w:val="20"/>
                <w:szCs w:val="20"/>
                <w:highlight w:val="none"/>
                <w:lang w:val="en-US" w:eastAsia="zh-CN"/>
              </w:rPr>
              <w:t>”</w:t>
            </w:r>
            <w:r>
              <w:rPr>
                <w:rFonts w:hint="eastAsia" w:ascii="Times New Roman" w:hAnsi="Times New Roman" w:eastAsia="宋体" w:cstheme="minorEastAsia"/>
                <w:b w:val="0"/>
                <w:bCs/>
                <w:smallCaps w:val="0"/>
                <w:color w:val="auto"/>
                <w:sz w:val="20"/>
                <w:szCs w:val="20"/>
                <w:highlight w:val="none"/>
                <w:lang w:val="en-US" w:eastAsia="zh-CN"/>
              </w:rPr>
              <w:t>。</w:t>
            </w:r>
          </w:p>
        </w:tc>
        <w:tc>
          <w:tcPr>
            <w:tcW w:w="708" w:type="pct"/>
            <w:tcBorders>
              <w:tl2br w:val="nil"/>
              <w:tr2bl w:val="nil"/>
            </w:tcBorders>
            <w:vAlign w:val="center"/>
          </w:tcPr>
          <w:p w14:paraId="1C4851BB">
            <w:pPr>
              <w:keepNext w:val="0"/>
              <w:keepLines w:val="0"/>
              <w:pageBreakBefore w:val="0"/>
              <w:kinsoku/>
              <w:wordWrap/>
              <w:overflowPunct/>
              <w:topLinePunct w:val="0"/>
              <w:autoSpaceDE/>
              <w:autoSpaceDN/>
              <w:bidi w:val="0"/>
              <w:adjustRightInd w:val="0"/>
              <w:snapToGrid w:val="0"/>
              <w:spacing w:line="260" w:lineRule="exact"/>
              <w:jc w:val="center"/>
              <w:textAlignment w:val="auto"/>
              <w:rPr>
                <w:rFonts w:hint="eastAsia" w:ascii="Times New Roman" w:hAnsi="Times New Roman" w:eastAsia="宋体" w:cs="Times New Roman"/>
                <w:bCs/>
                <w:szCs w:val="21"/>
                <w:highlight w:val="none"/>
                <w:lang w:val="en-US" w:eastAsia="zh-CN"/>
              </w:rPr>
            </w:pPr>
            <w:r>
              <w:rPr>
                <w:rFonts w:hint="eastAsia" w:ascii="Times New Roman" w:hAnsi="Times New Roman" w:eastAsia="宋体" w:cstheme="minorEastAsia"/>
                <w:b w:val="0"/>
                <w:bCs/>
                <w:sz w:val="20"/>
                <w:szCs w:val="20"/>
                <w:highlight w:val="none"/>
                <w:lang w:val="en-US" w:eastAsia="zh-CN"/>
              </w:rPr>
              <w:t>10分</w:t>
            </w:r>
          </w:p>
        </w:tc>
      </w:tr>
      <w:tr w14:paraId="16FDBD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436" w:hRule="atLeast"/>
          <w:jc w:val="center"/>
        </w:trPr>
        <w:tc>
          <w:tcPr>
            <w:tcW w:w="328" w:type="pct"/>
            <w:tcBorders>
              <w:tl2br w:val="nil"/>
              <w:tr2bl w:val="nil"/>
            </w:tcBorders>
            <w:vAlign w:val="center"/>
          </w:tcPr>
          <w:p w14:paraId="3D0AA2F9">
            <w:pPr>
              <w:keepNext w:val="0"/>
              <w:keepLines w:val="0"/>
              <w:pageBreakBefore w:val="0"/>
              <w:widowControl/>
              <w:kinsoku/>
              <w:wordWrap/>
              <w:overflowPunct/>
              <w:topLinePunct w:val="0"/>
              <w:autoSpaceDE/>
              <w:autoSpaceDN/>
              <w:bidi w:val="0"/>
              <w:adjustRightInd w:val="0"/>
              <w:snapToGrid w:val="0"/>
              <w:spacing w:line="280" w:lineRule="exact"/>
              <w:jc w:val="center"/>
              <w:textAlignment w:val="auto"/>
              <w:rPr>
                <w:rFonts w:hint="eastAsia" w:ascii="Times New Roman" w:hAnsi="Times New Roman" w:eastAsia="宋体" w:cs="Times New Roman"/>
                <w:bCs/>
                <w:sz w:val="20"/>
                <w:szCs w:val="20"/>
                <w:highlight w:val="none"/>
                <w:lang w:val="en-US" w:eastAsia="zh-CN"/>
              </w:rPr>
            </w:pPr>
            <w:r>
              <w:rPr>
                <w:rFonts w:hint="eastAsia" w:ascii="Times New Roman" w:hAnsi="Times New Roman" w:eastAsia="宋体" w:cs="Times New Roman"/>
                <w:bCs/>
                <w:sz w:val="20"/>
                <w:szCs w:val="20"/>
                <w:highlight w:val="none"/>
                <w:lang w:val="en-US" w:eastAsia="zh-CN"/>
              </w:rPr>
              <w:t>4</w:t>
            </w:r>
          </w:p>
        </w:tc>
        <w:tc>
          <w:tcPr>
            <w:tcW w:w="527" w:type="pct"/>
            <w:tcBorders>
              <w:tl2br w:val="nil"/>
              <w:tr2bl w:val="nil"/>
            </w:tcBorders>
            <w:vAlign w:val="center"/>
          </w:tcPr>
          <w:p w14:paraId="4F8AD575">
            <w:pPr>
              <w:keepNext w:val="0"/>
              <w:keepLines w:val="0"/>
              <w:pageBreakBefore w:val="0"/>
              <w:kinsoku/>
              <w:wordWrap/>
              <w:overflowPunct/>
              <w:topLinePunct w:val="0"/>
              <w:autoSpaceDE/>
              <w:autoSpaceDN/>
              <w:bidi w:val="0"/>
              <w:snapToGrid w:val="0"/>
              <w:spacing w:line="280" w:lineRule="exact"/>
              <w:jc w:val="center"/>
              <w:textAlignment w:val="auto"/>
              <w:rPr>
                <w:rFonts w:hint="default" w:ascii="Times New Roman" w:hAnsi="Times New Roman" w:eastAsia="宋体" w:cstheme="minorEastAsia"/>
                <w:b w:val="0"/>
                <w:bCs/>
                <w:sz w:val="20"/>
                <w:szCs w:val="20"/>
                <w:highlight w:val="none"/>
                <w:lang w:val="en-US" w:eastAsia="zh-CN"/>
              </w:rPr>
            </w:pPr>
            <w:r>
              <w:rPr>
                <w:rFonts w:hint="eastAsia" w:ascii="Times New Roman" w:hAnsi="Times New Roman" w:eastAsia="宋体" w:cs="Times New Roman"/>
                <w:bCs/>
                <w:sz w:val="20"/>
                <w:szCs w:val="20"/>
                <w:highlight w:val="none"/>
                <w:lang w:val="en-US" w:eastAsia="zh-CN"/>
              </w:rPr>
              <w:t>体检门诊机构情况</w:t>
            </w:r>
          </w:p>
        </w:tc>
        <w:tc>
          <w:tcPr>
            <w:tcW w:w="3435" w:type="pct"/>
            <w:tcBorders>
              <w:tl2br w:val="nil"/>
              <w:tr2bl w:val="nil"/>
            </w:tcBorders>
            <w:vAlign w:val="center"/>
          </w:tcPr>
          <w:p w14:paraId="257F0A22">
            <w:pPr>
              <w:keepNext w:val="0"/>
              <w:keepLines w:val="0"/>
              <w:pageBreakBefore w:val="0"/>
              <w:widowControl/>
              <w:shd w:val="clear" w:color="auto" w:fill="FFFFFF"/>
              <w:kinsoku/>
              <w:wordWrap/>
              <w:overflowPunct/>
              <w:topLinePunct w:val="0"/>
              <w:autoSpaceDE/>
              <w:autoSpaceDN/>
              <w:bidi w:val="0"/>
              <w:spacing w:line="280" w:lineRule="exact"/>
              <w:ind w:firstLine="32"/>
              <w:jc w:val="both"/>
              <w:textAlignment w:val="auto"/>
              <w:rPr>
                <w:rFonts w:hint="eastAsia" w:ascii="Times New Roman" w:hAnsi="Times New Roman" w:eastAsia="宋体" w:cs="Times New Roman"/>
                <w:b/>
                <w:bCs w:val="0"/>
                <w:sz w:val="20"/>
                <w:szCs w:val="20"/>
                <w:highlight w:val="none"/>
                <w:lang w:val="en-US" w:eastAsia="zh-CN"/>
              </w:rPr>
            </w:pPr>
            <w:r>
              <w:rPr>
                <w:rFonts w:hint="eastAsia" w:ascii="Times New Roman" w:hAnsi="Times New Roman" w:eastAsia="宋体" w:cs="Times New Roman"/>
                <w:b/>
                <w:bCs w:val="0"/>
                <w:sz w:val="20"/>
                <w:szCs w:val="20"/>
                <w:highlight w:val="none"/>
                <w:lang w:val="en-US" w:eastAsia="zh-CN"/>
              </w:rPr>
              <w:t>评审标准：</w:t>
            </w:r>
          </w:p>
          <w:p w14:paraId="4301020D">
            <w:pPr>
              <w:keepNext w:val="0"/>
              <w:keepLines w:val="0"/>
              <w:pageBreakBefore w:val="0"/>
              <w:widowControl/>
              <w:numPr>
                <w:ilvl w:val="0"/>
                <w:numId w:val="10"/>
              </w:numPr>
              <w:shd w:val="clear" w:color="auto" w:fill="FFFFFF"/>
              <w:kinsoku/>
              <w:wordWrap/>
              <w:overflowPunct/>
              <w:topLinePunct w:val="0"/>
              <w:autoSpaceDE/>
              <w:autoSpaceDN/>
              <w:bidi w:val="0"/>
              <w:adjustRightInd/>
              <w:snapToGrid/>
              <w:spacing w:line="280" w:lineRule="exact"/>
              <w:ind w:firstLine="400" w:firstLineChars="200"/>
              <w:jc w:val="both"/>
              <w:textAlignment w:val="auto"/>
              <w:rPr>
                <w:rFonts w:hint="eastAsia" w:ascii="Times New Roman" w:hAnsi="Times New Roman" w:eastAsia="宋体" w:cs="Times New Roman"/>
                <w:b w:val="0"/>
                <w:bCs/>
                <w:sz w:val="20"/>
                <w:szCs w:val="20"/>
                <w:highlight w:val="none"/>
                <w:lang w:val="en-US" w:eastAsia="zh-CN"/>
              </w:rPr>
            </w:pPr>
            <w:r>
              <w:rPr>
                <w:rFonts w:hint="eastAsia" w:ascii="Times New Roman" w:hAnsi="Times New Roman" w:eastAsia="宋体" w:cs="Times New Roman"/>
                <w:b w:val="0"/>
                <w:bCs/>
                <w:sz w:val="20"/>
                <w:szCs w:val="20"/>
                <w:highlight w:val="none"/>
                <w:lang w:val="en-US" w:eastAsia="zh-CN"/>
              </w:rPr>
              <w:t>对照本项目体检服务地点需求，根据投标人提供体检需求所在地已设立体检门诊机构情况实施横向评分。第一名得8分，第二名得6分，以2分为一个步长，以此类推，最低分为0分。</w:t>
            </w:r>
          </w:p>
          <w:p w14:paraId="15C42AD0">
            <w:pPr>
              <w:keepNext w:val="0"/>
              <w:keepLines w:val="0"/>
              <w:pageBreakBefore w:val="0"/>
              <w:widowControl/>
              <w:numPr>
                <w:ilvl w:val="0"/>
                <w:numId w:val="10"/>
              </w:numPr>
              <w:shd w:val="clear" w:color="auto" w:fill="FFFFFF"/>
              <w:kinsoku/>
              <w:wordWrap/>
              <w:overflowPunct/>
              <w:topLinePunct w:val="0"/>
              <w:autoSpaceDE/>
              <w:autoSpaceDN/>
              <w:bidi w:val="0"/>
              <w:adjustRightInd/>
              <w:snapToGrid/>
              <w:spacing w:line="280" w:lineRule="exact"/>
              <w:ind w:firstLine="400" w:firstLineChars="200"/>
              <w:jc w:val="both"/>
              <w:textAlignment w:val="auto"/>
              <w:rPr>
                <w:rFonts w:hint="eastAsia" w:ascii="Times New Roman" w:hAnsi="Times New Roman" w:eastAsia="宋体" w:cs="Times New Roman"/>
                <w:b w:val="0"/>
                <w:bCs/>
                <w:sz w:val="20"/>
                <w:szCs w:val="20"/>
                <w:highlight w:val="none"/>
                <w:lang w:val="en-US" w:eastAsia="zh-CN"/>
              </w:rPr>
            </w:pPr>
            <w:r>
              <w:rPr>
                <w:rFonts w:hint="eastAsia" w:ascii="Times New Roman" w:hAnsi="Times New Roman" w:eastAsia="宋体" w:cs="Times New Roman"/>
                <w:b w:val="0"/>
                <w:bCs/>
                <w:sz w:val="20"/>
                <w:szCs w:val="20"/>
                <w:highlight w:val="none"/>
                <w:lang w:val="en-US" w:eastAsia="zh-CN"/>
              </w:rPr>
              <w:t>若投标人拟实施服务的分支机构均具有独立的健康体检场所及侯检区域，总面积不少于 400 平方米，每个检查室面积不少于6平方米的，加6分，不满足不得分。</w:t>
            </w:r>
          </w:p>
          <w:p w14:paraId="3CDDB6E7">
            <w:pPr>
              <w:keepNext w:val="0"/>
              <w:keepLines w:val="0"/>
              <w:pageBreakBefore w:val="0"/>
              <w:widowControl/>
              <w:shd w:val="clear" w:color="auto" w:fill="FFFFFF"/>
              <w:kinsoku/>
              <w:wordWrap/>
              <w:overflowPunct/>
              <w:topLinePunct w:val="0"/>
              <w:autoSpaceDE/>
              <w:autoSpaceDN/>
              <w:bidi w:val="0"/>
              <w:spacing w:line="280" w:lineRule="exact"/>
              <w:ind w:firstLine="32" w:firstLineChars="0"/>
              <w:jc w:val="both"/>
              <w:textAlignment w:val="auto"/>
              <w:rPr>
                <w:rFonts w:hint="eastAsia" w:ascii="Times New Roman" w:hAnsi="Times New Roman" w:eastAsia="宋体" w:cs="Times New Roman"/>
                <w:bCs/>
                <w:sz w:val="20"/>
                <w:szCs w:val="20"/>
                <w:highlight w:val="none"/>
                <w:lang w:val="en-US" w:eastAsia="zh-CN"/>
              </w:rPr>
            </w:pPr>
            <w:r>
              <w:rPr>
                <w:rFonts w:hint="eastAsia" w:ascii="Times New Roman" w:hAnsi="Times New Roman" w:eastAsia="宋体" w:cs="Times New Roman"/>
                <w:b/>
                <w:bCs w:val="0"/>
                <w:sz w:val="20"/>
                <w:szCs w:val="20"/>
                <w:highlight w:val="none"/>
                <w:lang w:val="en-US" w:eastAsia="zh-CN"/>
              </w:rPr>
              <w:t>证明材料：</w:t>
            </w:r>
            <w:r>
              <w:rPr>
                <w:rFonts w:hint="eastAsia" w:ascii="Times New Roman" w:hAnsi="Times New Roman" w:eastAsia="宋体" w:cs="Times New Roman"/>
                <w:bCs/>
                <w:sz w:val="20"/>
                <w:szCs w:val="20"/>
                <w:highlight w:val="none"/>
                <w:lang w:val="en-US" w:eastAsia="zh-CN"/>
              </w:rPr>
              <w:t>投标人对照招标人需求服务地点，于服务方案内列示拟实施服务的门诊机构情况。</w:t>
            </w:r>
          </w:p>
        </w:tc>
        <w:tc>
          <w:tcPr>
            <w:tcW w:w="708" w:type="pct"/>
            <w:tcBorders>
              <w:tl2br w:val="nil"/>
              <w:tr2bl w:val="nil"/>
            </w:tcBorders>
            <w:vAlign w:val="center"/>
          </w:tcPr>
          <w:p w14:paraId="0377A70B">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eastAsia" w:ascii="Times New Roman" w:hAnsi="Times New Roman" w:eastAsia="宋体" w:cstheme="minorEastAsia"/>
                <w:b w:val="0"/>
                <w:bCs/>
                <w:sz w:val="20"/>
                <w:szCs w:val="20"/>
                <w:highlight w:val="none"/>
                <w:lang w:val="en-US" w:eastAsia="zh-CN"/>
              </w:rPr>
            </w:pPr>
            <w:r>
              <w:rPr>
                <w:rFonts w:hint="eastAsia" w:ascii="Times New Roman" w:hAnsi="Times New Roman" w:eastAsia="宋体" w:cs="Times New Roman"/>
                <w:bCs/>
                <w:szCs w:val="21"/>
                <w:highlight w:val="none"/>
                <w:lang w:val="en-US" w:eastAsia="zh-CN"/>
              </w:rPr>
              <w:t>14分</w:t>
            </w:r>
          </w:p>
        </w:tc>
      </w:tr>
      <w:tr w14:paraId="0C7779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450" w:hRule="atLeast"/>
          <w:jc w:val="center"/>
        </w:trPr>
        <w:tc>
          <w:tcPr>
            <w:tcW w:w="328" w:type="pct"/>
            <w:tcBorders>
              <w:tl2br w:val="nil"/>
              <w:tr2bl w:val="nil"/>
            </w:tcBorders>
            <w:vAlign w:val="center"/>
          </w:tcPr>
          <w:p w14:paraId="0AC7FD04">
            <w:pPr>
              <w:keepNext w:val="0"/>
              <w:keepLines w:val="0"/>
              <w:pageBreakBefore w:val="0"/>
              <w:widowControl/>
              <w:kinsoku/>
              <w:wordWrap/>
              <w:overflowPunct/>
              <w:topLinePunct w:val="0"/>
              <w:autoSpaceDE/>
              <w:autoSpaceDN/>
              <w:bidi w:val="0"/>
              <w:adjustRightInd w:val="0"/>
              <w:snapToGrid w:val="0"/>
              <w:spacing w:line="280" w:lineRule="exact"/>
              <w:jc w:val="center"/>
              <w:textAlignment w:val="auto"/>
              <w:rPr>
                <w:rFonts w:hint="eastAsia" w:ascii="Times New Roman" w:hAnsi="Times New Roman" w:eastAsia="宋体" w:cs="Times New Roman"/>
                <w:bCs/>
                <w:sz w:val="20"/>
                <w:szCs w:val="20"/>
                <w:highlight w:val="none"/>
                <w:lang w:val="en-US" w:eastAsia="zh-CN"/>
              </w:rPr>
            </w:pPr>
            <w:r>
              <w:rPr>
                <w:rFonts w:hint="eastAsia" w:ascii="Times New Roman" w:hAnsi="Times New Roman" w:eastAsia="宋体" w:cs="Times New Roman"/>
                <w:bCs/>
                <w:sz w:val="20"/>
                <w:szCs w:val="20"/>
                <w:highlight w:val="none"/>
                <w:lang w:val="en-US" w:eastAsia="zh-CN"/>
              </w:rPr>
              <w:t>5</w:t>
            </w:r>
          </w:p>
        </w:tc>
        <w:tc>
          <w:tcPr>
            <w:tcW w:w="527" w:type="pct"/>
            <w:tcBorders>
              <w:tl2br w:val="nil"/>
              <w:tr2bl w:val="nil"/>
            </w:tcBorders>
            <w:vAlign w:val="center"/>
          </w:tcPr>
          <w:p w14:paraId="6E649CA8">
            <w:pPr>
              <w:keepNext w:val="0"/>
              <w:keepLines w:val="0"/>
              <w:pageBreakBefore w:val="0"/>
              <w:kinsoku/>
              <w:wordWrap/>
              <w:overflowPunct/>
              <w:topLinePunct w:val="0"/>
              <w:autoSpaceDE/>
              <w:autoSpaceDN/>
              <w:bidi w:val="0"/>
              <w:snapToGrid w:val="0"/>
              <w:spacing w:line="280" w:lineRule="exact"/>
              <w:jc w:val="center"/>
              <w:textAlignment w:val="auto"/>
              <w:rPr>
                <w:rFonts w:hint="eastAsia" w:ascii="Times New Roman" w:hAnsi="Times New Roman" w:eastAsia="宋体" w:cstheme="minorEastAsia"/>
                <w:b w:val="0"/>
                <w:bCs/>
                <w:sz w:val="20"/>
                <w:szCs w:val="20"/>
                <w:highlight w:val="none"/>
                <w:lang w:val="en-US" w:eastAsia="zh-CN"/>
              </w:rPr>
            </w:pPr>
            <w:r>
              <w:rPr>
                <w:rStyle w:val="22"/>
                <w:rFonts w:hint="eastAsia" w:ascii="Times New Roman" w:hAnsi="Times New Roman" w:eastAsia="宋体" w:cs="Times New Roman"/>
                <w:bCs/>
                <w:sz w:val="20"/>
                <w:szCs w:val="20"/>
                <w:highlight w:val="none"/>
              </w:rPr>
              <w:t>地理位置与交通便利性</w:t>
            </w:r>
          </w:p>
        </w:tc>
        <w:tc>
          <w:tcPr>
            <w:tcW w:w="3435" w:type="pct"/>
            <w:tcBorders>
              <w:tl2br w:val="nil"/>
              <w:tr2bl w:val="nil"/>
            </w:tcBorders>
            <w:vAlign w:val="center"/>
          </w:tcPr>
          <w:p w14:paraId="7CD6F1EC">
            <w:pPr>
              <w:keepNext w:val="0"/>
              <w:keepLines w:val="0"/>
              <w:pageBreakBefore w:val="0"/>
              <w:widowControl/>
              <w:kinsoku/>
              <w:wordWrap/>
              <w:overflowPunct/>
              <w:topLinePunct w:val="0"/>
              <w:autoSpaceDE/>
              <w:autoSpaceDN/>
              <w:bidi w:val="0"/>
              <w:spacing w:line="280" w:lineRule="exact"/>
              <w:jc w:val="both"/>
              <w:textAlignment w:val="auto"/>
              <w:rPr>
                <w:rFonts w:hint="eastAsia" w:ascii="Times New Roman" w:hAnsi="Times New Roman" w:eastAsia="宋体" w:cs="Times New Roman"/>
                <w:bCs/>
                <w:sz w:val="20"/>
                <w:szCs w:val="20"/>
                <w:highlight w:val="none"/>
              </w:rPr>
            </w:pPr>
            <w:r>
              <w:rPr>
                <w:rFonts w:hint="eastAsia" w:ascii="Times New Roman" w:hAnsi="Times New Roman" w:eastAsia="宋体" w:cs="Times New Roman"/>
                <w:b/>
                <w:bCs w:val="0"/>
                <w:sz w:val="20"/>
                <w:szCs w:val="20"/>
                <w:highlight w:val="none"/>
                <w:lang w:val="en-US" w:eastAsia="zh-CN"/>
              </w:rPr>
              <w:t>评审标准：</w:t>
            </w:r>
            <w:r>
              <w:rPr>
                <w:rFonts w:hint="eastAsia" w:ascii="Times New Roman" w:hAnsi="Times New Roman" w:eastAsia="宋体" w:cs="Times New Roman"/>
                <w:bCs/>
                <w:sz w:val="20"/>
                <w:szCs w:val="20"/>
                <w:highlight w:val="none"/>
              </w:rPr>
              <w:t>投标人</w:t>
            </w:r>
            <w:r>
              <w:rPr>
                <w:rFonts w:hint="eastAsia" w:ascii="Times New Roman" w:hAnsi="Times New Roman" w:eastAsia="宋体" w:cs="Times New Roman"/>
                <w:bCs/>
                <w:sz w:val="20"/>
                <w:szCs w:val="20"/>
                <w:highlight w:val="none"/>
                <w:lang w:val="en-US" w:eastAsia="zh-CN"/>
              </w:rPr>
              <w:t>针对本项目所有</w:t>
            </w:r>
            <w:r>
              <w:rPr>
                <w:rFonts w:hint="eastAsia" w:ascii="Times New Roman" w:hAnsi="Times New Roman" w:eastAsia="宋体" w:cs="Times New Roman"/>
                <w:bCs/>
                <w:sz w:val="20"/>
                <w:szCs w:val="20"/>
                <w:highlight w:val="none"/>
              </w:rPr>
              <w:t>实施服务门诊机构1000米以内均设有公共交通设施（包括公交车站、地铁）的，本项目得满分10分，每一拟实施服务门诊机构附近1000米内无公共交通设施的，扣</w:t>
            </w:r>
            <w:r>
              <w:rPr>
                <w:rFonts w:hint="eastAsia" w:ascii="Times New Roman" w:hAnsi="Times New Roman" w:eastAsia="宋体" w:cs="Times New Roman"/>
                <w:bCs/>
                <w:sz w:val="20"/>
                <w:szCs w:val="20"/>
                <w:highlight w:val="none"/>
                <w:lang w:val="en-US" w:eastAsia="zh-CN"/>
              </w:rPr>
              <w:t>1</w:t>
            </w:r>
            <w:r>
              <w:rPr>
                <w:rFonts w:hint="eastAsia" w:ascii="Times New Roman" w:hAnsi="Times New Roman" w:eastAsia="宋体" w:cs="Times New Roman"/>
                <w:bCs/>
                <w:sz w:val="20"/>
                <w:szCs w:val="20"/>
                <w:highlight w:val="none"/>
              </w:rPr>
              <w:t>分。</w:t>
            </w:r>
          </w:p>
          <w:p w14:paraId="16B7CB63">
            <w:pPr>
              <w:keepNext w:val="0"/>
              <w:keepLines w:val="0"/>
              <w:pageBreakBefore w:val="0"/>
              <w:widowControl/>
              <w:kinsoku/>
              <w:wordWrap/>
              <w:overflowPunct/>
              <w:topLinePunct w:val="0"/>
              <w:autoSpaceDE/>
              <w:autoSpaceDN/>
              <w:bidi w:val="0"/>
              <w:spacing w:line="280" w:lineRule="exact"/>
              <w:jc w:val="both"/>
              <w:textAlignment w:val="auto"/>
              <w:rPr>
                <w:rFonts w:hint="default" w:ascii="Times New Roman" w:hAnsi="Times New Roman" w:eastAsia="宋体" w:cs="宋体"/>
                <w:b/>
                <w:bCs w:val="0"/>
                <w:sz w:val="20"/>
                <w:szCs w:val="20"/>
                <w:highlight w:val="none"/>
                <w:lang w:val="en-US" w:eastAsia="zh-CN"/>
              </w:rPr>
            </w:pPr>
            <w:r>
              <w:rPr>
                <w:rFonts w:hint="eastAsia" w:ascii="Times New Roman" w:hAnsi="Times New Roman" w:eastAsia="宋体" w:cs="Times New Roman"/>
                <w:b/>
                <w:bCs w:val="0"/>
                <w:sz w:val="20"/>
                <w:szCs w:val="20"/>
                <w:highlight w:val="none"/>
                <w:lang w:val="en-US" w:eastAsia="zh-CN"/>
              </w:rPr>
              <w:t>证明材料：</w:t>
            </w:r>
            <w:r>
              <w:rPr>
                <w:rFonts w:hint="eastAsia" w:ascii="Times New Roman" w:hAnsi="Times New Roman" w:eastAsia="宋体" w:cs="Times New Roman"/>
                <w:b w:val="0"/>
                <w:bCs/>
                <w:sz w:val="20"/>
                <w:szCs w:val="20"/>
                <w:highlight w:val="none"/>
                <w:lang w:val="en-US" w:eastAsia="zh-CN"/>
              </w:rPr>
              <w:t>以</w:t>
            </w:r>
            <w:r>
              <w:rPr>
                <w:rFonts w:hint="eastAsia" w:ascii="Times New Roman" w:hAnsi="Times New Roman" w:eastAsia="宋体" w:cs="Times New Roman"/>
                <w:b w:val="0"/>
                <w:bCs/>
                <w:sz w:val="20"/>
                <w:szCs w:val="20"/>
                <w:highlight w:val="none"/>
              </w:rPr>
              <w:t>百度地图显示信息</w:t>
            </w:r>
            <w:r>
              <w:rPr>
                <w:rFonts w:hint="eastAsia" w:ascii="Times New Roman" w:hAnsi="Times New Roman" w:eastAsia="宋体" w:cs="Times New Roman"/>
                <w:b w:val="0"/>
                <w:bCs/>
                <w:sz w:val="20"/>
                <w:szCs w:val="20"/>
                <w:highlight w:val="none"/>
                <w:lang w:val="en-US" w:eastAsia="zh-CN"/>
              </w:rPr>
              <w:t>为准，投标人服务方案中以截图形式体现，未提供的本项不得分。</w:t>
            </w:r>
          </w:p>
        </w:tc>
        <w:tc>
          <w:tcPr>
            <w:tcW w:w="708" w:type="pct"/>
            <w:tcBorders>
              <w:tl2br w:val="nil"/>
              <w:tr2bl w:val="nil"/>
            </w:tcBorders>
            <w:vAlign w:val="center"/>
          </w:tcPr>
          <w:p w14:paraId="6BAA42EC">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eastAsia" w:ascii="Times New Roman" w:hAnsi="Times New Roman" w:eastAsia="宋体" w:cstheme="minorEastAsia"/>
                <w:b w:val="0"/>
                <w:bCs/>
                <w:sz w:val="20"/>
                <w:szCs w:val="20"/>
                <w:highlight w:val="none"/>
                <w:lang w:val="en-US" w:eastAsia="zh-CN"/>
              </w:rPr>
            </w:pPr>
            <w:r>
              <w:rPr>
                <w:rFonts w:hint="eastAsia" w:ascii="Times New Roman" w:hAnsi="Times New Roman" w:eastAsia="宋体" w:cs="Times New Roman"/>
                <w:bCs/>
                <w:szCs w:val="21"/>
                <w:highlight w:val="none"/>
                <w:lang w:val="en-US" w:eastAsia="zh-CN"/>
              </w:rPr>
              <w:t>10</w:t>
            </w:r>
            <w:r>
              <w:rPr>
                <w:rFonts w:hint="eastAsia" w:ascii="Times New Roman" w:hAnsi="Times New Roman" w:eastAsia="宋体" w:cs="Times New Roman"/>
                <w:bCs/>
                <w:szCs w:val="21"/>
                <w:highlight w:val="none"/>
              </w:rPr>
              <w:t>分</w:t>
            </w:r>
          </w:p>
        </w:tc>
      </w:tr>
      <w:tr w14:paraId="6D172F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30" w:hRule="atLeast"/>
          <w:jc w:val="center"/>
        </w:trPr>
        <w:tc>
          <w:tcPr>
            <w:tcW w:w="328" w:type="pct"/>
            <w:tcBorders>
              <w:tl2br w:val="nil"/>
              <w:tr2bl w:val="nil"/>
            </w:tcBorders>
            <w:vAlign w:val="center"/>
          </w:tcPr>
          <w:p w14:paraId="153256F9">
            <w:pPr>
              <w:keepNext w:val="0"/>
              <w:keepLines w:val="0"/>
              <w:pageBreakBefore w:val="0"/>
              <w:widowControl/>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z w:val="20"/>
                <w:szCs w:val="20"/>
                <w:highlight w:val="none"/>
                <w:lang w:val="en-US" w:eastAsia="zh-CN"/>
              </w:rPr>
            </w:pPr>
            <w:r>
              <w:rPr>
                <w:rFonts w:hint="eastAsia" w:ascii="Times New Roman" w:hAnsi="Times New Roman" w:eastAsia="宋体" w:cs="Times New Roman"/>
                <w:bCs/>
                <w:sz w:val="20"/>
                <w:szCs w:val="20"/>
                <w:highlight w:val="none"/>
                <w:lang w:val="en-US" w:eastAsia="zh-CN"/>
              </w:rPr>
              <w:t>6</w:t>
            </w:r>
          </w:p>
        </w:tc>
        <w:tc>
          <w:tcPr>
            <w:tcW w:w="527" w:type="pct"/>
            <w:tcBorders>
              <w:tl2br w:val="nil"/>
              <w:tr2bl w:val="nil"/>
            </w:tcBorders>
            <w:vAlign w:val="center"/>
          </w:tcPr>
          <w:p w14:paraId="11D63D3A">
            <w:pPr>
              <w:keepNext w:val="0"/>
              <w:keepLines w:val="0"/>
              <w:pageBreakBefore w:val="0"/>
              <w:widowControl/>
              <w:shd w:val="clear" w:color="auto" w:fill="FFFFFF"/>
              <w:kinsoku/>
              <w:wordWrap/>
              <w:overflowPunct/>
              <w:topLinePunct w:val="0"/>
              <w:autoSpaceDE/>
              <w:autoSpaceDN/>
              <w:bidi w:val="0"/>
              <w:adjustRightInd/>
              <w:snapToGrid/>
              <w:spacing w:line="260" w:lineRule="exact"/>
              <w:jc w:val="left"/>
              <w:textAlignment w:val="auto"/>
              <w:rPr>
                <w:rFonts w:hint="default" w:ascii="Times New Roman" w:hAnsi="Times New Roman" w:eastAsia="宋体" w:cstheme="minorEastAsia"/>
                <w:b w:val="0"/>
                <w:bCs/>
                <w:sz w:val="20"/>
                <w:szCs w:val="20"/>
                <w:highlight w:val="none"/>
                <w:lang w:val="en-US" w:eastAsia="zh-CN"/>
              </w:rPr>
            </w:pPr>
            <w:r>
              <w:rPr>
                <w:rFonts w:hint="eastAsia" w:ascii="Times New Roman" w:hAnsi="Times New Roman" w:eastAsia="宋体" w:cstheme="minorEastAsia"/>
                <w:b w:val="0"/>
                <w:bCs/>
                <w:sz w:val="20"/>
                <w:szCs w:val="20"/>
                <w:highlight w:val="none"/>
                <w:lang w:val="en-US" w:eastAsia="zh-CN"/>
              </w:rPr>
              <w:t>服务方案</w:t>
            </w:r>
          </w:p>
        </w:tc>
        <w:tc>
          <w:tcPr>
            <w:tcW w:w="3435" w:type="pct"/>
            <w:tcBorders>
              <w:tl2br w:val="nil"/>
              <w:tr2bl w:val="nil"/>
            </w:tcBorders>
            <w:vAlign w:val="center"/>
          </w:tcPr>
          <w:p w14:paraId="14124358">
            <w:pPr>
              <w:keepNext w:val="0"/>
              <w:keepLines w:val="0"/>
              <w:pageBreakBefore w:val="0"/>
              <w:widowControl/>
              <w:shd w:val="clear" w:color="auto" w:fill="FFFFFF"/>
              <w:kinsoku/>
              <w:wordWrap/>
              <w:overflowPunct/>
              <w:topLinePunct w:val="0"/>
              <w:autoSpaceDE/>
              <w:autoSpaceDN/>
              <w:bidi w:val="0"/>
              <w:adjustRightInd/>
              <w:snapToGrid/>
              <w:spacing w:line="260" w:lineRule="exact"/>
              <w:jc w:val="left"/>
              <w:textAlignment w:val="auto"/>
              <w:rPr>
                <w:rFonts w:hint="eastAsia" w:ascii="Times New Roman" w:hAnsi="Times New Roman" w:eastAsia="宋体" w:cstheme="minorEastAsia"/>
                <w:b/>
                <w:bCs w:val="0"/>
                <w:sz w:val="20"/>
                <w:szCs w:val="20"/>
                <w:highlight w:val="none"/>
                <w:lang w:val="en-US" w:eastAsia="zh-CN"/>
              </w:rPr>
            </w:pPr>
            <w:r>
              <w:rPr>
                <w:rFonts w:hint="eastAsia" w:ascii="Times New Roman" w:hAnsi="Times New Roman" w:eastAsia="宋体" w:cstheme="minorEastAsia"/>
                <w:b/>
                <w:bCs w:val="0"/>
                <w:sz w:val="20"/>
                <w:szCs w:val="20"/>
                <w:highlight w:val="none"/>
                <w:lang w:val="en-US" w:eastAsia="zh-CN"/>
              </w:rPr>
              <w:t>评审标准：</w:t>
            </w:r>
          </w:p>
          <w:p w14:paraId="3DFB7922">
            <w:pPr>
              <w:keepNext w:val="0"/>
              <w:keepLines w:val="0"/>
              <w:pageBreakBefore w:val="0"/>
              <w:widowControl/>
              <w:shd w:val="clear" w:color="auto" w:fill="FFFFFF"/>
              <w:kinsoku/>
              <w:wordWrap/>
              <w:overflowPunct/>
              <w:topLinePunct w:val="0"/>
              <w:autoSpaceDE/>
              <w:autoSpaceDN/>
              <w:bidi w:val="0"/>
              <w:adjustRightInd/>
              <w:snapToGrid/>
              <w:spacing w:line="260" w:lineRule="exact"/>
              <w:ind w:firstLine="400" w:firstLineChars="200"/>
              <w:jc w:val="left"/>
              <w:textAlignment w:val="auto"/>
              <w:rPr>
                <w:rFonts w:hint="eastAsia" w:ascii="Times New Roman" w:hAnsi="Times New Roman" w:eastAsia="宋体" w:cstheme="minorEastAsia"/>
                <w:b w:val="0"/>
                <w:bCs/>
                <w:sz w:val="20"/>
                <w:szCs w:val="20"/>
                <w:highlight w:val="none"/>
                <w:lang w:val="en-US" w:eastAsia="zh-CN"/>
              </w:rPr>
            </w:pPr>
            <w:r>
              <w:rPr>
                <w:rFonts w:hint="eastAsia" w:ascii="Times New Roman" w:hAnsi="Times New Roman" w:eastAsia="宋体" w:cstheme="minorEastAsia"/>
                <w:b w:val="0"/>
                <w:bCs/>
                <w:sz w:val="20"/>
                <w:szCs w:val="20"/>
                <w:highlight w:val="none"/>
                <w:lang w:val="en-US" w:eastAsia="zh-CN"/>
              </w:rPr>
              <w:t>1.根据投标人可投入本项目的服务方案（体检中心布局及引导、体检服务流程及指引、体检服务规范标准、服务团队、实施服务门诊场所情况、服务设备仪器、增值服务、预约方式、体检报告查询方式、检后服务等）实施评分。</w:t>
            </w:r>
          </w:p>
          <w:p w14:paraId="67EEC861">
            <w:pPr>
              <w:keepNext w:val="0"/>
              <w:keepLines w:val="0"/>
              <w:pageBreakBefore w:val="0"/>
              <w:widowControl/>
              <w:shd w:val="clear" w:color="auto" w:fill="FFFFFF"/>
              <w:kinsoku/>
              <w:wordWrap/>
              <w:overflowPunct/>
              <w:topLinePunct w:val="0"/>
              <w:autoSpaceDE/>
              <w:autoSpaceDN/>
              <w:bidi w:val="0"/>
              <w:adjustRightInd/>
              <w:snapToGrid/>
              <w:spacing w:line="260" w:lineRule="exact"/>
              <w:ind w:firstLine="400" w:firstLineChars="200"/>
              <w:jc w:val="left"/>
              <w:textAlignment w:val="auto"/>
              <w:rPr>
                <w:rFonts w:hint="eastAsia" w:ascii="Times New Roman" w:hAnsi="Times New Roman" w:eastAsia="宋体" w:cstheme="minorEastAsia"/>
                <w:b w:val="0"/>
                <w:bCs/>
                <w:sz w:val="20"/>
                <w:szCs w:val="20"/>
                <w:highlight w:val="none"/>
                <w:lang w:val="en-US" w:eastAsia="zh-CN"/>
              </w:rPr>
            </w:pPr>
            <w:r>
              <w:rPr>
                <w:rFonts w:hint="eastAsia" w:ascii="Times New Roman" w:hAnsi="Times New Roman" w:eastAsia="宋体" w:cstheme="minorEastAsia"/>
                <w:b w:val="0"/>
                <w:bCs/>
                <w:sz w:val="20"/>
                <w:szCs w:val="20"/>
                <w:highlight w:val="none"/>
                <w:lang w:val="en-US" w:eastAsia="zh-CN"/>
              </w:rPr>
              <w:t>投标服务方案内包含上述内容的，得10分；如有缺少一项内容的，本项评审标准不得分。</w:t>
            </w:r>
          </w:p>
          <w:p w14:paraId="611B5748">
            <w:pPr>
              <w:keepNext w:val="0"/>
              <w:keepLines w:val="0"/>
              <w:pageBreakBefore w:val="0"/>
              <w:widowControl/>
              <w:shd w:val="clear" w:color="auto" w:fill="FFFFFF"/>
              <w:kinsoku/>
              <w:wordWrap/>
              <w:overflowPunct/>
              <w:topLinePunct w:val="0"/>
              <w:autoSpaceDE/>
              <w:autoSpaceDN/>
              <w:bidi w:val="0"/>
              <w:adjustRightInd/>
              <w:snapToGrid/>
              <w:spacing w:line="260" w:lineRule="exact"/>
              <w:ind w:firstLine="400" w:firstLineChars="200"/>
              <w:jc w:val="left"/>
              <w:textAlignment w:val="auto"/>
              <w:rPr>
                <w:rFonts w:hint="eastAsia" w:ascii="Times New Roman" w:hAnsi="Times New Roman" w:eastAsia="宋体" w:cstheme="minorEastAsia"/>
                <w:b w:val="0"/>
                <w:bCs/>
                <w:sz w:val="20"/>
                <w:szCs w:val="20"/>
                <w:highlight w:val="none"/>
                <w:lang w:val="en-US" w:eastAsia="zh-CN"/>
              </w:rPr>
            </w:pPr>
            <w:r>
              <w:rPr>
                <w:rFonts w:hint="eastAsia" w:ascii="Times New Roman" w:hAnsi="Times New Roman" w:eastAsia="宋体" w:cstheme="minorEastAsia"/>
                <w:b w:val="0"/>
                <w:bCs/>
                <w:sz w:val="20"/>
                <w:szCs w:val="20"/>
                <w:highlight w:val="none"/>
                <w:lang w:val="en-US" w:eastAsia="zh-CN"/>
              </w:rPr>
              <w:t>2.若投标人的体检预约方式具有固话及微信小程序、服务号可用于招标人员工健康体检线上预约（可随时提供预约服务的)，加2分，不满足的不得分。</w:t>
            </w:r>
          </w:p>
          <w:p w14:paraId="35FC40C9">
            <w:pPr>
              <w:keepNext w:val="0"/>
              <w:keepLines w:val="0"/>
              <w:pageBreakBefore w:val="0"/>
              <w:widowControl/>
              <w:shd w:val="clear" w:color="auto" w:fill="FFFFFF"/>
              <w:kinsoku/>
              <w:wordWrap/>
              <w:overflowPunct/>
              <w:topLinePunct w:val="0"/>
              <w:autoSpaceDE/>
              <w:autoSpaceDN/>
              <w:bidi w:val="0"/>
              <w:adjustRightInd/>
              <w:snapToGrid/>
              <w:spacing w:line="260" w:lineRule="exact"/>
              <w:ind w:firstLine="400" w:firstLineChars="200"/>
              <w:jc w:val="left"/>
              <w:textAlignment w:val="auto"/>
              <w:rPr>
                <w:rFonts w:hint="eastAsia" w:ascii="Times New Roman" w:hAnsi="Times New Roman" w:eastAsia="宋体" w:cstheme="minorEastAsia"/>
                <w:b w:val="0"/>
                <w:bCs/>
                <w:sz w:val="20"/>
                <w:szCs w:val="20"/>
                <w:highlight w:val="none"/>
                <w:lang w:val="en-US" w:eastAsia="zh-CN"/>
              </w:rPr>
            </w:pPr>
            <w:r>
              <w:rPr>
                <w:rFonts w:hint="eastAsia" w:ascii="Times New Roman" w:hAnsi="Times New Roman" w:eastAsia="宋体" w:cstheme="minorEastAsia"/>
                <w:b w:val="0"/>
                <w:bCs/>
                <w:sz w:val="20"/>
                <w:szCs w:val="20"/>
                <w:highlight w:val="none"/>
                <w:lang w:val="en-US" w:eastAsia="zh-CN"/>
              </w:rPr>
              <w:t>3.若投标人的体检报告查询方式具有线上电子健康档案信息与体检报告数据查询功能，并具有纸质版体检报告的，加2分，不满足的不得分。</w:t>
            </w:r>
          </w:p>
          <w:p w14:paraId="7869A23B">
            <w:pPr>
              <w:keepNext w:val="0"/>
              <w:keepLines w:val="0"/>
              <w:pageBreakBefore w:val="0"/>
              <w:widowControl/>
              <w:shd w:val="clear" w:color="auto" w:fill="FFFFFF"/>
              <w:kinsoku/>
              <w:wordWrap/>
              <w:overflowPunct/>
              <w:topLinePunct w:val="0"/>
              <w:autoSpaceDE/>
              <w:autoSpaceDN/>
              <w:bidi w:val="0"/>
              <w:adjustRightInd/>
              <w:snapToGrid/>
              <w:spacing w:line="260" w:lineRule="exact"/>
              <w:ind w:firstLine="400" w:firstLineChars="200"/>
              <w:jc w:val="left"/>
              <w:textAlignment w:val="auto"/>
              <w:rPr>
                <w:rFonts w:hint="eastAsia" w:ascii="Times New Roman" w:hAnsi="Times New Roman" w:eastAsia="宋体" w:cstheme="minorEastAsia"/>
                <w:b w:val="0"/>
                <w:bCs/>
                <w:sz w:val="20"/>
                <w:szCs w:val="20"/>
                <w:highlight w:val="none"/>
                <w:lang w:val="en-US" w:eastAsia="zh-CN"/>
              </w:rPr>
            </w:pPr>
            <w:r>
              <w:rPr>
                <w:rFonts w:hint="eastAsia" w:ascii="Times New Roman" w:hAnsi="Times New Roman" w:eastAsia="宋体" w:cstheme="minorEastAsia"/>
                <w:b w:val="0"/>
                <w:bCs/>
                <w:sz w:val="20"/>
                <w:szCs w:val="20"/>
                <w:highlight w:val="none"/>
                <w:lang w:val="en-US" w:eastAsia="zh-CN"/>
              </w:rPr>
              <w:t>4.若投标人的检后服务具备固定客服电话，有专业医务人员提供检后咨询解答服务的，加2分，不满足不得分。</w:t>
            </w:r>
          </w:p>
          <w:p w14:paraId="4A9F92D1">
            <w:pPr>
              <w:keepNext w:val="0"/>
              <w:keepLines w:val="0"/>
              <w:pageBreakBefore w:val="0"/>
              <w:widowControl/>
              <w:shd w:val="clear" w:color="auto" w:fill="FFFFFF"/>
              <w:kinsoku/>
              <w:wordWrap/>
              <w:overflowPunct/>
              <w:topLinePunct w:val="0"/>
              <w:autoSpaceDE/>
              <w:autoSpaceDN/>
              <w:bidi w:val="0"/>
              <w:adjustRightInd/>
              <w:snapToGrid/>
              <w:spacing w:line="260" w:lineRule="exact"/>
              <w:ind w:firstLine="400" w:firstLineChars="200"/>
              <w:jc w:val="left"/>
              <w:textAlignment w:val="auto"/>
              <w:rPr>
                <w:rFonts w:hint="eastAsia" w:ascii="Times New Roman" w:hAnsi="Times New Roman" w:eastAsia="宋体" w:cstheme="minorEastAsia"/>
                <w:b w:val="0"/>
                <w:bCs/>
                <w:sz w:val="20"/>
                <w:szCs w:val="20"/>
                <w:highlight w:val="none"/>
                <w:lang w:val="en-US" w:eastAsia="zh-CN"/>
              </w:rPr>
            </w:pPr>
            <w:r>
              <w:rPr>
                <w:rFonts w:hint="eastAsia" w:ascii="Times New Roman" w:hAnsi="Times New Roman" w:eastAsia="宋体" w:cstheme="minorEastAsia"/>
                <w:b w:val="0"/>
                <w:bCs/>
                <w:sz w:val="20"/>
                <w:szCs w:val="20"/>
                <w:highlight w:val="none"/>
                <w:lang w:val="en-US" w:eastAsia="zh-CN"/>
              </w:rPr>
              <w:t>5.投标人服务方案内拟体检责任医师副主任医师以上员额实施比对，副主任以上医师员额最多的，此项得满分6分，较第一名每减少1位，扣减1分。</w:t>
            </w:r>
          </w:p>
          <w:p w14:paraId="0D9FEFEA">
            <w:pPr>
              <w:keepNext w:val="0"/>
              <w:keepLines w:val="0"/>
              <w:pageBreakBefore w:val="0"/>
              <w:widowControl/>
              <w:shd w:val="clear" w:color="auto" w:fill="FFFFFF"/>
              <w:kinsoku/>
              <w:wordWrap/>
              <w:overflowPunct/>
              <w:topLinePunct w:val="0"/>
              <w:autoSpaceDE/>
              <w:autoSpaceDN/>
              <w:bidi w:val="0"/>
              <w:adjustRightInd/>
              <w:snapToGrid/>
              <w:spacing w:line="260" w:lineRule="exact"/>
              <w:ind w:firstLine="400" w:firstLineChars="200"/>
              <w:jc w:val="left"/>
              <w:textAlignment w:val="auto"/>
              <w:rPr>
                <w:rFonts w:hint="eastAsia" w:ascii="Times New Roman" w:hAnsi="Times New Roman" w:eastAsia="宋体" w:cstheme="minorEastAsia"/>
                <w:b w:val="0"/>
                <w:bCs/>
                <w:sz w:val="20"/>
                <w:szCs w:val="20"/>
                <w:highlight w:val="none"/>
                <w:lang w:val="en-US" w:eastAsia="zh-CN"/>
              </w:rPr>
            </w:pPr>
            <w:r>
              <w:rPr>
                <w:rFonts w:hint="eastAsia" w:ascii="Times New Roman" w:hAnsi="Times New Roman" w:eastAsia="宋体" w:cstheme="minorEastAsia"/>
                <w:b w:val="0"/>
                <w:bCs/>
                <w:sz w:val="20"/>
                <w:szCs w:val="20"/>
                <w:highlight w:val="none"/>
                <w:lang w:val="en-US" w:eastAsia="zh-CN"/>
              </w:rPr>
              <w:t>6.若投标人列示拟实施服务门诊情况有体检中心候诊区及引导服务、用餐区域、受检者意见反馈的，加2分，不满足不得分。</w:t>
            </w:r>
          </w:p>
          <w:p w14:paraId="25E8EB3A">
            <w:pPr>
              <w:keepNext w:val="0"/>
              <w:keepLines w:val="0"/>
              <w:pageBreakBefore w:val="0"/>
              <w:widowControl/>
              <w:shd w:val="clear" w:color="auto" w:fill="FFFFFF"/>
              <w:kinsoku/>
              <w:wordWrap/>
              <w:overflowPunct/>
              <w:topLinePunct w:val="0"/>
              <w:autoSpaceDE/>
              <w:autoSpaceDN/>
              <w:bidi w:val="0"/>
              <w:adjustRightInd/>
              <w:snapToGrid/>
              <w:spacing w:line="260" w:lineRule="exact"/>
              <w:ind w:firstLine="400" w:firstLineChars="200"/>
              <w:jc w:val="left"/>
              <w:textAlignment w:val="auto"/>
              <w:rPr>
                <w:rFonts w:hint="eastAsia" w:ascii="Times New Roman" w:hAnsi="Times New Roman" w:eastAsia="宋体" w:cstheme="minorEastAsia"/>
                <w:b w:val="0"/>
                <w:bCs/>
                <w:sz w:val="20"/>
                <w:szCs w:val="20"/>
                <w:highlight w:val="none"/>
                <w:lang w:val="en-US" w:eastAsia="zh-CN"/>
              </w:rPr>
            </w:pPr>
            <w:r>
              <w:rPr>
                <w:rFonts w:hint="eastAsia" w:ascii="Times New Roman" w:hAnsi="Times New Roman" w:eastAsia="宋体" w:cstheme="minorEastAsia"/>
                <w:b w:val="0"/>
                <w:bCs/>
                <w:sz w:val="20"/>
                <w:szCs w:val="20"/>
                <w:highlight w:val="none"/>
                <w:lang w:val="en-US" w:eastAsia="zh-CN"/>
              </w:rPr>
              <w:t>7.综合以上投标人可投入本项目的服务方案的完整性实施横向评分。</w:t>
            </w:r>
          </w:p>
          <w:p w14:paraId="4FFD9ADB">
            <w:pPr>
              <w:keepNext w:val="0"/>
              <w:keepLines w:val="0"/>
              <w:pageBreakBefore w:val="0"/>
              <w:widowControl/>
              <w:shd w:val="clear" w:color="auto" w:fill="FFFFFF"/>
              <w:kinsoku/>
              <w:wordWrap/>
              <w:overflowPunct/>
              <w:topLinePunct w:val="0"/>
              <w:autoSpaceDE/>
              <w:autoSpaceDN/>
              <w:bidi w:val="0"/>
              <w:adjustRightInd/>
              <w:snapToGrid/>
              <w:spacing w:line="260" w:lineRule="exact"/>
              <w:ind w:firstLine="400" w:firstLineChars="200"/>
              <w:jc w:val="left"/>
              <w:textAlignment w:val="auto"/>
              <w:rPr>
                <w:rFonts w:hint="default" w:ascii="Times New Roman" w:hAnsi="Times New Roman" w:eastAsia="宋体" w:cstheme="minorEastAsia"/>
                <w:b w:val="0"/>
                <w:bCs/>
                <w:sz w:val="20"/>
                <w:szCs w:val="20"/>
                <w:highlight w:val="none"/>
                <w:lang w:val="en-US" w:eastAsia="zh-CN"/>
              </w:rPr>
            </w:pPr>
            <w:r>
              <w:rPr>
                <w:rFonts w:hint="eastAsia" w:ascii="Times New Roman" w:hAnsi="Times New Roman" w:eastAsia="宋体" w:cstheme="minorEastAsia"/>
                <w:b w:val="0"/>
                <w:bCs/>
                <w:sz w:val="20"/>
                <w:szCs w:val="20"/>
                <w:highlight w:val="none"/>
                <w:lang w:val="en-US" w:eastAsia="zh-CN"/>
              </w:rPr>
              <w:t>优秀的，得8-10分，良好的，得5-7分，其余不得分。</w:t>
            </w:r>
          </w:p>
          <w:p w14:paraId="6C7ACAFA">
            <w:pPr>
              <w:keepNext w:val="0"/>
              <w:keepLines w:val="0"/>
              <w:pageBreakBefore w:val="0"/>
              <w:widowControl/>
              <w:shd w:val="clear" w:color="auto" w:fill="FFFFFF"/>
              <w:kinsoku/>
              <w:wordWrap/>
              <w:overflowPunct/>
              <w:topLinePunct w:val="0"/>
              <w:autoSpaceDE/>
              <w:autoSpaceDN/>
              <w:bidi w:val="0"/>
              <w:adjustRightInd/>
              <w:snapToGrid/>
              <w:spacing w:line="260" w:lineRule="exact"/>
              <w:jc w:val="left"/>
              <w:textAlignment w:val="auto"/>
              <w:rPr>
                <w:rFonts w:hint="eastAsia" w:ascii="Times New Roman" w:hAnsi="Times New Roman" w:eastAsia="宋体" w:cstheme="minorEastAsia"/>
                <w:b/>
                <w:bCs w:val="0"/>
                <w:sz w:val="20"/>
                <w:szCs w:val="20"/>
                <w:highlight w:val="none"/>
                <w:lang w:val="en-US" w:eastAsia="zh-CN"/>
              </w:rPr>
            </w:pPr>
            <w:r>
              <w:rPr>
                <w:rFonts w:hint="eastAsia" w:ascii="Times New Roman" w:hAnsi="Times New Roman" w:eastAsia="宋体" w:cstheme="minorEastAsia"/>
                <w:b/>
                <w:bCs w:val="0"/>
                <w:sz w:val="20"/>
                <w:szCs w:val="20"/>
                <w:highlight w:val="none"/>
                <w:lang w:val="en-US" w:eastAsia="zh-CN"/>
              </w:rPr>
              <w:t>证明材料：</w:t>
            </w:r>
          </w:p>
          <w:p w14:paraId="330535A5">
            <w:pPr>
              <w:keepNext w:val="0"/>
              <w:keepLines w:val="0"/>
              <w:pageBreakBefore w:val="0"/>
              <w:widowControl/>
              <w:shd w:val="clear" w:color="auto" w:fill="FFFFFF"/>
              <w:kinsoku/>
              <w:wordWrap/>
              <w:overflowPunct/>
              <w:topLinePunct w:val="0"/>
              <w:autoSpaceDE/>
              <w:autoSpaceDN/>
              <w:bidi w:val="0"/>
              <w:adjustRightInd/>
              <w:snapToGrid/>
              <w:spacing w:line="260" w:lineRule="exact"/>
              <w:ind w:firstLine="400" w:firstLineChars="200"/>
              <w:jc w:val="left"/>
              <w:textAlignment w:val="auto"/>
              <w:rPr>
                <w:rFonts w:hint="default" w:ascii="Times New Roman" w:hAnsi="Times New Roman" w:eastAsia="宋体" w:cstheme="minorEastAsia"/>
                <w:b w:val="0"/>
                <w:bCs/>
                <w:sz w:val="20"/>
                <w:szCs w:val="20"/>
                <w:highlight w:val="none"/>
                <w:lang w:val="en-US" w:eastAsia="zh-CN"/>
              </w:rPr>
            </w:pPr>
            <w:r>
              <w:rPr>
                <w:rFonts w:hint="eastAsia" w:ascii="Times New Roman" w:hAnsi="Times New Roman" w:eastAsia="宋体" w:cstheme="minorEastAsia"/>
                <w:b w:val="0"/>
                <w:bCs/>
                <w:sz w:val="20"/>
                <w:szCs w:val="20"/>
                <w:highlight w:val="none"/>
                <w:lang w:val="en-US" w:eastAsia="zh-CN"/>
              </w:rPr>
              <w:t>1.根据投标人投标文件中提供本项目的服务方案、体检方案内容实施评分。</w:t>
            </w:r>
          </w:p>
          <w:p w14:paraId="706E745B">
            <w:pPr>
              <w:keepNext w:val="0"/>
              <w:keepLines w:val="0"/>
              <w:pageBreakBefore w:val="0"/>
              <w:widowControl/>
              <w:shd w:val="clear" w:color="auto" w:fill="FFFFFF"/>
              <w:kinsoku/>
              <w:wordWrap/>
              <w:overflowPunct/>
              <w:topLinePunct w:val="0"/>
              <w:autoSpaceDE/>
              <w:autoSpaceDN/>
              <w:bidi w:val="0"/>
              <w:adjustRightInd/>
              <w:snapToGrid/>
              <w:spacing w:line="260" w:lineRule="exact"/>
              <w:ind w:firstLine="400" w:firstLineChars="200"/>
              <w:jc w:val="left"/>
              <w:textAlignment w:val="auto"/>
              <w:rPr>
                <w:rFonts w:hint="eastAsia" w:ascii="Times New Roman" w:hAnsi="Times New Roman" w:eastAsia="宋体" w:cstheme="minorEastAsia"/>
                <w:b w:val="0"/>
                <w:bCs/>
                <w:sz w:val="20"/>
                <w:szCs w:val="20"/>
                <w:highlight w:val="none"/>
                <w:lang w:val="en-US" w:eastAsia="zh-CN"/>
              </w:rPr>
            </w:pPr>
            <w:r>
              <w:rPr>
                <w:rFonts w:hint="eastAsia" w:ascii="Times New Roman" w:hAnsi="Times New Roman" w:eastAsia="宋体" w:cstheme="minorEastAsia"/>
                <w:b w:val="0"/>
                <w:bCs/>
                <w:sz w:val="20"/>
                <w:szCs w:val="20"/>
                <w:highlight w:val="none"/>
                <w:lang w:val="en-US" w:eastAsia="zh-CN"/>
              </w:rPr>
              <w:t>2.</w:t>
            </w:r>
            <w:r>
              <w:rPr>
                <w:rFonts w:hint="eastAsia" w:ascii="Times New Roman" w:hAnsi="Times New Roman" w:eastAsia="宋体" w:cs="Times New Roman"/>
                <w:bCs/>
                <w:sz w:val="20"/>
                <w:szCs w:val="20"/>
                <w:highlight w:val="none"/>
                <w:lang w:val="en-US" w:eastAsia="zh-CN"/>
              </w:rPr>
              <w:t>投标人投标文件提供的</w:t>
            </w:r>
            <w:r>
              <w:rPr>
                <w:rFonts w:hint="eastAsia" w:ascii="Times New Roman" w:hAnsi="Times New Roman" w:eastAsia="宋体" w:cs="Times New Roman"/>
                <w:b w:val="0"/>
                <w:bCs/>
                <w:sz w:val="20"/>
                <w:szCs w:val="20"/>
                <w:highlight w:val="none"/>
                <w:lang w:val="en-US" w:eastAsia="zh-CN"/>
              </w:rPr>
              <w:t>体检责任医师员额名单（格式自拟）。</w:t>
            </w:r>
          </w:p>
        </w:tc>
        <w:tc>
          <w:tcPr>
            <w:tcW w:w="708" w:type="pct"/>
            <w:tcBorders>
              <w:tl2br w:val="nil"/>
              <w:tr2bl w:val="nil"/>
            </w:tcBorders>
            <w:vAlign w:val="center"/>
          </w:tcPr>
          <w:p w14:paraId="0BD04193">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zCs w:val="21"/>
                <w:highlight w:val="none"/>
                <w:lang w:val="en-US" w:eastAsia="zh-CN"/>
              </w:rPr>
            </w:pPr>
            <w:r>
              <w:rPr>
                <w:rFonts w:hint="eastAsia" w:ascii="Times New Roman" w:hAnsi="Times New Roman" w:eastAsia="宋体" w:cs="Times New Roman"/>
                <w:bCs/>
                <w:szCs w:val="21"/>
                <w:highlight w:val="none"/>
                <w:lang w:val="en-US" w:eastAsia="zh-CN"/>
              </w:rPr>
              <w:t xml:space="preserve">34分 </w:t>
            </w:r>
          </w:p>
        </w:tc>
      </w:tr>
      <w:tr w14:paraId="7E236E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64" w:hRule="atLeast"/>
          <w:jc w:val="center"/>
        </w:trPr>
        <w:tc>
          <w:tcPr>
            <w:tcW w:w="328" w:type="pct"/>
            <w:tcBorders>
              <w:tl2br w:val="nil"/>
              <w:tr2bl w:val="nil"/>
            </w:tcBorders>
            <w:vAlign w:val="center"/>
          </w:tcPr>
          <w:p w14:paraId="111DC90E">
            <w:pPr>
              <w:keepNext w:val="0"/>
              <w:keepLines w:val="0"/>
              <w:pageBreakBefore w:val="0"/>
              <w:widowControl/>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宋体" w:cs="Times New Roman"/>
                <w:bCs/>
                <w:sz w:val="20"/>
                <w:szCs w:val="20"/>
                <w:highlight w:val="none"/>
                <w:lang w:val="en-US" w:eastAsia="zh-CN"/>
              </w:rPr>
            </w:pPr>
            <w:r>
              <w:rPr>
                <w:rFonts w:hint="eastAsia" w:ascii="Times New Roman" w:hAnsi="Times New Roman" w:eastAsia="宋体" w:cs="Times New Roman"/>
                <w:bCs/>
                <w:sz w:val="20"/>
                <w:szCs w:val="20"/>
                <w:highlight w:val="none"/>
                <w:lang w:val="en-US" w:eastAsia="zh-CN"/>
              </w:rPr>
              <w:t>7</w:t>
            </w:r>
          </w:p>
        </w:tc>
        <w:tc>
          <w:tcPr>
            <w:tcW w:w="527" w:type="pct"/>
            <w:tcBorders>
              <w:tl2br w:val="nil"/>
              <w:tr2bl w:val="nil"/>
            </w:tcBorders>
            <w:vAlign w:val="center"/>
          </w:tcPr>
          <w:p w14:paraId="3978D540">
            <w:pPr>
              <w:keepNext w:val="0"/>
              <w:keepLines w:val="0"/>
              <w:pageBreakBefore w:val="0"/>
              <w:kinsoku/>
              <w:wordWrap/>
              <w:overflowPunct/>
              <w:topLinePunct w:val="0"/>
              <w:autoSpaceDE/>
              <w:autoSpaceDN/>
              <w:bidi w:val="0"/>
              <w:snapToGrid w:val="0"/>
              <w:spacing w:line="280" w:lineRule="exact"/>
              <w:jc w:val="center"/>
              <w:textAlignment w:val="auto"/>
              <w:rPr>
                <w:rStyle w:val="22"/>
                <w:rFonts w:ascii="Times New Roman" w:hAnsi="Times New Roman" w:eastAsia="宋体" w:cs="Times New Roman"/>
                <w:bCs/>
                <w:sz w:val="20"/>
                <w:szCs w:val="20"/>
                <w:highlight w:val="none"/>
              </w:rPr>
            </w:pPr>
            <w:r>
              <w:rPr>
                <w:rStyle w:val="22"/>
                <w:rFonts w:hint="eastAsia" w:ascii="Times New Roman" w:hAnsi="Times New Roman" w:eastAsia="宋体" w:cs="Times New Roman"/>
                <w:bCs/>
                <w:sz w:val="20"/>
                <w:szCs w:val="20"/>
                <w:highlight w:val="none"/>
              </w:rPr>
              <w:t>员工</w:t>
            </w:r>
            <w:r>
              <w:rPr>
                <w:rStyle w:val="22"/>
                <w:rFonts w:hint="eastAsia" w:ascii="Times New Roman" w:hAnsi="Times New Roman" w:eastAsia="宋体" w:cs="Times New Roman"/>
                <w:bCs/>
                <w:sz w:val="20"/>
                <w:szCs w:val="20"/>
                <w:highlight w:val="none"/>
                <w:lang w:eastAsia="zh-CN"/>
              </w:rPr>
              <w:t>自费检查</w:t>
            </w:r>
            <w:r>
              <w:rPr>
                <w:rStyle w:val="22"/>
                <w:rFonts w:hint="eastAsia" w:ascii="Times New Roman" w:hAnsi="Times New Roman" w:eastAsia="宋体" w:cs="Times New Roman"/>
                <w:bCs/>
                <w:sz w:val="20"/>
                <w:szCs w:val="20"/>
                <w:highlight w:val="none"/>
              </w:rPr>
              <w:t>体检优惠服务</w:t>
            </w:r>
          </w:p>
        </w:tc>
        <w:tc>
          <w:tcPr>
            <w:tcW w:w="3435" w:type="pct"/>
            <w:tcBorders>
              <w:tl2br w:val="nil"/>
              <w:tr2bl w:val="nil"/>
            </w:tcBorders>
            <w:vAlign w:val="center"/>
          </w:tcPr>
          <w:p w14:paraId="5B0DF7F9">
            <w:pPr>
              <w:keepNext w:val="0"/>
              <w:keepLines w:val="0"/>
              <w:pageBreakBefore w:val="0"/>
              <w:widowControl/>
              <w:kinsoku/>
              <w:wordWrap/>
              <w:overflowPunct/>
              <w:topLinePunct w:val="0"/>
              <w:autoSpaceDE/>
              <w:autoSpaceDN/>
              <w:bidi w:val="0"/>
              <w:spacing w:line="280" w:lineRule="exact"/>
              <w:jc w:val="both"/>
              <w:textAlignment w:val="auto"/>
              <w:rPr>
                <w:rFonts w:hint="eastAsia" w:ascii="Times New Roman" w:hAnsi="Times New Roman" w:eastAsia="宋体" w:cs="Times New Roman"/>
                <w:bCs/>
                <w:sz w:val="20"/>
                <w:szCs w:val="20"/>
                <w:highlight w:val="none"/>
              </w:rPr>
            </w:pPr>
            <w:r>
              <w:rPr>
                <w:rFonts w:hint="eastAsia" w:ascii="Times New Roman" w:hAnsi="Times New Roman" w:eastAsia="宋体" w:cs="Times New Roman"/>
                <w:b/>
                <w:bCs w:val="0"/>
                <w:sz w:val="20"/>
                <w:szCs w:val="20"/>
                <w:highlight w:val="none"/>
                <w:lang w:val="en-US" w:eastAsia="zh-CN"/>
              </w:rPr>
              <w:t>评审标准：</w:t>
            </w:r>
            <w:r>
              <w:rPr>
                <w:rFonts w:hint="eastAsia" w:ascii="Times New Roman" w:hAnsi="Times New Roman" w:eastAsia="宋体" w:cs="Times New Roman"/>
                <w:b w:val="0"/>
                <w:bCs/>
                <w:sz w:val="20"/>
                <w:szCs w:val="20"/>
                <w:highlight w:val="none"/>
                <w:lang w:val="en-US" w:eastAsia="zh-CN"/>
              </w:rPr>
              <w:t>根据</w:t>
            </w:r>
            <w:r>
              <w:rPr>
                <w:rFonts w:hint="eastAsia" w:ascii="Times New Roman" w:hAnsi="Times New Roman" w:eastAsia="宋体" w:cs="Times New Roman"/>
                <w:bCs/>
                <w:sz w:val="20"/>
                <w:szCs w:val="20"/>
                <w:highlight w:val="none"/>
              </w:rPr>
              <w:t>投标人承诺对</w:t>
            </w:r>
            <w:r>
              <w:rPr>
                <w:rFonts w:hint="eastAsia" w:ascii="Times New Roman" w:hAnsi="Times New Roman" w:eastAsia="宋体" w:cs="Times New Roman"/>
                <w:bCs/>
                <w:sz w:val="20"/>
                <w:szCs w:val="20"/>
                <w:highlight w:val="none"/>
                <w:lang w:val="en-US" w:eastAsia="zh-CN"/>
              </w:rPr>
              <w:t>招标人外派</w:t>
            </w:r>
            <w:r>
              <w:rPr>
                <w:rFonts w:hint="eastAsia" w:ascii="Times New Roman" w:hAnsi="Times New Roman" w:eastAsia="宋体" w:cs="Times New Roman"/>
                <w:bCs/>
                <w:sz w:val="20"/>
                <w:szCs w:val="20"/>
                <w:highlight w:val="none"/>
              </w:rPr>
              <w:t>员工单独</w:t>
            </w:r>
            <w:r>
              <w:rPr>
                <w:rFonts w:hint="eastAsia" w:ascii="Times New Roman" w:hAnsi="Times New Roman" w:eastAsia="宋体" w:cs="Times New Roman"/>
                <w:bCs/>
                <w:sz w:val="20"/>
                <w:szCs w:val="20"/>
                <w:highlight w:val="none"/>
                <w:lang w:val="en-US" w:eastAsia="zh-CN"/>
              </w:rPr>
              <w:t>增加体检项目价格折扣优惠情况进行</w:t>
            </w:r>
            <w:r>
              <w:rPr>
                <w:rFonts w:hint="eastAsia" w:ascii="Times New Roman" w:hAnsi="Times New Roman" w:eastAsia="宋体" w:cs="Times New Roman"/>
                <w:bCs/>
                <w:sz w:val="20"/>
                <w:szCs w:val="20"/>
                <w:highlight w:val="none"/>
              </w:rPr>
              <w:t>排序评分，优惠程度最高得</w:t>
            </w:r>
            <w:r>
              <w:rPr>
                <w:rFonts w:hint="eastAsia" w:ascii="Times New Roman" w:hAnsi="Times New Roman" w:eastAsia="宋体" w:cs="Times New Roman"/>
                <w:bCs/>
                <w:sz w:val="20"/>
                <w:szCs w:val="20"/>
                <w:highlight w:val="none"/>
                <w:lang w:val="en-US" w:eastAsia="zh-CN"/>
              </w:rPr>
              <w:t>10</w:t>
            </w:r>
            <w:r>
              <w:rPr>
                <w:rFonts w:hint="eastAsia" w:ascii="Times New Roman" w:hAnsi="Times New Roman" w:eastAsia="宋体" w:cs="Times New Roman"/>
                <w:bCs/>
                <w:sz w:val="20"/>
                <w:szCs w:val="20"/>
                <w:highlight w:val="none"/>
              </w:rPr>
              <w:t>分，</w:t>
            </w:r>
            <w:r>
              <w:rPr>
                <w:rFonts w:hint="eastAsia" w:ascii="Times New Roman" w:hAnsi="Times New Roman" w:eastAsia="宋体" w:cs="Times New Roman"/>
                <w:bCs/>
                <w:sz w:val="20"/>
                <w:szCs w:val="20"/>
                <w:highlight w:val="none"/>
                <w:lang w:val="en-US" w:eastAsia="zh-CN"/>
              </w:rPr>
              <w:t>次高得7分，以此类推</w:t>
            </w:r>
            <w:r>
              <w:rPr>
                <w:rFonts w:hint="eastAsia" w:ascii="Times New Roman" w:hAnsi="Times New Roman" w:eastAsia="宋体" w:cs="Times New Roman"/>
                <w:bCs/>
                <w:sz w:val="20"/>
                <w:szCs w:val="20"/>
                <w:highlight w:val="none"/>
              </w:rPr>
              <w:t>。</w:t>
            </w:r>
          </w:p>
          <w:p w14:paraId="73F167AF">
            <w:pPr>
              <w:keepNext w:val="0"/>
              <w:keepLines w:val="0"/>
              <w:pageBreakBefore w:val="0"/>
              <w:widowControl/>
              <w:kinsoku/>
              <w:wordWrap/>
              <w:overflowPunct/>
              <w:topLinePunct w:val="0"/>
              <w:autoSpaceDE/>
              <w:autoSpaceDN/>
              <w:bidi w:val="0"/>
              <w:spacing w:line="280" w:lineRule="exact"/>
              <w:jc w:val="both"/>
              <w:textAlignment w:val="auto"/>
              <w:rPr>
                <w:rFonts w:hint="eastAsia" w:ascii="Times New Roman" w:hAnsi="Times New Roman" w:eastAsia="宋体" w:cs="Times New Roman"/>
                <w:bCs/>
                <w:sz w:val="20"/>
                <w:szCs w:val="20"/>
                <w:highlight w:val="none"/>
                <w:lang w:val="en-US" w:eastAsia="zh-CN"/>
              </w:rPr>
            </w:pPr>
            <w:r>
              <w:rPr>
                <w:rFonts w:hint="eastAsia" w:ascii="Times New Roman" w:hAnsi="Times New Roman" w:eastAsia="宋体" w:cs="Times New Roman"/>
                <w:b/>
                <w:bCs w:val="0"/>
                <w:sz w:val="20"/>
                <w:szCs w:val="20"/>
                <w:highlight w:val="none"/>
                <w:lang w:val="en-US" w:eastAsia="zh-CN"/>
              </w:rPr>
              <w:t>证明材料：</w:t>
            </w:r>
            <w:r>
              <w:rPr>
                <w:rFonts w:hint="eastAsia" w:ascii="Times New Roman" w:hAnsi="Times New Roman" w:eastAsia="宋体" w:cstheme="minorEastAsia"/>
                <w:b w:val="0"/>
                <w:bCs/>
                <w:sz w:val="20"/>
                <w:szCs w:val="20"/>
                <w:highlight w:val="none"/>
                <w:lang w:val="en-US" w:eastAsia="zh-CN"/>
              </w:rPr>
              <w:t>根据投标人提供的给予的折扣情况进行评分。投标人需提供《服务保价承诺函》，格式详见本项目 投标文件格式 附件8《服务保价承诺函》。</w:t>
            </w:r>
          </w:p>
        </w:tc>
        <w:tc>
          <w:tcPr>
            <w:tcW w:w="708" w:type="pct"/>
            <w:tcBorders>
              <w:tl2br w:val="nil"/>
              <w:tr2bl w:val="nil"/>
            </w:tcBorders>
            <w:vAlign w:val="center"/>
          </w:tcPr>
          <w:p w14:paraId="5E823D89">
            <w:pPr>
              <w:keepNext w:val="0"/>
              <w:keepLines w:val="0"/>
              <w:pageBreakBefore w:val="0"/>
              <w:kinsoku/>
              <w:wordWrap/>
              <w:overflowPunct/>
              <w:topLinePunct w:val="0"/>
              <w:autoSpaceDE/>
              <w:autoSpaceDN/>
              <w:bidi w:val="0"/>
              <w:adjustRightInd w:val="0"/>
              <w:snapToGrid w:val="0"/>
              <w:spacing w:line="280" w:lineRule="exact"/>
              <w:jc w:val="center"/>
              <w:textAlignment w:val="auto"/>
              <w:rPr>
                <w:rFonts w:ascii="Times New Roman" w:hAnsi="Times New Roman" w:eastAsia="宋体" w:cs="Times New Roman"/>
                <w:bCs/>
                <w:szCs w:val="21"/>
                <w:highlight w:val="none"/>
              </w:rPr>
            </w:pPr>
            <w:r>
              <w:rPr>
                <w:rFonts w:hint="eastAsia" w:ascii="Times New Roman" w:hAnsi="Times New Roman" w:eastAsia="宋体" w:cs="Times New Roman"/>
                <w:bCs/>
                <w:szCs w:val="21"/>
                <w:highlight w:val="none"/>
                <w:lang w:val="en-US" w:eastAsia="zh-CN"/>
              </w:rPr>
              <w:t>10</w:t>
            </w:r>
            <w:r>
              <w:rPr>
                <w:rFonts w:hint="eastAsia" w:ascii="Times New Roman" w:hAnsi="Times New Roman" w:eastAsia="宋体" w:cs="Times New Roman"/>
                <w:bCs/>
                <w:szCs w:val="21"/>
                <w:highlight w:val="none"/>
              </w:rPr>
              <w:t>分</w:t>
            </w:r>
          </w:p>
        </w:tc>
      </w:tr>
      <w:tr w14:paraId="71ECFD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4291" w:type="pct"/>
            <w:gridSpan w:val="3"/>
            <w:tcBorders>
              <w:tl2br w:val="nil"/>
              <w:tr2bl w:val="nil"/>
            </w:tcBorders>
            <w:vAlign w:val="center"/>
          </w:tcPr>
          <w:p w14:paraId="56B6746F">
            <w:pPr>
              <w:keepNext w:val="0"/>
              <w:keepLines w:val="0"/>
              <w:pageBreakBefore w:val="0"/>
              <w:kinsoku/>
              <w:wordWrap/>
              <w:overflowPunct/>
              <w:topLinePunct w:val="0"/>
              <w:autoSpaceDE/>
              <w:autoSpaceDN/>
              <w:bidi w:val="0"/>
              <w:spacing w:line="280" w:lineRule="exact"/>
              <w:jc w:val="center"/>
              <w:textAlignment w:val="auto"/>
              <w:rPr>
                <w:rFonts w:ascii="Times New Roman" w:hAnsi="Times New Roman" w:eastAsia="宋体" w:cs="Times New Roman"/>
                <w:b/>
                <w:szCs w:val="21"/>
                <w:highlight w:val="none"/>
              </w:rPr>
            </w:pPr>
            <w:r>
              <w:rPr>
                <w:rFonts w:hint="eastAsia" w:ascii="Times New Roman" w:hAnsi="Times New Roman" w:eastAsia="宋体" w:cs="Times New Roman"/>
                <w:b/>
                <w:szCs w:val="21"/>
                <w:highlight w:val="none"/>
              </w:rPr>
              <w:t>合计</w:t>
            </w:r>
          </w:p>
        </w:tc>
        <w:tc>
          <w:tcPr>
            <w:tcW w:w="708" w:type="pct"/>
            <w:tcBorders>
              <w:tl2br w:val="nil"/>
              <w:tr2bl w:val="nil"/>
            </w:tcBorders>
            <w:vAlign w:val="center"/>
          </w:tcPr>
          <w:p w14:paraId="6691108B">
            <w:pPr>
              <w:keepNext w:val="0"/>
              <w:keepLines w:val="0"/>
              <w:pageBreakBefore w:val="0"/>
              <w:widowControl/>
              <w:kinsoku/>
              <w:wordWrap/>
              <w:overflowPunct/>
              <w:topLinePunct w:val="0"/>
              <w:autoSpaceDE/>
              <w:autoSpaceDN/>
              <w:bidi w:val="0"/>
              <w:adjustRightInd w:val="0"/>
              <w:snapToGrid w:val="0"/>
              <w:spacing w:line="280" w:lineRule="exact"/>
              <w:jc w:val="center"/>
              <w:textAlignment w:val="auto"/>
              <w:rPr>
                <w:rFonts w:ascii="Times New Roman" w:hAnsi="Times New Roman" w:eastAsia="宋体" w:cs="Times New Roman"/>
                <w:b/>
                <w:szCs w:val="21"/>
                <w:highlight w:val="none"/>
              </w:rPr>
            </w:pPr>
            <w:r>
              <w:rPr>
                <w:rFonts w:hint="eastAsia" w:ascii="Times New Roman" w:hAnsi="Times New Roman" w:eastAsia="宋体" w:cs="Times New Roman"/>
                <w:b/>
                <w:szCs w:val="21"/>
                <w:highlight w:val="none"/>
              </w:rPr>
              <w:t>100分</w:t>
            </w:r>
          </w:p>
        </w:tc>
      </w:tr>
    </w:tbl>
    <w:p w14:paraId="5BE7B68A">
      <w:pPr>
        <w:keepNext w:val="0"/>
        <w:keepLines w:val="0"/>
        <w:pageBreakBefore w:val="0"/>
        <w:widowControl/>
        <w:kinsoku/>
        <w:wordWrap/>
        <w:overflowPunct/>
        <w:topLinePunct w:val="0"/>
        <w:autoSpaceDE/>
        <w:autoSpaceDN/>
        <w:bidi w:val="0"/>
        <w:adjustRightInd w:val="0"/>
        <w:snapToGrid w:val="0"/>
        <w:spacing w:line="280" w:lineRule="exact"/>
        <w:ind w:firstLine="422" w:firstLineChars="200"/>
        <w:textAlignment w:val="auto"/>
        <w:rPr>
          <w:rFonts w:hint="eastAsia" w:ascii="仿宋_GB2312" w:hAnsi="仿宋_GB2312" w:eastAsia="仿宋_GB2312" w:cs="仿宋_GB2312"/>
          <w:b/>
          <w:szCs w:val="21"/>
          <w:highlight w:val="none"/>
        </w:rPr>
      </w:pPr>
      <w:r>
        <w:rPr>
          <w:rFonts w:hint="eastAsia" w:ascii="仿宋_GB2312" w:hAnsi="仿宋_GB2312" w:eastAsia="仿宋_GB2312" w:cs="仿宋_GB2312"/>
          <w:b/>
          <w:szCs w:val="21"/>
          <w:highlight w:val="none"/>
        </w:rPr>
        <w:t>说明：</w:t>
      </w:r>
    </w:p>
    <w:p w14:paraId="16B12AFC">
      <w:pPr>
        <w:keepNext w:val="0"/>
        <w:keepLines w:val="0"/>
        <w:pageBreakBefore w:val="0"/>
        <w:widowControl/>
        <w:kinsoku/>
        <w:wordWrap/>
        <w:overflowPunct/>
        <w:topLinePunct w:val="0"/>
        <w:autoSpaceDE/>
        <w:autoSpaceDN/>
        <w:bidi w:val="0"/>
        <w:adjustRightInd w:val="0"/>
        <w:snapToGrid w:val="0"/>
        <w:spacing w:line="280" w:lineRule="exact"/>
        <w:ind w:firstLine="420" w:firstLineChars="200"/>
        <w:textAlignment w:val="auto"/>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1.本表评审依据要求的各项证明文件须编入投标文件，复印件加盖投标人公章。</w:t>
      </w:r>
    </w:p>
    <w:p w14:paraId="01365A3D">
      <w:pPr>
        <w:keepNext w:val="0"/>
        <w:keepLines w:val="0"/>
        <w:pageBreakBefore w:val="0"/>
        <w:widowControl/>
        <w:kinsoku/>
        <w:wordWrap/>
        <w:overflowPunct/>
        <w:topLinePunct w:val="0"/>
        <w:autoSpaceDE/>
        <w:autoSpaceDN/>
        <w:bidi w:val="0"/>
        <w:adjustRightInd w:val="0"/>
        <w:snapToGrid w:val="0"/>
        <w:spacing w:line="280" w:lineRule="exact"/>
        <w:ind w:firstLine="420" w:firstLineChars="200"/>
        <w:textAlignment w:val="auto"/>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2.表中要求提供相关证明文件的内容，投标文件中须明确加以说明并提供，未按要求提供相关文件或说明不清楚或评标专家组无法凭所提供的材料判断是否得分的情况，一律作不得分处理。</w:t>
      </w:r>
    </w:p>
    <w:p w14:paraId="5088F85E">
      <w:pPr>
        <w:keepNext/>
        <w:keepLines/>
        <w:widowControl/>
        <w:numPr>
          <w:ilvl w:val="3"/>
          <w:numId w:val="0"/>
        </w:numPr>
        <w:adjustRightInd w:val="0"/>
        <w:snapToGrid w:val="0"/>
        <w:spacing w:line="360" w:lineRule="auto"/>
        <w:jc w:val="left"/>
        <w:outlineLvl w:val="3"/>
        <w:rPr>
          <w:rFonts w:hint="eastAsia" w:ascii="方正小标宋简体" w:hAnsi="方正小标宋简体" w:eastAsia="方正小标宋简体" w:cs="方正小标宋简体"/>
          <w:b w:val="0"/>
          <w:bCs/>
          <w:sz w:val="32"/>
          <w:szCs w:val="32"/>
          <w:highlight w:val="none"/>
        </w:rPr>
      </w:pPr>
      <w:r>
        <w:rPr>
          <w:rFonts w:hint="eastAsia" w:ascii="仿宋_GB2312" w:hAnsi="仿宋_GB2312" w:eastAsia="仿宋_GB2312" w:cs="仿宋_GB2312"/>
          <w:b/>
          <w:sz w:val="28"/>
          <w:szCs w:val="28"/>
          <w:highlight w:val="none"/>
        </w:rPr>
        <w:br w:type="page"/>
      </w:r>
      <w:r>
        <w:rPr>
          <w:rFonts w:hint="eastAsia" w:ascii="仿宋" w:hAnsi="仿宋" w:eastAsia="仿宋" w:cs="仿宋"/>
          <w:b w:val="0"/>
          <w:bCs/>
          <w:sz w:val="21"/>
          <w:szCs w:val="21"/>
          <w:highlight w:val="none"/>
        </w:rPr>
        <w:t>附表2《价格标评分方法》</w:t>
      </w:r>
    </w:p>
    <w:p w14:paraId="28974A49">
      <w:pPr>
        <w:widowControl/>
        <w:adjustRightInd w:val="0"/>
        <w:snapToGrid w:val="0"/>
        <w:spacing w:line="360" w:lineRule="auto"/>
        <w:jc w:val="center"/>
        <w:rPr>
          <w:rFonts w:hint="eastAsia" w:ascii="方正小标宋简体" w:hAnsi="方正小标宋简体" w:eastAsia="方正小标宋简体" w:cs="方正小标宋简体"/>
          <w:b w:val="0"/>
          <w:bCs/>
          <w:sz w:val="32"/>
          <w:szCs w:val="32"/>
          <w:highlight w:val="none"/>
        </w:rPr>
      </w:pPr>
      <w:r>
        <w:rPr>
          <w:rFonts w:hint="eastAsia" w:ascii="方正小标宋简体" w:hAnsi="方正小标宋简体" w:eastAsia="方正小标宋简体" w:cs="方正小标宋简体"/>
          <w:b w:val="0"/>
          <w:bCs/>
          <w:sz w:val="32"/>
          <w:szCs w:val="32"/>
          <w:highlight w:val="none"/>
        </w:rPr>
        <w:t>价格标评分方法</w:t>
      </w:r>
    </w:p>
    <w:tbl>
      <w:tblPr>
        <w:tblStyle w:val="15"/>
        <w:tblW w:w="5099" w:type="pct"/>
        <w:tblInd w:w="-283"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1514"/>
        <w:gridCol w:w="2448"/>
        <w:gridCol w:w="873"/>
        <w:gridCol w:w="3675"/>
      </w:tblGrid>
      <w:tr w14:paraId="71BEA4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1" w:hRule="atLeast"/>
        </w:trPr>
        <w:tc>
          <w:tcPr>
            <w:tcW w:w="396" w:type="pct"/>
            <w:tcBorders>
              <w:tl2br w:val="nil"/>
              <w:tr2bl w:val="nil"/>
            </w:tcBorders>
            <w:vAlign w:val="center"/>
          </w:tcPr>
          <w:p w14:paraId="331E1578">
            <w:pPr>
              <w:spacing w:line="280" w:lineRule="exact"/>
              <w:jc w:val="center"/>
              <w:rPr>
                <w:rFonts w:ascii="Times New Roman" w:hAnsi="Times New Roman" w:eastAsia="宋体" w:cs="Times New Roman"/>
                <w:b/>
                <w:sz w:val="21"/>
                <w:szCs w:val="21"/>
                <w:highlight w:val="none"/>
              </w:rPr>
            </w:pPr>
            <w:r>
              <w:rPr>
                <w:rFonts w:hint="eastAsia" w:ascii="Times New Roman" w:hAnsi="Times New Roman" w:eastAsia="宋体" w:cs="Times New Roman"/>
                <w:b/>
                <w:sz w:val="21"/>
                <w:szCs w:val="21"/>
                <w:highlight w:val="none"/>
              </w:rPr>
              <w:t>序号</w:t>
            </w:r>
          </w:p>
        </w:tc>
        <w:tc>
          <w:tcPr>
            <w:tcW w:w="819" w:type="pct"/>
            <w:tcBorders>
              <w:tl2br w:val="nil"/>
              <w:tr2bl w:val="nil"/>
            </w:tcBorders>
            <w:vAlign w:val="center"/>
          </w:tcPr>
          <w:p w14:paraId="7ACE969A">
            <w:pPr>
              <w:widowControl/>
              <w:adjustRightInd w:val="0"/>
              <w:snapToGrid w:val="0"/>
              <w:spacing w:line="360" w:lineRule="auto"/>
              <w:ind w:firstLine="211" w:firstLineChars="100"/>
              <w:rPr>
                <w:rFonts w:ascii="Times New Roman" w:hAnsi="Times New Roman" w:eastAsia="宋体" w:cs="Times New Roman"/>
                <w:b/>
                <w:sz w:val="21"/>
                <w:szCs w:val="21"/>
                <w:highlight w:val="none"/>
              </w:rPr>
            </w:pPr>
            <w:r>
              <w:rPr>
                <w:rFonts w:hint="eastAsia" w:ascii="Times New Roman" w:hAnsi="Times New Roman" w:eastAsia="宋体" w:cs="Times New Roman"/>
                <w:b/>
                <w:sz w:val="21"/>
                <w:szCs w:val="21"/>
                <w:highlight w:val="none"/>
              </w:rPr>
              <w:t>评分因素</w:t>
            </w:r>
          </w:p>
        </w:tc>
        <w:tc>
          <w:tcPr>
            <w:tcW w:w="1323" w:type="pct"/>
            <w:tcBorders>
              <w:tl2br w:val="nil"/>
              <w:tr2bl w:val="nil"/>
            </w:tcBorders>
            <w:vAlign w:val="center"/>
          </w:tcPr>
          <w:p w14:paraId="09A6649E">
            <w:pPr>
              <w:widowControl/>
              <w:adjustRightInd w:val="0"/>
              <w:snapToGrid w:val="0"/>
              <w:spacing w:line="360" w:lineRule="auto"/>
              <w:jc w:val="center"/>
              <w:rPr>
                <w:rFonts w:ascii="Times New Roman" w:hAnsi="Times New Roman" w:eastAsia="宋体" w:cs="Times New Roman"/>
                <w:b/>
                <w:sz w:val="21"/>
                <w:szCs w:val="21"/>
                <w:highlight w:val="none"/>
              </w:rPr>
            </w:pPr>
            <w:r>
              <w:rPr>
                <w:rFonts w:hint="eastAsia" w:ascii="Times New Roman" w:hAnsi="Times New Roman" w:eastAsia="宋体" w:cs="Times New Roman"/>
                <w:b/>
                <w:sz w:val="21"/>
                <w:szCs w:val="21"/>
                <w:highlight w:val="none"/>
              </w:rPr>
              <w:t>评分准则</w:t>
            </w:r>
          </w:p>
        </w:tc>
        <w:tc>
          <w:tcPr>
            <w:tcW w:w="472" w:type="pct"/>
            <w:tcBorders>
              <w:tl2br w:val="nil"/>
              <w:tr2bl w:val="nil"/>
            </w:tcBorders>
            <w:vAlign w:val="center"/>
          </w:tcPr>
          <w:p w14:paraId="3BCB03E2">
            <w:pPr>
              <w:widowControl/>
              <w:adjustRightInd w:val="0"/>
              <w:snapToGrid w:val="0"/>
              <w:spacing w:line="360" w:lineRule="auto"/>
              <w:jc w:val="center"/>
              <w:rPr>
                <w:rFonts w:ascii="Times New Roman" w:hAnsi="Times New Roman" w:eastAsia="宋体" w:cs="Times New Roman"/>
                <w:b/>
                <w:sz w:val="21"/>
                <w:szCs w:val="21"/>
                <w:highlight w:val="none"/>
              </w:rPr>
            </w:pPr>
            <w:r>
              <w:rPr>
                <w:rFonts w:hint="eastAsia" w:ascii="Times New Roman" w:hAnsi="Times New Roman" w:eastAsia="宋体" w:cs="Times New Roman"/>
                <w:b/>
                <w:sz w:val="21"/>
                <w:szCs w:val="21"/>
                <w:highlight w:val="none"/>
              </w:rPr>
              <w:t>分值</w:t>
            </w:r>
          </w:p>
        </w:tc>
        <w:tc>
          <w:tcPr>
            <w:tcW w:w="1988" w:type="pct"/>
            <w:tcBorders>
              <w:tl2br w:val="nil"/>
              <w:tr2bl w:val="nil"/>
            </w:tcBorders>
            <w:vAlign w:val="center"/>
          </w:tcPr>
          <w:p w14:paraId="00C68B9A">
            <w:pPr>
              <w:widowControl/>
              <w:adjustRightInd w:val="0"/>
              <w:snapToGrid w:val="0"/>
              <w:spacing w:line="360" w:lineRule="auto"/>
              <w:jc w:val="center"/>
              <w:rPr>
                <w:rFonts w:ascii="Times New Roman" w:hAnsi="Times New Roman" w:eastAsia="宋体" w:cs="Times New Roman"/>
                <w:b/>
                <w:sz w:val="21"/>
                <w:szCs w:val="21"/>
                <w:highlight w:val="none"/>
              </w:rPr>
            </w:pPr>
            <w:r>
              <w:rPr>
                <w:rFonts w:hint="eastAsia" w:ascii="Times New Roman" w:hAnsi="Times New Roman" w:eastAsia="宋体" w:cs="Times New Roman"/>
                <w:b/>
                <w:sz w:val="21"/>
                <w:szCs w:val="21"/>
                <w:highlight w:val="none"/>
              </w:rPr>
              <w:t>备注</w:t>
            </w:r>
          </w:p>
        </w:tc>
      </w:tr>
      <w:tr w14:paraId="3A5CDB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02" w:hRule="atLeast"/>
        </w:trPr>
        <w:tc>
          <w:tcPr>
            <w:tcW w:w="396" w:type="pct"/>
            <w:tcBorders>
              <w:tl2br w:val="nil"/>
              <w:tr2bl w:val="nil"/>
            </w:tcBorders>
            <w:vAlign w:val="center"/>
          </w:tcPr>
          <w:p w14:paraId="29EBAB1E">
            <w:pPr>
              <w:spacing w:line="280" w:lineRule="exact"/>
              <w:jc w:val="center"/>
              <w:rPr>
                <w:rFonts w:ascii="Times New Roman" w:hAnsi="Times New Roman" w:eastAsia="宋体" w:cs="Times New Roman"/>
                <w:bCs/>
                <w:sz w:val="21"/>
                <w:szCs w:val="21"/>
                <w:highlight w:val="none"/>
              </w:rPr>
            </w:pPr>
            <w:r>
              <w:rPr>
                <w:rFonts w:hint="eastAsia" w:ascii="Times New Roman" w:hAnsi="Times New Roman" w:eastAsia="宋体" w:cs="Times New Roman"/>
                <w:bCs/>
                <w:sz w:val="21"/>
                <w:szCs w:val="21"/>
                <w:highlight w:val="none"/>
              </w:rPr>
              <w:t>1</w:t>
            </w:r>
          </w:p>
        </w:tc>
        <w:tc>
          <w:tcPr>
            <w:tcW w:w="819" w:type="pct"/>
            <w:tcBorders>
              <w:tl2br w:val="nil"/>
              <w:tr2bl w:val="nil"/>
            </w:tcBorders>
            <w:vAlign w:val="center"/>
          </w:tcPr>
          <w:p w14:paraId="00CE066F">
            <w:pPr>
              <w:spacing w:line="280" w:lineRule="exact"/>
              <w:jc w:val="center"/>
              <w:rPr>
                <w:rFonts w:ascii="Times New Roman" w:hAnsi="Times New Roman" w:eastAsia="宋体" w:cs="Times New Roman"/>
                <w:bCs/>
                <w:sz w:val="21"/>
                <w:szCs w:val="21"/>
                <w:highlight w:val="none"/>
              </w:rPr>
            </w:pPr>
            <w:r>
              <w:rPr>
                <w:rFonts w:hint="eastAsia" w:ascii="Times New Roman" w:hAnsi="Times New Roman" w:eastAsia="宋体" w:cs="Times New Roman"/>
                <w:bCs/>
                <w:sz w:val="21"/>
                <w:szCs w:val="21"/>
                <w:highlight w:val="none"/>
              </w:rPr>
              <w:t>项目总报价</w:t>
            </w:r>
          </w:p>
        </w:tc>
        <w:tc>
          <w:tcPr>
            <w:tcW w:w="1323" w:type="pct"/>
            <w:tcBorders>
              <w:tl2br w:val="nil"/>
              <w:tr2bl w:val="nil"/>
            </w:tcBorders>
            <w:vAlign w:val="center"/>
          </w:tcPr>
          <w:p w14:paraId="42BCC834">
            <w:pPr>
              <w:spacing w:line="280" w:lineRule="exact"/>
              <w:jc w:val="left"/>
              <w:rPr>
                <w:rFonts w:ascii="Times New Roman" w:hAnsi="Times New Roman" w:eastAsia="宋体" w:cs="Times New Roman"/>
                <w:bCs/>
                <w:sz w:val="21"/>
                <w:szCs w:val="21"/>
                <w:highlight w:val="none"/>
              </w:rPr>
            </w:pPr>
            <w:r>
              <w:rPr>
                <w:rFonts w:hint="eastAsia" w:ascii="Times New Roman" w:hAnsi="Times New Roman" w:eastAsia="宋体" w:cs="Times New Roman"/>
                <w:bCs/>
                <w:sz w:val="21"/>
                <w:szCs w:val="21"/>
                <w:highlight w:val="none"/>
              </w:rPr>
              <w:t>在商务技术满足基准要求的前提下，项目总报价最低的投标人得满分，第二名得分</w:t>
            </w:r>
            <w:r>
              <w:rPr>
                <w:rFonts w:hint="eastAsia" w:ascii="Times New Roman" w:hAnsi="Times New Roman" w:eastAsia="宋体" w:cs="Times New Roman"/>
                <w:bCs/>
                <w:sz w:val="21"/>
                <w:szCs w:val="21"/>
                <w:highlight w:val="none"/>
                <w:lang w:val="en-US" w:eastAsia="zh-CN"/>
              </w:rPr>
              <w:t>90</w:t>
            </w:r>
            <w:r>
              <w:rPr>
                <w:rFonts w:hint="eastAsia" w:ascii="Times New Roman" w:hAnsi="Times New Roman" w:eastAsia="宋体" w:cs="Times New Roman"/>
                <w:bCs/>
                <w:sz w:val="21"/>
                <w:szCs w:val="21"/>
                <w:highlight w:val="none"/>
              </w:rPr>
              <w:t>分，第三名得分</w:t>
            </w:r>
            <w:r>
              <w:rPr>
                <w:rFonts w:hint="eastAsia" w:ascii="Times New Roman" w:hAnsi="Times New Roman" w:eastAsia="宋体" w:cs="Times New Roman"/>
                <w:bCs/>
                <w:sz w:val="21"/>
                <w:szCs w:val="21"/>
                <w:highlight w:val="none"/>
                <w:lang w:val="en-US" w:eastAsia="zh-CN"/>
              </w:rPr>
              <w:t>80</w:t>
            </w:r>
            <w:r>
              <w:rPr>
                <w:rFonts w:hint="eastAsia" w:ascii="Times New Roman" w:hAnsi="Times New Roman" w:eastAsia="宋体" w:cs="Times New Roman"/>
                <w:bCs/>
                <w:sz w:val="21"/>
                <w:szCs w:val="21"/>
                <w:highlight w:val="none"/>
              </w:rPr>
              <w:t>分，</w:t>
            </w:r>
            <w:r>
              <w:rPr>
                <w:rFonts w:hint="eastAsia" w:ascii="Times New Roman" w:hAnsi="Times New Roman" w:eastAsia="宋体" w:cs="Times New Roman"/>
                <w:bCs/>
                <w:sz w:val="21"/>
                <w:szCs w:val="21"/>
                <w:highlight w:val="none"/>
                <w:lang w:val="en-US" w:eastAsia="zh-CN"/>
              </w:rPr>
              <w:t>以10分为一个步长，</w:t>
            </w:r>
            <w:r>
              <w:rPr>
                <w:rFonts w:hint="eastAsia" w:ascii="Times New Roman" w:hAnsi="Times New Roman" w:eastAsia="宋体" w:cs="Times New Roman"/>
                <w:bCs/>
                <w:sz w:val="21"/>
                <w:szCs w:val="21"/>
                <w:highlight w:val="none"/>
              </w:rPr>
              <w:t>以此类推。</w:t>
            </w:r>
          </w:p>
        </w:tc>
        <w:tc>
          <w:tcPr>
            <w:tcW w:w="472" w:type="pct"/>
            <w:tcBorders>
              <w:tl2br w:val="nil"/>
              <w:tr2bl w:val="nil"/>
            </w:tcBorders>
            <w:vAlign w:val="center"/>
          </w:tcPr>
          <w:p w14:paraId="1004F445">
            <w:pPr>
              <w:spacing w:line="280" w:lineRule="exact"/>
              <w:jc w:val="center"/>
              <w:rPr>
                <w:rFonts w:ascii="Times New Roman" w:hAnsi="Times New Roman" w:eastAsia="宋体" w:cs="Times New Roman"/>
                <w:bCs/>
                <w:sz w:val="21"/>
                <w:szCs w:val="21"/>
                <w:highlight w:val="none"/>
              </w:rPr>
            </w:pPr>
            <w:r>
              <w:rPr>
                <w:rFonts w:hint="eastAsia" w:ascii="Times New Roman" w:hAnsi="Times New Roman" w:eastAsia="宋体" w:cs="Times New Roman"/>
                <w:bCs/>
                <w:sz w:val="21"/>
                <w:szCs w:val="21"/>
                <w:highlight w:val="none"/>
              </w:rPr>
              <w:t>100分</w:t>
            </w:r>
          </w:p>
        </w:tc>
        <w:tc>
          <w:tcPr>
            <w:tcW w:w="1988" w:type="pct"/>
            <w:tcBorders>
              <w:tl2br w:val="nil"/>
              <w:tr2bl w:val="nil"/>
            </w:tcBorders>
            <w:vAlign w:val="center"/>
          </w:tcPr>
          <w:p w14:paraId="4EBA9204">
            <w:pPr>
              <w:spacing w:line="280" w:lineRule="exact"/>
              <w:jc w:val="center"/>
              <w:rPr>
                <w:rFonts w:ascii="Times New Roman" w:hAnsi="Times New Roman" w:eastAsia="宋体" w:cs="Times New Roman"/>
                <w:bCs/>
                <w:sz w:val="21"/>
                <w:szCs w:val="21"/>
                <w:highlight w:val="none"/>
              </w:rPr>
            </w:pPr>
          </w:p>
        </w:tc>
      </w:tr>
      <w:tr w14:paraId="269298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539" w:type="pct"/>
            <w:gridSpan w:val="3"/>
            <w:tcBorders>
              <w:tl2br w:val="nil"/>
              <w:tr2bl w:val="nil"/>
            </w:tcBorders>
            <w:vAlign w:val="center"/>
          </w:tcPr>
          <w:p w14:paraId="38F7B917">
            <w:pPr>
              <w:widowControl/>
              <w:spacing w:line="400" w:lineRule="exact"/>
              <w:jc w:val="center"/>
              <w:rPr>
                <w:rFonts w:ascii="Times New Roman" w:hAnsi="Times New Roman" w:eastAsia="宋体" w:cs="Arial"/>
                <w:b/>
                <w:kern w:val="0"/>
                <w:sz w:val="21"/>
                <w:szCs w:val="21"/>
                <w:highlight w:val="none"/>
              </w:rPr>
            </w:pPr>
            <w:r>
              <w:rPr>
                <w:rFonts w:hint="eastAsia" w:ascii="Times New Roman" w:hAnsi="Times New Roman" w:eastAsia="宋体" w:cs="Arial"/>
                <w:b/>
                <w:kern w:val="0"/>
                <w:sz w:val="21"/>
                <w:szCs w:val="21"/>
                <w:highlight w:val="none"/>
              </w:rPr>
              <w:t>合计</w:t>
            </w:r>
          </w:p>
        </w:tc>
        <w:tc>
          <w:tcPr>
            <w:tcW w:w="472" w:type="pct"/>
            <w:tcBorders>
              <w:tl2br w:val="nil"/>
              <w:tr2bl w:val="nil"/>
            </w:tcBorders>
            <w:vAlign w:val="center"/>
          </w:tcPr>
          <w:p w14:paraId="17755FD5">
            <w:pPr>
              <w:widowControl/>
              <w:spacing w:line="400" w:lineRule="exact"/>
              <w:jc w:val="center"/>
              <w:rPr>
                <w:rFonts w:ascii="Times New Roman" w:hAnsi="Times New Roman" w:eastAsia="宋体" w:cs="Arial"/>
                <w:b/>
                <w:kern w:val="0"/>
                <w:sz w:val="21"/>
                <w:szCs w:val="21"/>
                <w:highlight w:val="none"/>
              </w:rPr>
            </w:pPr>
            <w:r>
              <w:rPr>
                <w:rFonts w:hint="eastAsia" w:ascii="Times New Roman" w:hAnsi="Times New Roman" w:eastAsia="宋体" w:cs="Arial"/>
                <w:b/>
                <w:kern w:val="0"/>
                <w:sz w:val="21"/>
                <w:szCs w:val="21"/>
                <w:highlight w:val="none"/>
              </w:rPr>
              <w:t>100分</w:t>
            </w:r>
          </w:p>
        </w:tc>
        <w:tc>
          <w:tcPr>
            <w:tcW w:w="1988" w:type="pct"/>
            <w:tcBorders>
              <w:tl2br w:val="nil"/>
              <w:tr2bl w:val="nil"/>
            </w:tcBorders>
            <w:vAlign w:val="center"/>
          </w:tcPr>
          <w:p w14:paraId="4C813187">
            <w:pPr>
              <w:widowControl/>
              <w:spacing w:line="400" w:lineRule="exact"/>
              <w:jc w:val="center"/>
              <w:rPr>
                <w:rFonts w:ascii="Times New Roman" w:hAnsi="Times New Roman" w:eastAsia="宋体" w:cs="Arial"/>
                <w:b/>
                <w:kern w:val="0"/>
                <w:sz w:val="21"/>
                <w:szCs w:val="21"/>
                <w:highlight w:val="none"/>
              </w:rPr>
            </w:pPr>
          </w:p>
        </w:tc>
      </w:tr>
    </w:tbl>
    <w:p w14:paraId="13864F3B">
      <w:pPr>
        <w:keepNext w:val="0"/>
        <w:keepLines w:val="0"/>
        <w:pageBreakBefore w:val="0"/>
        <w:widowControl/>
        <w:kinsoku/>
        <w:wordWrap/>
        <w:overflowPunct/>
        <w:topLinePunct w:val="0"/>
        <w:autoSpaceDE/>
        <w:autoSpaceDN/>
        <w:bidi w:val="0"/>
        <w:adjustRightInd w:val="0"/>
        <w:snapToGrid w:val="0"/>
        <w:spacing w:line="280" w:lineRule="exact"/>
        <w:textAlignment w:val="auto"/>
        <w:rPr>
          <w:rFonts w:hint="eastAsia" w:ascii="仿宋" w:hAnsi="仿宋" w:eastAsia="仿宋" w:cs="仿宋"/>
          <w:b/>
          <w:bCs/>
          <w:szCs w:val="21"/>
          <w:highlight w:val="none"/>
        </w:rPr>
      </w:pPr>
    </w:p>
    <w:p w14:paraId="2FB19FF1">
      <w:pPr>
        <w:keepNext w:val="0"/>
        <w:keepLines w:val="0"/>
        <w:pageBreakBefore w:val="0"/>
        <w:widowControl/>
        <w:kinsoku/>
        <w:wordWrap/>
        <w:overflowPunct/>
        <w:topLinePunct w:val="0"/>
        <w:autoSpaceDE/>
        <w:autoSpaceDN/>
        <w:bidi w:val="0"/>
        <w:adjustRightInd w:val="0"/>
        <w:snapToGrid w:val="0"/>
        <w:spacing w:line="280" w:lineRule="exact"/>
        <w:ind w:firstLine="422" w:firstLineChars="200"/>
        <w:textAlignment w:val="auto"/>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rPr>
        <w:t>说明：</w:t>
      </w:r>
    </w:p>
    <w:p w14:paraId="0902712C">
      <w:pPr>
        <w:keepNext w:val="0"/>
        <w:keepLines w:val="0"/>
        <w:pageBreakBefore w:val="0"/>
        <w:widowControl/>
        <w:kinsoku/>
        <w:wordWrap/>
        <w:overflowPunct/>
        <w:topLinePunct w:val="0"/>
        <w:autoSpaceDE/>
        <w:autoSpaceDN/>
        <w:bidi w:val="0"/>
        <w:adjustRightInd w:val="0"/>
        <w:snapToGrid w:val="0"/>
        <w:spacing w:line="280" w:lineRule="exact"/>
        <w:ind w:firstLine="420" w:firstLineChars="200"/>
        <w:textAlignment w:val="auto"/>
        <w:rPr>
          <w:rFonts w:hint="eastAsia" w:ascii="仿宋_GB2312" w:hAnsi="仿宋_GB2312" w:eastAsia="仿宋_GB2312" w:cs="仿宋_GB2312"/>
          <w:bCs/>
          <w:szCs w:val="21"/>
          <w:highlight w:val="none"/>
        </w:rPr>
      </w:pPr>
      <w:r>
        <w:rPr>
          <w:rFonts w:hint="eastAsia" w:ascii="仿宋_GB2312" w:hAnsi="仿宋_GB2312" w:eastAsia="仿宋_GB2312" w:cs="仿宋_GB2312"/>
          <w:bCs/>
          <w:szCs w:val="21"/>
          <w:highlight w:val="none"/>
          <w:lang w:val="en-US" w:eastAsia="zh-CN"/>
        </w:rPr>
        <w:t>1.</w:t>
      </w:r>
      <w:r>
        <w:rPr>
          <w:rFonts w:hint="eastAsia" w:ascii="仿宋_GB2312" w:hAnsi="仿宋_GB2312" w:eastAsia="仿宋_GB2312" w:cs="仿宋_GB2312"/>
          <w:bCs/>
          <w:szCs w:val="21"/>
          <w:highlight w:val="none"/>
        </w:rPr>
        <w:t>评标价格的计算：</w:t>
      </w:r>
    </w:p>
    <w:p w14:paraId="2A295C6A">
      <w:pPr>
        <w:keepNext w:val="0"/>
        <w:keepLines w:val="0"/>
        <w:pageBreakBefore w:val="0"/>
        <w:widowControl/>
        <w:kinsoku/>
        <w:wordWrap/>
        <w:overflowPunct/>
        <w:topLinePunct w:val="0"/>
        <w:autoSpaceDE/>
        <w:autoSpaceDN/>
        <w:bidi w:val="0"/>
        <w:adjustRightInd w:val="0"/>
        <w:snapToGrid w:val="0"/>
        <w:spacing w:line="280" w:lineRule="exact"/>
        <w:ind w:firstLine="420" w:firstLineChars="200"/>
        <w:textAlignment w:val="auto"/>
        <w:rPr>
          <w:rFonts w:hint="eastAsia" w:ascii="仿宋_GB2312" w:hAnsi="仿宋_GB2312" w:eastAsia="仿宋_GB2312" w:cs="仿宋_GB2312"/>
          <w:bCs/>
          <w:szCs w:val="24"/>
          <w:highlight w:val="none"/>
        </w:rPr>
      </w:pPr>
      <w:r>
        <w:rPr>
          <w:rFonts w:hint="eastAsia" w:ascii="仿宋_GB2312" w:hAnsi="仿宋_GB2312" w:eastAsia="仿宋_GB2312" w:cs="仿宋_GB2312"/>
          <w:bCs/>
          <w:szCs w:val="24"/>
          <w:highlight w:val="none"/>
          <w:lang w:val="en-US" w:eastAsia="zh-CN"/>
        </w:rPr>
        <w:t>2.</w:t>
      </w:r>
      <w:r>
        <w:rPr>
          <w:rFonts w:hint="eastAsia" w:ascii="仿宋_GB2312" w:hAnsi="仿宋_GB2312" w:eastAsia="仿宋_GB2312" w:cs="仿宋_GB2312"/>
          <w:bCs/>
          <w:szCs w:val="24"/>
          <w:highlight w:val="none"/>
        </w:rPr>
        <w:t>投标文件存在投标报价问题的，进行投标报价的算术修正，投标报价算术修正具体原则为：</w:t>
      </w:r>
    </w:p>
    <w:p w14:paraId="1AEAD922">
      <w:pPr>
        <w:keepNext w:val="0"/>
        <w:keepLines w:val="0"/>
        <w:pageBreakBefore w:val="0"/>
        <w:widowControl/>
        <w:kinsoku/>
        <w:wordWrap/>
        <w:overflowPunct/>
        <w:topLinePunct w:val="0"/>
        <w:autoSpaceDE/>
        <w:autoSpaceDN/>
        <w:bidi w:val="0"/>
        <w:adjustRightInd w:val="0"/>
        <w:snapToGrid w:val="0"/>
        <w:spacing w:line="280" w:lineRule="exact"/>
        <w:ind w:firstLine="420" w:firstLineChars="200"/>
        <w:textAlignment w:val="auto"/>
        <w:rPr>
          <w:rFonts w:hint="eastAsia" w:ascii="仿宋_GB2312" w:hAnsi="仿宋_GB2312" w:eastAsia="仿宋_GB2312" w:cs="仿宋_GB2312"/>
          <w:bCs/>
          <w:szCs w:val="24"/>
          <w:highlight w:val="none"/>
        </w:rPr>
      </w:pPr>
      <w:r>
        <w:rPr>
          <w:rFonts w:hint="eastAsia" w:ascii="仿宋_GB2312" w:hAnsi="仿宋_GB2312" w:eastAsia="仿宋_GB2312" w:cs="仿宋_GB2312"/>
          <w:bCs/>
          <w:szCs w:val="24"/>
          <w:highlight w:val="none"/>
          <w:lang w:eastAsia="zh-CN"/>
        </w:rPr>
        <w:t>（</w:t>
      </w:r>
      <w:r>
        <w:rPr>
          <w:rFonts w:hint="eastAsia" w:ascii="仿宋_GB2312" w:hAnsi="仿宋_GB2312" w:eastAsia="仿宋_GB2312" w:cs="仿宋_GB2312"/>
          <w:bCs/>
          <w:szCs w:val="24"/>
          <w:highlight w:val="none"/>
        </w:rPr>
        <w:t>1）若投标报价一览表中投标价与投标文件中投标价格不一致，以投标报价一览表为准；</w:t>
      </w:r>
    </w:p>
    <w:p w14:paraId="44E7622B">
      <w:pPr>
        <w:keepNext w:val="0"/>
        <w:keepLines w:val="0"/>
        <w:pageBreakBefore w:val="0"/>
        <w:widowControl/>
        <w:kinsoku/>
        <w:wordWrap/>
        <w:overflowPunct/>
        <w:topLinePunct w:val="0"/>
        <w:autoSpaceDE/>
        <w:autoSpaceDN/>
        <w:bidi w:val="0"/>
        <w:adjustRightInd w:val="0"/>
        <w:snapToGrid w:val="0"/>
        <w:spacing w:line="280" w:lineRule="exact"/>
        <w:ind w:firstLine="420" w:firstLineChars="200"/>
        <w:textAlignment w:val="auto"/>
        <w:rPr>
          <w:rFonts w:hint="eastAsia" w:ascii="仿宋_GB2312" w:hAnsi="仿宋_GB2312" w:eastAsia="仿宋_GB2312" w:cs="仿宋_GB2312"/>
          <w:bCs/>
          <w:szCs w:val="24"/>
          <w:highlight w:val="none"/>
        </w:rPr>
      </w:pPr>
      <w:r>
        <w:rPr>
          <w:rFonts w:hint="eastAsia" w:ascii="仿宋_GB2312" w:hAnsi="仿宋_GB2312" w:eastAsia="仿宋_GB2312" w:cs="仿宋_GB2312"/>
          <w:bCs/>
          <w:szCs w:val="24"/>
          <w:highlight w:val="none"/>
          <w:lang w:eastAsia="zh-CN"/>
        </w:rPr>
        <w:t>（</w:t>
      </w:r>
      <w:r>
        <w:rPr>
          <w:rFonts w:hint="eastAsia" w:ascii="仿宋_GB2312" w:hAnsi="仿宋_GB2312" w:eastAsia="仿宋_GB2312" w:cs="仿宋_GB2312"/>
          <w:bCs/>
          <w:szCs w:val="24"/>
          <w:highlight w:val="none"/>
        </w:rPr>
        <w:t>2）当小写金额与大写金额有差异时，以大写金额为准（有明显错误的除外）；</w:t>
      </w:r>
    </w:p>
    <w:p w14:paraId="2162CB0E">
      <w:pPr>
        <w:keepNext w:val="0"/>
        <w:keepLines w:val="0"/>
        <w:pageBreakBefore w:val="0"/>
        <w:widowControl/>
        <w:kinsoku/>
        <w:wordWrap/>
        <w:overflowPunct/>
        <w:topLinePunct w:val="0"/>
        <w:autoSpaceDE/>
        <w:autoSpaceDN/>
        <w:bidi w:val="0"/>
        <w:adjustRightInd w:val="0"/>
        <w:snapToGrid w:val="0"/>
        <w:spacing w:line="280" w:lineRule="exact"/>
        <w:ind w:firstLine="420" w:firstLineChars="200"/>
        <w:textAlignment w:val="auto"/>
        <w:rPr>
          <w:rFonts w:hint="eastAsia" w:ascii="仿宋_GB2312" w:hAnsi="仿宋_GB2312" w:eastAsia="仿宋_GB2312" w:cs="仿宋_GB2312"/>
          <w:bCs/>
          <w:szCs w:val="24"/>
          <w:highlight w:val="none"/>
        </w:rPr>
      </w:pPr>
      <w:r>
        <w:rPr>
          <w:rFonts w:hint="eastAsia" w:ascii="仿宋_GB2312" w:hAnsi="仿宋_GB2312" w:eastAsia="仿宋_GB2312" w:cs="仿宋_GB2312"/>
          <w:bCs/>
          <w:szCs w:val="24"/>
          <w:highlight w:val="none"/>
          <w:lang w:eastAsia="zh-CN"/>
        </w:rPr>
        <w:t>（</w:t>
      </w:r>
      <w:r>
        <w:rPr>
          <w:rFonts w:hint="eastAsia" w:ascii="仿宋_GB2312" w:hAnsi="仿宋_GB2312" w:eastAsia="仿宋_GB2312" w:cs="仿宋_GB2312"/>
          <w:bCs/>
          <w:szCs w:val="24"/>
          <w:highlight w:val="none"/>
        </w:rPr>
        <w:t>3）单价金额小数点有明显错位的，应以总价为准，并修改单价；</w:t>
      </w:r>
    </w:p>
    <w:p w14:paraId="11C7CFBF">
      <w:pPr>
        <w:keepNext w:val="0"/>
        <w:keepLines w:val="0"/>
        <w:pageBreakBefore w:val="0"/>
        <w:widowControl/>
        <w:kinsoku/>
        <w:wordWrap/>
        <w:overflowPunct/>
        <w:topLinePunct w:val="0"/>
        <w:autoSpaceDE/>
        <w:autoSpaceDN/>
        <w:bidi w:val="0"/>
        <w:adjustRightInd w:val="0"/>
        <w:snapToGrid w:val="0"/>
        <w:spacing w:line="280" w:lineRule="exact"/>
        <w:ind w:firstLine="420" w:firstLineChars="200"/>
        <w:textAlignment w:val="auto"/>
        <w:rPr>
          <w:rFonts w:hint="eastAsia" w:ascii="仿宋_GB2312" w:hAnsi="仿宋_GB2312" w:eastAsia="仿宋_GB2312" w:cs="仿宋_GB2312"/>
          <w:bCs/>
          <w:szCs w:val="21"/>
          <w:highlight w:val="none"/>
        </w:rPr>
      </w:pPr>
      <w:r>
        <w:rPr>
          <w:rFonts w:hint="eastAsia" w:ascii="仿宋_GB2312" w:hAnsi="仿宋_GB2312" w:eastAsia="仿宋_GB2312" w:cs="仿宋_GB2312"/>
          <w:bCs/>
          <w:szCs w:val="24"/>
          <w:highlight w:val="none"/>
          <w:lang w:eastAsia="zh-CN"/>
        </w:rPr>
        <w:t>（</w:t>
      </w:r>
      <w:r>
        <w:rPr>
          <w:rFonts w:hint="eastAsia" w:ascii="仿宋_GB2312" w:hAnsi="仿宋_GB2312" w:eastAsia="仿宋_GB2312" w:cs="仿宋_GB2312"/>
          <w:bCs/>
          <w:szCs w:val="24"/>
          <w:highlight w:val="none"/>
        </w:rPr>
        <w:t>4）投标报价为各分项报价金额之和，总价金额与依据单价计算出的结果不一致的，以单价</w:t>
      </w:r>
      <w:r>
        <w:rPr>
          <w:rFonts w:hint="eastAsia" w:ascii="仿宋_GB2312" w:hAnsi="仿宋_GB2312" w:eastAsia="仿宋_GB2312" w:cs="仿宋_GB2312"/>
          <w:bCs/>
          <w:szCs w:val="21"/>
          <w:highlight w:val="none"/>
        </w:rPr>
        <w:t>合同金额以经修正后的投标报价为准，缺漏项部分由投标人自行承担。</w:t>
      </w:r>
    </w:p>
    <w:p w14:paraId="006F74E3">
      <w:pPr>
        <w:keepNext w:val="0"/>
        <w:keepLines w:val="0"/>
        <w:pageBreakBefore w:val="0"/>
        <w:widowControl/>
        <w:kinsoku/>
        <w:wordWrap/>
        <w:overflowPunct/>
        <w:topLinePunct w:val="0"/>
        <w:autoSpaceDE/>
        <w:autoSpaceDN/>
        <w:bidi w:val="0"/>
        <w:adjustRightInd w:val="0"/>
        <w:snapToGrid w:val="0"/>
        <w:spacing w:line="280" w:lineRule="exact"/>
        <w:ind w:firstLine="420" w:firstLineChars="200"/>
        <w:textAlignment w:val="auto"/>
        <w:rPr>
          <w:rFonts w:hint="eastAsia" w:ascii="仿宋_GB2312" w:hAnsi="仿宋_GB2312" w:eastAsia="仿宋_GB2312" w:cs="仿宋_GB2312"/>
          <w:bCs/>
          <w:szCs w:val="21"/>
          <w:highlight w:val="none"/>
        </w:rPr>
      </w:pPr>
      <w:r>
        <w:rPr>
          <w:rFonts w:hint="eastAsia" w:ascii="仿宋_GB2312" w:hAnsi="仿宋_GB2312" w:eastAsia="仿宋_GB2312" w:cs="仿宋_GB2312"/>
          <w:bCs/>
          <w:szCs w:val="21"/>
          <w:highlight w:val="none"/>
          <w:lang w:val="en-US" w:eastAsia="zh-CN"/>
        </w:rPr>
        <w:t>3.</w:t>
      </w:r>
      <w:r>
        <w:rPr>
          <w:rFonts w:hint="eastAsia" w:ascii="仿宋_GB2312" w:hAnsi="仿宋_GB2312" w:eastAsia="仿宋_GB2312" w:cs="仿宋_GB2312"/>
          <w:bCs/>
          <w:szCs w:val="21"/>
          <w:highlight w:val="none"/>
        </w:rPr>
        <w:t>价格标评分的计算：</w:t>
      </w:r>
    </w:p>
    <w:p w14:paraId="311E814C">
      <w:pPr>
        <w:keepNext w:val="0"/>
        <w:keepLines w:val="0"/>
        <w:pageBreakBefore w:val="0"/>
        <w:widowControl/>
        <w:kinsoku/>
        <w:wordWrap/>
        <w:overflowPunct/>
        <w:topLinePunct w:val="0"/>
        <w:autoSpaceDE/>
        <w:autoSpaceDN/>
        <w:bidi w:val="0"/>
        <w:adjustRightInd w:val="0"/>
        <w:snapToGrid w:val="0"/>
        <w:spacing w:line="280" w:lineRule="exact"/>
        <w:ind w:firstLine="420" w:firstLineChars="200"/>
        <w:textAlignment w:val="auto"/>
        <w:rPr>
          <w:rFonts w:hint="eastAsia" w:ascii="仿宋_GB2312" w:hAnsi="仿宋_GB2312" w:eastAsia="仿宋_GB2312" w:cs="仿宋_GB2312"/>
          <w:bCs/>
          <w:szCs w:val="21"/>
          <w:highlight w:val="none"/>
        </w:rPr>
      </w:pPr>
      <w:r>
        <w:rPr>
          <w:rFonts w:hint="eastAsia" w:ascii="仿宋_GB2312" w:hAnsi="仿宋_GB2312" w:eastAsia="仿宋_GB2312" w:cs="仿宋_GB2312"/>
          <w:bCs/>
          <w:szCs w:val="21"/>
          <w:highlight w:val="none"/>
        </w:rPr>
        <w:t>评标专家组按附表2-1《价格标评分方法》进行评分。</w:t>
      </w:r>
    </w:p>
    <w:p w14:paraId="1DF90540">
      <w:pPr>
        <w:keepNext w:val="0"/>
        <w:keepLines w:val="0"/>
        <w:pageBreakBefore w:val="0"/>
        <w:widowControl/>
        <w:kinsoku/>
        <w:wordWrap/>
        <w:overflowPunct/>
        <w:topLinePunct w:val="0"/>
        <w:autoSpaceDE/>
        <w:autoSpaceDN/>
        <w:bidi w:val="0"/>
        <w:adjustRightInd w:val="0"/>
        <w:snapToGrid w:val="0"/>
        <w:spacing w:line="280" w:lineRule="exact"/>
        <w:ind w:firstLine="420" w:firstLineChars="200"/>
        <w:textAlignment w:val="auto"/>
        <w:rPr>
          <w:rFonts w:hint="eastAsia" w:ascii="仿宋_GB2312" w:hAnsi="仿宋_GB2312" w:eastAsia="仿宋_GB2312" w:cs="仿宋_GB2312"/>
          <w:bCs/>
          <w:szCs w:val="24"/>
          <w:highlight w:val="none"/>
        </w:rPr>
      </w:pPr>
      <w:r>
        <w:rPr>
          <w:rFonts w:hint="eastAsia" w:ascii="仿宋_GB2312" w:hAnsi="仿宋_GB2312" w:eastAsia="仿宋_GB2312" w:cs="仿宋_GB2312"/>
          <w:bCs/>
          <w:szCs w:val="24"/>
          <w:highlight w:val="none"/>
        </w:rPr>
        <w:t>经以上算法得出的数值即为投标人的价格得分（计算过程及计算结果四舍五入保留小数点后两位）。价格得分为负数时，计为0分。</w:t>
      </w:r>
    </w:p>
    <w:p w14:paraId="7DD9D8C5">
      <w:pPr>
        <w:widowControl/>
        <w:adjustRightInd w:val="0"/>
        <w:snapToGrid w:val="0"/>
        <w:spacing w:line="360" w:lineRule="auto"/>
        <w:rPr>
          <w:rFonts w:ascii="Times New Roman" w:hAnsi="Times New Roman" w:eastAsia="宋体" w:cs="Times New Roman"/>
          <w:b/>
          <w:color w:val="FF0000"/>
          <w:szCs w:val="24"/>
          <w:highlight w:val="none"/>
        </w:rPr>
      </w:pPr>
    </w:p>
    <w:p w14:paraId="0F2B5FCC">
      <w:pPr>
        <w:widowControl/>
        <w:adjustRightInd w:val="0"/>
        <w:snapToGrid w:val="0"/>
        <w:spacing w:line="360" w:lineRule="auto"/>
        <w:rPr>
          <w:rFonts w:ascii="Times New Roman" w:hAnsi="Times New Roman" w:eastAsia="宋体" w:cs="Times New Roman"/>
          <w:b/>
          <w:szCs w:val="24"/>
          <w:highlight w:val="none"/>
        </w:rPr>
      </w:pPr>
    </w:p>
    <w:p w14:paraId="6978E629">
      <w:pPr>
        <w:widowControl/>
        <w:adjustRightInd w:val="0"/>
        <w:snapToGrid w:val="0"/>
        <w:spacing w:line="360" w:lineRule="auto"/>
        <w:rPr>
          <w:rFonts w:ascii="Times New Roman" w:hAnsi="Times New Roman" w:eastAsia="宋体" w:cs="Times New Roman"/>
          <w:b/>
          <w:szCs w:val="24"/>
          <w:highlight w:val="none"/>
        </w:rPr>
      </w:pPr>
    </w:p>
    <w:p w14:paraId="46494B66">
      <w:pPr>
        <w:widowControl/>
        <w:adjustRightInd w:val="0"/>
        <w:snapToGrid w:val="0"/>
        <w:spacing w:line="360" w:lineRule="auto"/>
        <w:rPr>
          <w:rFonts w:ascii="Times New Roman" w:hAnsi="Times New Roman" w:eastAsia="宋体" w:cs="Times New Roman"/>
          <w:b/>
          <w:szCs w:val="24"/>
          <w:highlight w:val="none"/>
        </w:rPr>
      </w:pPr>
    </w:p>
    <w:p w14:paraId="5858793A">
      <w:pPr>
        <w:widowControl/>
        <w:adjustRightInd w:val="0"/>
        <w:snapToGrid w:val="0"/>
        <w:spacing w:line="360" w:lineRule="auto"/>
        <w:rPr>
          <w:rFonts w:ascii="Times New Roman" w:hAnsi="Times New Roman" w:eastAsia="宋体" w:cs="Times New Roman"/>
          <w:b/>
          <w:szCs w:val="24"/>
          <w:highlight w:val="none"/>
        </w:rPr>
      </w:pPr>
    </w:p>
    <w:p w14:paraId="42E9C856">
      <w:pPr>
        <w:widowControl/>
        <w:adjustRightInd w:val="0"/>
        <w:snapToGrid w:val="0"/>
        <w:spacing w:line="360" w:lineRule="auto"/>
        <w:rPr>
          <w:rFonts w:ascii="Times New Roman" w:hAnsi="Times New Roman" w:eastAsia="宋体" w:cs="Times New Roman"/>
          <w:b/>
          <w:szCs w:val="24"/>
          <w:highlight w:val="none"/>
        </w:rPr>
      </w:pPr>
      <w:r>
        <w:rPr>
          <w:rFonts w:ascii="Times New Roman" w:hAnsi="Times New Roman" w:eastAsia="宋体" w:cs="Times New Roman"/>
          <w:b/>
          <w:szCs w:val="24"/>
          <w:highlight w:val="none"/>
        </w:rPr>
        <w:br w:type="page"/>
      </w:r>
    </w:p>
    <w:p w14:paraId="35A8BD1C">
      <w:pPr>
        <w:keepNext/>
        <w:keepLines/>
        <w:widowControl/>
        <w:numPr>
          <w:ilvl w:val="3"/>
          <w:numId w:val="0"/>
        </w:numPr>
        <w:adjustRightInd w:val="0"/>
        <w:snapToGrid w:val="0"/>
        <w:spacing w:line="360" w:lineRule="auto"/>
        <w:ind w:firstLine="420" w:firstLineChars="200"/>
        <w:outlineLvl w:val="3"/>
        <w:rPr>
          <w:rFonts w:hint="eastAsia" w:ascii="仿宋" w:hAnsi="仿宋" w:eastAsia="仿宋" w:cs="仿宋"/>
          <w:b w:val="0"/>
          <w:bCs/>
          <w:sz w:val="21"/>
          <w:szCs w:val="21"/>
          <w:highlight w:val="none"/>
        </w:rPr>
      </w:pPr>
      <w:r>
        <w:rPr>
          <w:rFonts w:hint="eastAsia" w:ascii="仿宋" w:hAnsi="仿宋" w:eastAsia="仿宋" w:cs="仿宋"/>
          <w:b w:val="0"/>
          <w:bCs/>
          <w:sz w:val="21"/>
          <w:szCs w:val="21"/>
          <w:highlight w:val="none"/>
        </w:rPr>
        <w:t>附表3《商务技术标、价格标权重表》</w:t>
      </w:r>
    </w:p>
    <w:p w14:paraId="263C349A">
      <w:pPr>
        <w:widowControl/>
        <w:adjustRightInd w:val="0"/>
        <w:snapToGrid w:val="0"/>
        <w:spacing w:line="360" w:lineRule="auto"/>
        <w:jc w:val="center"/>
        <w:rPr>
          <w:rFonts w:hint="eastAsia" w:ascii="方正小标宋简体" w:hAnsi="方正小标宋简体" w:eastAsia="方正小标宋简体" w:cs="方正小标宋简体"/>
          <w:b w:val="0"/>
          <w:bCs/>
          <w:sz w:val="32"/>
          <w:szCs w:val="32"/>
          <w:highlight w:val="none"/>
        </w:rPr>
      </w:pPr>
    </w:p>
    <w:p w14:paraId="30048020">
      <w:pPr>
        <w:widowControl/>
        <w:adjustRightInd w:val="0"/>
        <w:snapToGrid w:val="0"/>
        <w:spacing w:line="360" w:lineRule="auto"/>
        <w:jc w:val="center"/>
        <w:rPr>
          <w:rFonts w:hint="eastAsia" w:ascii="方正小标宋简体" w:hAnsi="方正小标宋简体" w:eastAsia="方正小标宋简体" w:cs="方正小标宋简体"/>
          <w:b w:val="0"/>
          <w:bCs/>
          <w:sz w:val="32"/>
          <w:szCs w:val="32"/>
          <w:highlight w:val="none"/>
        </w:rPr>
      </w:pPr>
      <w:r>
        <w:rPr>
          <w:rFonts w:hint="eastAsia" w:ascii="方正小标宋简体" w:hAnsi="方正小标宋简体" w:eastAsia="方正小标宋简体" w:cs="方正小标宋简体"/>
          <w:b w:val="0"/>
          <w:bCs/>
          <w:sz w:val="32"/>
          <w:szCs w:val="32"/>
          <w:highlight w:val="none"/>
        </w:rPr>
        <w:t>商务技术标、价格标权重表</w:t>
      </w:r>
    </w:p>
    <w:tbl>
      <w:tblPr>
        <w:tblStyle w:val="15"/>
        <w:tblW w:w="900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2643"/>
        <w:gridCol w:w="3240"/>
        <w:gridCol w:w="3126"/>
      </w:tblGrid>
      <w:tr w14:paraId="0210AA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FFFFFF" w:themeFill="background1"/>
        </w:tblPrEx>
        <w:trPr>
          <w:trHeight w:val="782" w:hRule="atLeast"/>
          <w:jc w:val="center"/>
        </w:trPr>
        <w:tc>
          <w:tcPr>
            <w:tcW w:w="2643" w:type="dxa"/>
            <w:tcBorders>
              <w:tl2br w:val="nil"/>
              <w:tr2bl w:val="nil"/>
            </w:tcBorders>
            <w:shd w:val="clear" w:color="auto" w:fill="FFFFFF" w:themeFill="background1"/>
            <w:vAlign w:val="center"/>
          </w:tcPr>
          <w:p w14:paraId="385C706E">
            <w:pPr>
              <w:widowControl/>
              <w:adjustRightInd w:val="0"/>
              <w:snapToGrid w:val="0"/>
              <w:spacing w:line="360" w:lineRule="auto"/>
              <w:jc w:val="center"/>
              <w:rPr>
                <w:rFonts w:ascii="Times New Roman" w:hAnsi="Times New Roman" w:eastAsia="宋体" w:cs="宋体"/>
                <w:b/>
                <w:sz w:val="24"/>
                <w:szCs w:val="32"/>
                <w:highlight w:val="none"/>
              </w:rPr>
            </w:pPr>
            <w:r>
              <w:rPr>
                <w:rFonts w:hint="eastAsia" w:ascii="Times New Roman" w:hAnsi="Times New Roman" w:eastAsia="宋体" w:cs="宋体"/>
                <w:b/>
                <w:sz w:val="24"/>
                <w:szCs w:val="32"/>
                <w:highlight w:val="none"/>
              </w:rPr>
              <w:t>权重名称</w:t>
            </w:r>
          </w:p>
        </w:tc>
        <w:tc>
          <w:tcPr>
            <w:tcW w:w="3240" w:type="dxa"/>
            <w:tcBorders>
              <w:tl2br w:val="nil"/>
              <w:tr2bl w:val="nil"/>
            </w:tcBorders>
            <w:shd w:val="clear" w:color="auto" w:fill="FFFFFF" w:themeFill="background1"/>
            <w:vAlign w:val="center"/>
          </w:tcPr>
          <w:p w14:paraId="7EE47E96">
            <w:pPr>
              <w:widowControl/>
              <w:adjustRightInd w:val="0"/>
              <w:snapToGrid w:val="0"/>
              <w:spacing w:line="360" w:lineRule="auto"/>
              <w:jc w:val="center"/>
              <w:rPr>
                <w:rFonts w:ascii="Times New Roman" w:hAnsi="Times New Roman" w:eastAsia="宋体" w:cs="宋体"/>
                <w:b/>
                <w:sz w:val="24"/>
                <w:szCs w:val="32"/>
                <w:highlight w:val="none"/>
              </w:rPr>
            </w:pPr>
            <w:r>
              <w:rPr>
                <w:rFonts w:hint="eastAsia" w:ascii="Times New Roman" w:hAnsi="Times New Roman" w:eastAsia="宋体" w:cs="宋体"/>
                <w:b/>
                <w:sz w:val="24"/>
                <w:szCs w:val="32"/>
                <w:highlight w:val="none"/>
              </w:rPr>
              <w:t>商务技术权重</w:t>
            </w:r>
          </w:p>
        </w:tc>
        <w:tc>
          <w:tcPr>
            <w:tcW w:w="3126" w:type="dxa"/>
            <w:tcBorders>
              <w:tl2br w:val="nil"/>
              <w:tr2bl w:val="nil"/>
            </w:tcBorders>
            <w:shd w:val="clear" w:color="auto" w:fill="FFFFFF" w:themeFill="background1"/>
            <w:vAlign w:val="center"/>
          </w:tcPr>
          <w:p w14:paraId="645AC3E7">
            <w:pPr>
              <w:widowControl/>
              <w:adjustRightInd w:val="0"/>
              <w:snapToGrid w:val="0"/>
              <w:spacing w:line="360" w:lineRule="auto"/>
              <w:jc w:val="center"/>
              <w:rPr>
                <w:rFonts w:ascii="Times New Roman" w:hAnsi="Times New Roman" w:eastAsia="宋体" w:cs="宋体"/>
                <w:b/>
                <w:sz w:val="24"/>
                <w:szCs w:val="32"/>
                <w:highlight w:val="none"/>
              </w:rPr>
            </w:pPr>
            <w:r>
              <w:rPr>
                <w:rFonts w:hint="eastAsia" w:ascii="Times New Roman" w:hAnsi="Times New Roman" w:eastAsia="宋体" w:cs="宋体"/>
                <w:b/>
                <w:sz w:val="24"/>
                <w:szCs w:val="32"/>
                <w:highlight w:val="none"/>
              </w:rPr>
              <w:t>价格权重</w:t>
            </w:r>
          </w:p>
        </w:tc>
      </w:tr>
      <w:tr w14:paraId="11803C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643" w:type="dxa"/>
            <w:tcBorders>
              <w:tl2br w:val="nil"/>
              <w:tr2bl w:val="nil"/>
            </w:tcBorders>
            <w:shd w:val="clear" w:color="auto" w:fill="FFFFFF" w:themeFill="background1"/>
            <w:vAlign w:val="center"/>
          </w:tcPr>
          <w:p w14:paraId="67DA09CD">
            <w:pPr>
              <w:widowControl/>
              <w:adjustRightInd w:val="0"/>
              <w:snapToGrid w:val="0"/>
              <w:spacing w:line="360" w:lineRule="auto"/>
              <w:jc w:val="center"/>
              <w:rPr>
                <w:rFonts w:ascii="Times New Roman" w:hAnsi="Times New Roman" w:eastAsia="宋体" w:cs="宋体"/>
                <w:bCs/>
                <w:sz w:val="28"/>
                <w:szCs w:val="36"/>
                <w:highlight w:val="none"/>
              </w:rPr>
            </w:pPr>
            <w:r>
              <w:rPr>
                <w:rFonts w:hint="eastAsia" w:ascii="Times New Roman" w:hAnsi="Times New Roman" w:eastAsia="宋体" w:cs="宋体"/>
                <w:bCs/>
                <w:sz w:val="28"/>
                <w:szCs w:val="36"/>
                <w:highlight w:val="none"/>
              </w:rPr>
              <w:t>权重</w:t>
            </w:r>
          </w:p>
        </w:tc>
        <w:tc>
          <w:tcPr>
            <w:tcW w:w="3240" w:type="dxa"/>
            <w:tcBorders>
              <w:tl2br w:val="nil"/>
              <w:tr2bl w:val="nil"/>
            </w:tcBorders>
            <w:shd w:val="clear" w:color="auto" w:fill="FFFFFF" w:themeFill="background1"/>
            <w:vAlign w:val="center"/>
          </w:tcPr>
          <w:p w14:paraId="24B88427">
            <w:pPr>
              <w:widowControl/>
              <w:adjustRightInd w:val="0"/>
              <w:snapToGrid w:val="0"/>
              <w:spacing w:line="360" w:lineRule="auto"/>
              <w:jc w:val="center"/>
              <w:rPr>
                <w:rFonts w:ascii="Times New Roman" w:hAnsi="Times New Roman" w:eastAsia="宋体" w:cs="宋体"/>
                <w:bCs/>
                <w:sz w:val="28"/>
                <w:szCs w:val="36"/>
                <w:highlight w:val="none"/>
              </w:rPr>
            </w:pPr>
            <w:r>
              <w:rPr>
                <w:rFonts w:hint="eastAsia" w:ascii="Times New Roman" w:hAnsi="Times New Roman" w:eastAsia="宋体" w:cs="宋体"/>
                <w:bCs/>
                <w:sz w:val="28"/>
                <w:szCs w:val="36"/>
                <w:highlight w:val="none"/>
              </w:rPr>
              <w:t>50%</w:t>
            </w:r>
          </w:p>
        </w:tc>
        <w:tc>
          <w:tcPr>
            <w:tcW w:w="3126" w:type="dxa"/>
            <w:tcBorders>
              <w:tl2br w:val="nil"/>
              <w:tr2bl w:val="nil"/>
            </w:tcBorders>
            <w:shd w:val="clear" w:color="auto" w:fill="FFFFFF" w:themeFill="background1"/>
            <w:vAlign w:val="center"/>
          </w:tcPr>
          <w:p w14:paraId="2EF89E4B">
            <w:pPr>
              <w:widowControl/>
              <w:adjustRightInd w:val="0"/>
              <w:snapToGrid w:val="0"/>
              <w:spacing w:line="360" w:lineRule="auto"/>
              <w:jc w:val="center"/>
              <w:rPr>
                <w:rFonts w:ascii="Times New Roman" w:hAnsi="Times New Roman" w:eastAsia="宋体" w:cs="宋体"/>
                <w:bCs/>
                <w:sz w:val="28"/>
                <w:szCs w:val="36"/>
                <w:highlight w:val="none"/>
              </w:rPr>
            </w:pPr>
            <w:r>
              <w:rPr>
                <w:rFonts w:hint="eastAsia" w:ascii="Times New Roman" w:hAnsi="Times New Roman" w:eastAsia="宋体" w:cs="宋体"/>
                <w:bCs/>
                <w:sz w:val="28"/>
                <w:szCs w:val="36"/>
                <w:highlight w:val="none"/>
              </w:rPr>
              <w:t>50%</w:t>
            </w:r>
          </w:p>
        </w:tc>
      </w:tr>
    </w:tbl>
    <w:p w14:paraId="53CBF8CA">
      <w:pPr>
        <w:widowControl/>
        <w:adjustRightInd w:val="0"/>
        <w:snapToGrid w:val="0"/>
        <w:spacing w:line="360" w:lineRule="auto"/>
        <w:rPr>
          <w:rFonts w:ascii="Times New Roman" w:hAnsi="Times New Roman" w:eastAsia="宋体" w:cs="Times New Roman"/>
          <w:b/>
          <w:szCs w:val="24"/>
          <w:highlight w:val="none"/>
        </w:rPr>
      </w:pPr>
    </w:p>
    <w:p w14:paraId="55803B2C">
      <w:pPr>
        <w:widowControl/>
        <w:jc w:val="left"/>
        <w:rPr>
          <w:rFonts w:ascii="宋体" w:hAnsi="宋体" w:cs="宋体"/>
          <w:b/>
          <w:highlight w:val="none"/>
        </w:rPr>
      </w:pPr>
    </w:p>
    <w:p w14:paraId="630172EE">
      <w:pPr>
        <w:widowControl/>
        <w:jc w:val="left"/>
        <w:rPr>
          <w:rFonts w:ascii="宋体" w:hAnsi="宋体" w:cs="宋体"/>
          <w:b/>
          <w:highlight w:val="none"/>
        </w:rPr>
      </w:pPr>
    </w:p>
    <w:p w14:paraId="667C0B2C">
      <w:pPr>
        <w:widowControl/>
        <w:jc w:val="left"/>
        <w:rPr>
          <w:rFonts w:ascii="宋体" w:hAnsi="宋体" w:cs="宋体"/>
          <w:b/>
          <w:highlight w:val="none"/>
        </w:rPr>
      </w:pPr>
    </w:p>
    <w:p w14:paraId="714F82FC">
      <w:pPr>
        <w:widowControl/>
        <w:jc w:val="left"/>
        <w:rPr>
          <w:rFonts w:ascii="宋体" w:hAnsi="宋体" w:cs="宋体"/>
          <w:b/>
          <w:highlight w:val="none"/>
        </w:rPr>
      </w:pPr>
    </w:p>
    <w:p w14:paraId="5495B063">
      <w:pPr>
        <w:widowControl/>
        <w:jc w:val="left"/>
        <w:rPr>
          <w:rFonts w:ascii="宋体" w:hAnsi="宋体" w:cs="宋体"/>
          <w:b/>
          <w:highlight w:val="none"/>
        </w:rPr>
      </w:pPr>
    </w:p>
    <w:p w14:paraId="3F0F28F0">
      <w:pPr>
        <w:widowControl/>
        <w:jc w:val="left"/>
        <w:rPr>
          <w:rFonts w:ascii="宋体" w:hAnsi="宋体" w:cs="宋体"/>
          <w:b/>
          <w:highlight w:val="none"/>
        </w:rPr>
      </w:pPr>
    </w:p>
    <w:p w14:paraId="25EF5F3D">
      <w:pPr>
        <w:widowControl/>
        <w:jc w:val="left"/>
        <w:rPr>
          <w:rFonts w:ascii="宋体" w:hAnsi="宋体" w:cs="宋体"/>
          <w:b/>
          <w:highlight w:val="none"/>
        </w:rPr>
      </w:pPr>
    </w:p>
    <w:p w14:paraId="7B078156">
      <w:pPr>
        <w:widowControl/>
        <w:jc w:val="left"/>
        <w:rPr>
          <w:rFonts w:ascii="宋体" w:hAnsi="宋体" w:cs="宋体"/>
          <w:b/>
          <w:highlight w:val="none"/>
        </w:rPr>
      </w:pPr>
    </w:p>
    <w:p w14:paraId="5C4D431B">
      <w:pPr>
        <w:widowControl/>
        <w:jc w:val="left"/>
        <w:rPr>
          <w:rFonts w:ascii="宋体" w:hAnsi="宋体" w:cs="宋体"/>
          <w:b/>
          <w:highlight w:val="none"/>
        </w:rPr>
      </w:pPr>
    </w:p>
    <w:p w14:paraId="5D64733A">
      <w:pPr>
        <w:widowControl/>
        <w:jc w:val="left"/>
        <w:rPr>
          <w:rFonts w:ascii="宋体" w:hAnsi="宋体" w:cs="宋体"/>
          <w:b/>
          <w:highlight w:val="none"/>
        </w:rPr>
      </w:pPr>
    </w:p>
    <w:p w14:paraId="0885FF34">
      <w:pPr>
        <w:widowControl/>
        <w:jc w:val="left"/>
        <w:rPr>
          <w:rFonts w:ascii="宋体" w:hAnsi="宋体" w:cs="宋体"/>
          <w:b/>
          <w:highlight w:val="none"/>
        </w:rPr>
      </w:pPr>
    </w:p>
    <w:p w14:paraId="2323B37F">
      <w:pPr>
        <w:widowControl/>
        <w:jc w:val="left"/>
        <w:rPr>
          <w:rFonts w:ascii="宋体" w:hAnsi="宋体" w:cs="宋体"/>
          <w:b/>
          <w:highlight w:val="none"/>
        </w:rPr>
      </w:pPr>
    </w:p>
    <w:p w14:paraId="6FF9E86E">
      <w:pPr>
        <w:widowControl/>
        <w:jc w:val="left"/>
        <w:rPr>
          <w:rFonts w:ascii="宋体" w:hAnsi="宋体" w:cs="宋体"/>
          <w:b/>
          <w:highlight w:val="none"/>
        </w:rPr>
      </w:pPr>
    </w:p>
    <w:p w14:paraId="7C335989">
      <w:pPr>
        <w:widowControl/>
        <w:jc w:val="left"/>
        <w:rPr>
          <w:rFonts w:ascii="宋体" w:hAnsi="宋体" w:cs="宋体"/>
          <w:b/>
          <w:highlight w:val="none"/>
        </w:rPr>
      </w:pPr>
    </w:p>
    <w:p w14:paraId="02C778FB">
      <w:pPr>
        <w:widowControl/>
        <w:jc w:val="left"/>
        <w:rPr>
          <w:rFonts w:ascii="宋体" w:hAnsi="宋体" w:cs="宋体"/>
          <w:b/>
          <w:highlight w:val="none"/>
        </w:rPr>
      </w:pPr>
    </w:p>
    <w:p w14:paraId="106AC35D">
      <w:pPr>
        <w:widowControl/>
        <w:jc w:val="left"/>
        <w:rPr>
          <w:rFonts w:ascii="宋体" w:hAnsi="宋体" w:cs="宋体"/>
          <w:b/>
          <w:highlight w:val="none"/>
        </w:rPr>
      </w:pPr>
    </w:p>
    <w:p w14:paraId="65CA0B57">
      <w:pPr>
        <w:widowControl/>
        <w:jc w:val="left"/>
        <w:rPr>
          <w:rFonts w:ascii="宋体" w:hAnsi="宋体" w:cs="宋体"/>
          <w:b/>
          <w:highlight w:val="none"/>
        </w:rPr>
      </w:pPr>
    </w:p>
    <w:p w14:paraId="54DEEAB2">
      <w:pPr>
        <w:widowControl/>
        <w:jc w:val="left"/>
        <w:rPr>
          <w:rFonts w:ascii="宋体" w:hAnsi="宋体" w:cs="宋体"/>
          <w:b/>
          <w:highlight w:val="none"/>
        </w:rPr>
      </w:pPr>
    </w:p>
    <w:p w14:paraId="712EA8BF">
      <w:pPr>
        <w:widowControl/>
        <w:jc w:val="left"/>
        <w:rPr>
          <w:rFonts w:ascii="宋体" w:hAnsi="宋体" w:cs="宋体"/>
          <w:b/>
          <w:highlight w:val="none"/>
        </w:rPr>
      </w:pPr>
    </w:p>
    <w:p w14:paraId="26C67C09">
      <w:pPr>
        <w:widowControl/>
        <w:jc w:val="left"/>
        <w:rPr>
          <w:rFonts w:ascii="宋体" w:hAnsi="宋体" w:cs="宋体"/>
          <w:b/>
          <w:highlight w:val="none"/>
        </w:rPr>
      </w:pPr>
    </w:p>
    <w:p w14:paraId="367FB217">
      <w:pPr>
        <w:widowControl/>
        <w:jc w:val="left"/>
        <w:rPr>
          <w:rFonts w:ascii="宋体" w:hAnsi="宋体" w:cs="宋体"/>
          <w:b/>
          <w:highlight w:val="none"/>
        </w:rPr>
      </w:pPr>
    </w:p>
    <w:p w14:paraId="352AB976">
      <w:pPr>
        <w:widowControl/>
        <w:jc w:val="left"/>
        <w:rPr>
          <w:rFonts w:ascii="宋体" w:hAnsi="宋体" w:cs="宋体"/>
          <w:b/>
          <w:highlight w:val="none"/>
        </w:rPr>
      </w:pPr>
    </w:p>
    <w:p w14:paraId="7E1C8CCA">
      <w:pPr>
        <w:widowControl/>
        <w:jc w:val="left"/>
        <w:rPr>
          <w:rFonts w:ascii="宋体" w:hAnsi="宋体" w:cs="宋体"/>
          <w:b/>
          <w:highlight w:val="none"/>
        </w:rPr>
      </w:pPr>
    </w:p>
    <w:p w14:paraId="6EFD7337">
      <w:pPr>
        <w:widowControl/>
        <w:jc w:val="left"/>
        <w:rPr>
          <w:rFonts w:ascii="宋体" w:hAnsi="宋体" w:cs="宋体"/>
          <w:b/>
          <w:highlight w:val="none"/>
        </w:rPr>
      </w:pPr>
    </w:p>
    <w:p w14:paraId="21759054">
      <w:pPr>
        <w:widowControl/>
        <w:jc w:val="left"/>
        <w:rPr>
          <w:rFonts w:ascii="宋体" w:hAnsi="宋体" w:cs="宋体"/>
          <w:b/>
          <w:highlight w:val="none"/>
        </w:rPr>
      </w:pPr>
    </w:p>
    <w:p w14:paraId="6286DC3F">
      <w:pPr>
        <w:widowControl/>
        <w:jc w:val="left"/>
        <w:rPr>
          <w:rFonts w:ascii="宋体" w:hAnsi="宋体" w:cs="宋体"/>
          <w:b/>
          <w:highlight w:val="none"/>
        </w:rPr>
      </w:pPr>
    </w:p>
    <w:p w14:paraId="522EBC40">
      <w:pPr>
        <w:widowControl/>
        <w:jc w:val="left"/>
        <w:rPr>
          <w:rFonts w:ascii="宋体" w:hAnsi="宋体" w:cs="宋体"/>
          <w:b/>
          <w:highlight w:val="none"/>
        </w:rPr>
      </w:pPr>
    </w:p>
    <w:p w14:paraId="4A7B26F6">
      <w:pPr>
        <w:widowControl/>
        <w:jc w:val="left"/>
        <w:rPr>
          <w:rFonts w:ascii="宋体" w:hAnsi="宋体" w:cs="宋体"/>
          <w:b/>
          <w:highlight w:val="none"/>
        </w:rPr>
      </w:pPr>
    </w:p>
    <w:p w14:paraId="219D17B2">
      <w:pPr>
        <w:widowControl/>
        <w:jc w:val="left"/>
        <w:rPr>
          <w:rFonts w:ascii="宋体" w:hAnsi="宋体" w:cs="宋体"/>
          <w:b/>
          <w:highlight w:val="none"/>
        </w:rPr>
      </w:pPr>
    </w:p>
    <w:p w14:paraId="31EF3D78">
      <w:pPr>
        <w:widowControl/>
        <w:jc w:val="left"/>
        <w:rPr>
          <w:rFonts w:ascii="宋体" w:hAnsi="宋体" w:cs="宋体"/>
          <w:b/>
          <w:highlight w:val="none"/>
        </w:rPr>
      </w:pPr>
    </w:p>
    <w:p w14:paraId="183A748F">
      <w:pPr>
        <w:widowControl/>
        <w:jc w:val="left"/>
        <w:rPr>
          <w:rFonts w:ascii="宋体" w:hAnsi="宋体" w:cs="宋体"/>
          <w:b/>
          <w:highlight w:val="none"/>
        </w:rPr>
      </w:pPr>
    </w:p>
    <w:p w14:paraId="4050F655">
      <w:pPr>
        <w:widowControl/>
        <w:jc w:val="left"/>
        <w:rPr>
          <w:rFonts w:ascii="宋体" w:hAnsi="宋体" w:cs="宋体"/>
          <w:b/>
          <w:highlight w:val="none"/>
        </w:rPr>
      </w:pPr>
    </w:p>
    <w:p w14:paraId="7A812DF5">
      <w:pPr>
        <w:widowControl/>
        <w:jc w:val="left"/>
        <w:rPr>
          <w:rFonts w:ascii="宋体" w:hAnsi="宋体" w:cs="宋体"/>
          <w:b/>
          <w:highlight w:val="none"/>
        </w:rPr>
      </w:pPr>
    </w:p>
    <w:p w14:paraId="3A948016">
      <w:pPr>
        <w:pStyle w:val="4"/>
        <w:spacing w:line="480" w:lineRule="exact"/>
        <w:jc w:val="center"/>
        <w:rPr>
          <w:rFonts w:hint="eastAsia" w:ascii="黑体" w:hAnsi="黑体" w:eastAsia="黑体" w:cs="黑体"/>
          <w:b w:val="0"/>
          <w:bCs/>
          <w:sz w:val="32"/>
          <w:szCs w:val="32"/>
          <w:highlight w:val="none"/>
        </w:rPr>
      </w:pPr>
      <w:bookmarkStart w:id="61" w:name="_Toc22811"/>
      <w:bookmarkStart w:id="62" w:name="_Toc13994"/>
      <w:r>
        <w:rPr>
          <w:rFonts w:hint="eastAsia" w:ascii="黑体" w:hAnsi="黑体" w:eastAsia="黑体" w:cs="黑体"/>
          <w:b w:val="0"/>
          <w:bCs/>
          <w:sz w:val="32"/>
          <w:szCs w:val="32"/>
          <w:highlight w:val="none"/>
        </w:rPr>
        <w:t>第三章 合同条款</w:t>
      </w:r>
      <w:bookmarkEnd w:id="61"/>
      <w:bookmarkEnd w:id="62"/>
    </w:p>
    <w:p w14:paraId="365358C0">
      <w:pPr>
        <w:spacing w:line="380" w:lineRule="exact"/>
        <w:rPr>
          <w:rFonts w:ascii="黑体" w:hAnsi="宋体" w:eastAsia="黑体"/>
          <w:b/>
          <w:sz w:val="52"/>
          <w:szCs w:val="52"/>
          <w:highlight w:val="none"/>
        </w:rPr>
      </w:pPr>
    </w:p>
    <w:p w14:paraId="2851E5C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highlight w:val="none"/>
        </w:rPr>
      </w:pPr>
      <w:r>
        <w:rPr>
          <w:rFonts w:hint="eastAsia" w:ascii="方正小标宋简体" w:hAnsi="方正小标宋简体" w:eastAsia="方正小标宋简体" w:cs="方正小标宋简体"/>
          <w:b w:val="0"/>
          <w:bCs/>
          <w:sz w:val="44"/>
          <w:szCs w:val="44"/>
          <w:highlight w:val="none"/>
        </w:rPr>
        <w:t>深圳市鹏劳人力资源管理有限公司</w:t>
      </w:r>
    </w:p>
    <w:p w14:paraId="30905D8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highlight w:val="none"/>
        </w:rPr>
      </w:pPr>
      <w:r>
        <w:rPr>
          <w:rFonts w:hint="eastAsia" w:ascii="方正小标宋简体" w:hAnsi="方正小标宋简体" w:eastAsia="方正小标宋简体" w:cs="方正小标宋简体"/>
          <w:b w:val="0"/>
          <w:bCs/>
          <w:color w:val="000000"/>
          <w:sz w:val="44"/>
          <w:szCs w:val="44"/>
          <w:highlight w:val="none"/>
          <w:lang w:val="en-US" w:eastAsia="zh-CN"/>
        </w:rPr>
        <w:t>2026年外派员工健康体检服务合同</w:t>
      </w:r>
    </w:p>
    <w:p w14:paraId="2C8A0CD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sz w:val="32"/>
          <w:szCs w:val="32"/>
          <w:highlight w:val="none"/>
        </w:rPr>
      </w:pPr>
    </w:p>
    <w:p w14:paraId="371585E9">
      <w:pPr>
        <w:pageBreakBefore w:val="0"/>
        <w:kinsoku/>
        <w:overflowPunct/>
        <w:topLinePunct w:val="0"/>
        <w:autoSpaceDE/>
        <w:autoSpaceDN/>
        <w:bidi w:val="0"/>
        <w:spacing w:line="560" w:lineRule="exact"/>
        <w:rPr>
          <w:rFonts w:hint="eastAsia" w:ascii="Times New Roman" w:hAnsi="Times New Roman" w:eastAsia="仿宋_GB2312" w:cs="仿宋_GB2312"/>
          <w:b w:val="0"/>
          <w:bCs/>
          <w:sz w:val="32"/>
          <w:szCs w:val="32"/>
          <w:highlight w:val="none"/>
        </w:rPr>
      </w:pPr>
      <w:bookmarkStart w:id="63" w:name="_Toc27794"/>
      <w:r>
        <w:rPr>
          <w:rFonts w:hint="eastAsia" w:ascii="Times New Roman" w:hAnsi="Times New Roman" w:eastAsia="仿宋_GB2312" w:cs="仿宋_GB2312"/>
          <w:b w:val="0"/>
          <w:bCs/>
          <w:sz w:val="32"/>
          <w:szCs w:val="32"/>
          <w:highlight w:val="none"/>
        </w:rPr>
        <w:t xml:space="preserve">甲方：深圳市鹏劳人力资源管理有限公司 </w:t>
      </w:r>
    </w:p>
    <w:p w14:paraId="7D729A40">
      <w:pPr>
        <w:pageBreakBefore w:val="0"/>
        <w:kinsoku/>
        <w:overflowPunct/>
        <w:topLinePunct w:val="0"/>
        <w:autoSpaceDE/>
        <w:autoSpaceDN/>
        <w:bidi w:val="0"/>
        <w:spacing w:line="560" w:lineRule="exact"/>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地址：</w:t>
      </w:r>
      <w:r>
        <w:rPr>
          <w:rFonts w:hint="eastAsia" w:ascii="Times New Roman" w:hAnsi="Times New Roman" w:eastAsia="仿宋_GB2312" w:cs="仿宋_GB2312"/>
          <w:bCs/>
          <w:sz w:val="32"/>
          <w:szCs w:val="32"/>
          <w:highlight w:val="none"/>
        </w:rPr>
        <w:t>深圳市罗湖区笋岗街道田心社区红岭北路2088号招商开元中心A座13层</w:t>
      </w:r>
    </w:p>
    <w:p w14:paraId="3E10FAAF">
      <w:pPr>
        <w:pageBreakBefore w:val="0"/>
        <w:kinsoku/>
        <w:overflowPunct/>
        <w:topLinePunct w:val="0"/>
        <w:autoSpaceDE/>
        <w:autoSpaceDN/>
        <w:bidi w:val="0"/>
        <w:spacing w:line="560" w:lineRule="exact"/>
        <w:rPr>
          <w:rFonts w:hint="eastAsia" w:ascii="Times New Roman" w:hAnsi="Times New Roman" w:eastAsia="仿宋_GB2312" w:cs="仿宋_GB2312"/>
          <w:b w:val="0"/>
          <w:bCs/>
          <w:sz w:val="32"/>
          <w:szCs w:val="32"/>
          <w:highlight w:val="none"/>
        </w:rPr>
      </w:pPr>
      <w:r>
        <w:rPr>
          <w:rFonts w:hint="eastAsia" w:ascii="Times New Roman" w:hAnsi="Times New Roman" w:eastAsia="仿宋_GB2312" w:cs="仿宋_GB2312"/>
          <w:b w:val="0"/>
          <w:bCs/>
          <w:sz w:val="32"/>
          <w:szCs w:val="32"/>
          <w:highlight w:val="none"/>
        </w:rPr>
        <w:t xml:space="preserve">联系人及电话： </w:t>
      </w:r>
    </w:p>
    <w:p w14:paraId="04A0653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Cs/>
          <w:sz w:val="32"/>
          <w:szCs w:val="32"/>
          <w:highlight w:val="none"/>
        </w:rPr>
      </w:pPr>
    </w:p>
    <w:p w14:paraId="25FDF80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 xml:space="preserve">乙方： </w:t>
      </w:r>
    </w:p>
    <w:p w14:paraId="680791A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 xml:space="preserve">地址： </w:t>
      </w:r>
    </w:p>
    <w:p w14:paraId="4B97F02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 xml:space="preserve">联系人及电话： </w:t>
      </w:r>
    </w:p>
    <w:p w14:paraId="402DBCEF">
      <w:pPr>
        <w:keepNext w:val="0"/>
        <w:keepLines w:val="0"/>
        <w:pageBreakBefore w:val="0"/>
        <w:widowControl w:val="0"/>
        <w:kinsoku/>
        <w:wordWrap/>
        <w:overflowPunct/>
        <w:topLinePunct w:val="0"/>
        <w:autoSpaceDE/>
        <w:autoSpaceDN/>
        <w:bidi w:val="0"/>
        <w:adjustRightInd/>
        <w:snapToGrid/>
        <w:spacing w:line="560" w:lineRule="exact"/>
        <w:ind w:firstLine="729" w:firstLineChars="228"/>
        <w:textAlignment w:val="auto"/>
        <w:rPr>
          <w:rFonts w:hint="eastAsia" w:ascii="Times New Roman" w:hAnsi="Times New Roman" w:eastAsia="仿宋_GB2312" w:cs="仿宋_GB2312"/>
          <w:bCs/>
          <w:sz w:val="32"/>
          <w:szCs w:val="32"/>
          <w:highlight w:val="none"/>
        </w:rPr>
      </w:pPr>
    </w:p>
    <w:p w14:paraId="77BAEF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Cs/>
          <w:sz w:val="32"/>
          <w:szCs w:val="32"/>
          <w:highlight w:val="none"/>
        </w:rPr>
      </w:pPr>
      <w:r>
        <w:rPr>
          <w:rFonts w:hint="eastAsia" w:ascii="Times New Roman" w:hAnsi="Times New Roman" w:eastAsia="仿宋_GB2312" w:cs="仿宋_GB2312"/>
          <w:bCs/>
          <w:color w:val="000000"/>
          <w:sz w:val="32"/>
          <w:szCs w:val="32"/>
          <w:highlight w:val="none"/>
        </w:rPr>
        <w:t>甲方经招标采购程序，确定乙方为甲方2026年度外派员工健康体检采购项目（项目编号：PLHR-ZB-FW-202607）中标方，双方本着平等合作、互惠互利的原则订立本服务合同，就乙方为甲方外派员工提供体检服务事宜约定如下：</w:t>
      </w:r>
    </w:p>
    <w:p w14:paraId="230AEF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rPr>
        <w:t>第一条 合作内容</w:t>
      </w:r>
    </w:p>
    <w:p w14:paraId="456DD6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Cs/>
          <w:sz w:val="32"/>
          <w:szCs w:val="32"/>
          <w:highlight w:val="none"/>
        </w:rPr>
      </w:pPr>
      <w:r>
        <w:rPr>
          <w:rFonts w:hint="eastAsia" w:ascii="Times New Roman" w:hAnsi="Times New Roman" w:eastAsia="仿宋_GB2312" w:cs="仿宋_GB2312"/>
          <w:bCs/>
          <w:color w:val="000000"/>
          <w:sz w:val="32"/>
          <w:szCs w:val="32"/>
          <w:highlight w:val="none"/>
          <w:lang w:val="en-US" w:eastAsia="zh-CN"/>
        </w:rPr>
        <w:t>一、甲方同意由乙方为甲方外派员工提供健康体检服务，甲方根据经营管理情况预计体检总人数为998人。乙方知悉并理解该人数存在合理浮动，体检结束后按照实际参加体检人数实施结算，具体人员及服务实施区域以甲方项目招标文件为准。</w:t>
      </w:r>
    </w:p>
    <w:p w14:paraId="44BE5B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Cs/>
          <w:sz w:val="32"/>
          <w:szCs w:val="32"/>
          <w:highlight w:val="none"/>
        </w:rPr>
      </w:pPr>
      <w:r>
        <w:rPr>
          <w:rFonts w:hint="eastAsia" w:ascii="Times New Roman" w:hAnsi="Times New Roman" w:eastAsia="仿宋_GB2312" w:cs="仿宋_GB2312"/>
          <w:bCs/>
          <w:sz w:val="32"/>
          <w:szCs w:val="32"/>
          <w:highlight w:val="none"/>
          <w:lang w:val="en-US" w:eastAsia="zh-CN"/>
        </w:rPr>
        <w:t>二、</w:t>
      </w:r>
      <w:r>
        <w:rPr>
          <w:rFonts w:hint="eastAsia" w:ascii="Times New Roman" w:hAnsi="Times New Roman" w:eastAsia="仿宋_GB2312" w:cs="仿宋_GB2312"/>
          <w:bCs/>
          <w:sz w:val="32"/>
          <w:szCs w:val="32"/>
          <w:highlight w:val="none"/>
        </w:rPr>
        <w:t>本合同项下体检总金额约为人民币</w:t>
      </w:r>
      <w:r>
        <w:rPr>
          <w:rFonts w:hint="eastAsia" w:ascii="Times New Roman" w:hAnsi="Times New Roman" w:eastAsia="仿宋_GB2312" w:cs="仿宋_GB2312"/>
          <w:bCs/>
          <w:sz w:val="32"/>
          <w:szCs w:val="32"/>
          <w:highlight w:val="none"/>
          <w:lang w:eastAsia="zh-CN"/>
        </w:rPr>
        <w:t>（</w:t>
      </w:r>
      <w:r>
        <w:rPr>
          <w:rFonts w:hint="eastAsia" w:ascii="Times New Roman" w:hAnsi="Times New Roman" w:eastAsia="仿宋_GB2312" w:cs="仿宋_GB2312"/>
          <w:bCs/>
          <w:sz w:val="32"/>
          <w:szCs w:val="32"/>
          <w:highlight w:val="none"/>
          <w:u w:val="single"/>
        </w:rPr>
        <w:t>待招标</w:t>
      </w:r>
      <w:r>
        <w:rPr>
          <w:rFonts w:hint="eastAsia" w:ascii="Times New Roman" w:hAnsi="Times New Roman" w:eastAsia="仿宋_GB2312" w:cs="仿宋_GB2312"/>
          <w:bCs/>
          <w:sz w:val="32"/>
          <w:szCs w:val="32"/>
          <w:highlight w:val="none"/>
          <w:u w:val="single"/>
          <w:lang w:val="en-US" w:eastAsia="zh-CN"/>
        </w:rPr>
        <w:t>后</w:t>
      </w:r>
      <w:r>
        <w:rPr>
          <w:rFonts w:hint="eastAsia" w:ascii="Times New Roman" w:hAnsi="Times New Roman" w:eastAsia="仿宋_GB2312" w:cs="仿宋_GB2312"/>
          <w:bCs/>
          <w:sz w:val="32"/>
          <w:szCs w:val="32"/>
          <w:highlight w:val="none"/>
          <w:u w:val="single"/>
        </w:rPr>
        <w:t>确定</w:t>
      </w:r>
      <w:r>
        <w:rPr>
          <w:rFonts w:hint="eastAsia" w:ascii="Times New Roman" w:hAnsi="Times New Roman" w:eastAsia="仿宋_GB2312" w:cs="仿宋_GB2312"/>
          <w:bCs/>
          <w:sz w:val="32"/>
          <w:szCs w:val="32"/>
          <w:highlight w:val="none"/>
          <w:u w:val="single"/>
          <w:lang w:eastAsia="zh-CN"/>
        </w:rPr>
        <w:t>）</w:t>
      </w:r>
      <w:r>
        <w:rPr>
          <w:rFonts w:hint="eastAsia" w:ascii="Times New Roman" w:hAnsi="Times New Roman" w:eastAsia="仿宋_GB2312" w:cs="仿宋_GB2312"/>
          <w:bCs/>
          <w:sz w:val="32"/>
          <w:szCs w:val="32"/>
          <w:highlight w:val="none"/>
        </w:rPr>
        <w:t>元（下简称“合同金额”）。如因甲方或甲方外派员工原因造成约定服务有效期前到检率过低，甲方按照第一条第（一）款预计体检人数的50%进行结算。</w:t>
      </w:r>
    </w:p>
    <w:p w14:paraId="2333A1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Cs/>
          <w:sz w:val="32"/>
          <w:szCs w:val="32"/>
          <w:highlight w:val="none"/>
        </w:rPr>
      </w:pPr>
      <w:r>
        <w:rPr>
          <w:rFonts w:hint="eastAsia" w:ascii="Times New Roman" w:hAnsi="Times New Roman" w:eastAsia="仿宋_GB2312" w:cs="仿宋_GB2312"/>
          <w:bCs/>
          <w:sz w:val="32"/>
          <w:szCs w:val="32"/>
          <w:highlight w:val="none"/>
          <w:lang w:val="en-US" w:eastAsia="zh-CN"/>
        </w:rPr>
        <w:t>三、</w:t>
      </w:r>
      <w:r>
        <w:rPr>
          <w:rFonts w:hint="eastAsia" w:ascii="Times New Roman" w:hAnsi="Times New Roman" w:eastAsia="仿宋_GB2312" w:cs="仿宋_GB2312"/>
          <w:bCs/>
          <w:sz w:val="32"/>
          <w:szCs w:val="32"/>
          <w:highlight w:val="none"/>
        </w:rPr>
        <w:t>乙方提供的随附服务按照乙方中标的投标文件承诺执行。</w:t>
      </w:r>
    </w:p>
    <w:p w14:paraId="6CDEF9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rPr>
        <w:t>第二条 体检时间</w:t>
      </w:r>
    </w:p>
    <w:p w14:paraId="78D111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Cs/>
          <w:sz w:val="32"/>
          <w:szCs w:val="32"/>
          <w:highlight w:val="none"/>
        </w:rPr>
      </w:pPr>
      <w:r>
        <w:rPr>
          <w:rFonts w:hint="eastAsia" w:ascii="Times New Roman" w:hAnsi="Times New Roman" w:eastAsia="仿宋_GB2312" w:cs="仿宋_GB2312"/>
          <w:bCs/>
          <w:color w:val="000000"/>
          <w:sz w:val="32"/>
          <w:szCs w:val="32"/>
          <w:highlight w:val="none"/>
          <w:lang w:val="en-US" w:eastAsia="zh-CN"/>
        </w:rPr>
        <w:t>一、甲乙双方确定的集中体检时间为：合同订立日期开始到2027年</w:t>
      </w:r>
      <w:r>
        <w:rPr>
          <w:rFonts w:hint="eastAsia" w:ascii="Times New Roman" w:hAnsi="Times New Roman" w:eastAsia="仿宋_GB2312" w:cs="仿宋_GB2312"/>
          <w:bCs/>
          <w:color w:val="000000"/>
          <w:sz w:val="32"/>
          <w:szCs w:val="32"/>
          <w:highlight w:val="none"/>
          <w:u w:val="single"/>
          <w:lang w:val="en-US" w:eastAsia="zh-CN"/>
        </w:rPr>
        <w:t xml:space="preserve">   </w:t>
      </w:r>
      <w:r>
        <w:rPr>
          <w:rFonts w:hint="eastAsia" w:ascii="Times New Roman" w:hAnsi="Times New Roman" w:eastAsia="仿宋_GB2312" w:cs="仿宋_GB2312"/>
          <w:bCs/>
          <w:color w:val="000000"/>
          <w:sz w:val="32"/>
          <w:szCs w:val="32"/>
          <w:highlight w:val="none"/>
          <w:lang w:val="en-US" w:eastAsia="zh-CN"/>
        </w:rPr>
        <w:t>月</w:t>
      </w:r>
      <w:r>
        <w:rPr>
          <w:rFonts w:hint="eastAsia" w:ascii="Times New Roman" w:hAnsi="Times New Roman" w:eastAsia="仿宋_GB2312" w:cs="仿宋_GB2312"/>
          <w:bCs/>
          <w:color w:val="000000"/>
          <w:sz w:val="32"/>
          <w:szCs w:val="32"/>
          <w:highlight w:val="none"/>
          <w:u w:val="single"/>
          <w:lang w:val="en-US" w:eastAsia="zh-CN"/>
        </w:rPr>
        <w:t xml:space="preserve">    </w:t>
      </w:r>
      <w:r>
        <w:rPr>
          <w:rFonts w:hint="eastAsia" w:ascii="Times New Roman" w:hAnsi="Times New Roman" w:eastAsia="仿宋_GB2312" w:cs="仿宋_GB2312"/>
          <w:bCs/>
          <w:color w:val="000000"/>
          <w:sz w:val="32"/>
          <w:szCs w:val="32"/>
          <w:highlight w:val="none"/>
          <w:lang w:val="en-US" w:eastAsia="zh-CN"/>
        </w:rPr>
        <w:t>日，此期限内，乙方应为甲方外派员工预留企业客户体检专区，为甲方外派员工集中体检提供便利。甲方应组织、安排其员工于该时间期限内参加体检以便获取企业客户体检专门服务。</w:t>
      </w:r>
    </w:p>
    <w:p w14:paraId="4D21AB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Cs/>
          <w:sz w:val="32"/>
          <w:szCs w:val="32"/>
          <w:highlight w:val="none"/>
        </w:rPr>
      </w:pPr>
      <w:r>
        <w:rPr>
          <w:rFonts w:hint="eastAsia" w:ascii="Times New Roman" w:hAnsi="Times New Roman" w:eastAsia="仿宋_GB2312" w:cs="仿宋_GB2312"/>
          <w:bCs/>
          <w:color w:val="000000"/>
          <w:sz w:val="32"/>
          <w:szCs w:val="32"/>
          <w:highlight w:val="none"/>
          <w:lang w:val="en-US" w:eastAsia="zh-CN"/>
        </w:rPr>
        <w:t>二、如少数甲方外派员工因个人原因超过以上时限未体检的，乙方同意于2027年</w:t>
      </w:r>
      <w:r>
        <w:rPr>
          <w:rFonts w:hint="eastAsia" w:ascii="Times New Roman" w:hAnsi="Times New Roman" w:eastAsia="仿宋_GB2312" w:cs="仿宋_GB2312"/>
          <w:bCs/>
          <w:color w:val="000000"/>
          <w:sz w:val="32"/>
          <w:szCs w:val="32"/>
          <w:highlight w:val="none"/>
          <w:u w:val="single"/>
          <w:lang w:val="en-US" w:eastAsia="zh-CN"/>
        </w:rPr>
        <w:t xml:space="preserve">   </w:t>
      </w:r>
      <w:r>
        <w:rPr>
          <w:rFonts w:hint="eastAsia" w:ascii="Times New Roman" w:hAnsi="Times New Roman" w:eastAsia="仿宋_GB2312" w:cs="仿宋_GB2312"/>
          <w:bCs/>
          <w:color w:val="000000"/>
          <w:sz w:val="32"/>
          <w:szCs w:val="32"/>
          <w:highlight w:val="none"/>
          <w:lang w:val="en-US" w:eastAsia="zh-CN"/>
        </w:rPr>
        <w:t>月</w:t>
      </w:r>
      <w:r>
        <w:rPr>
          <w:rFonts w:hint="eastAsia" w:ascii="Times New Roman" w:hAnsi="Times New Roman" w:eastAsia="仿宋_GB2312" w:cs="仿宋_GB2312"/>
          <w:bCs/>
          <w:color w:val="000000"/>
          <w:sz w:val="32"/>
          <w:szCs w:val="32"/>
          <w:highlight w:val="none"/>
          <w:u w:val="single"/>
          <w:lang w:val="en-US" w:eastAsia="zh-CN"/>
        </w:rPr>
        <w:t xml:space="preserve">   </w:t>
      </w:r>
      <w:r>
        <w:rPr>
          <w:rFonts w:hint="eastAsia" w:ascii="Times New Roman" w:hAnsi="Times New Roman" w:eastAsia="仿宋_GB2312" w:cs="仿宋_GB2312"/>
          <w:bCs/>
          <w:color w:val="000000"/>
          <w:sz w:val="32"/>
          <w:szCs w:val="32"/>
          <w:highlight w:val="none"/>
          <w:lang w:val="en-US" w:eastAsia="zh-CN"/>
        </w:rPr>
        <w:t>日-2027年</w:t>
      </w:r>
      <w:r>
        <w:rPr>
          <w:rFonts w:hint="eastAsia" w:ascii="Times New Roman" w:hAnsi="Times New Roman" w:eastAsia="仿宋_GB2312" w:cs="仿宋_GB2312"/>
          <w:bCs/>
          <w:color w:val="000000"/>
          <w:sz w:val="32"/>
          <w:szCs w:val="32"/>
          <w:highlight w:val="none"/>
          <w:u w:val="single"/>
          <w:lang w:val="en-US" w:eastAsia="zh-CN"/>
        </w:rPr>
        <w:t xml:space="preserve">   </w:t>
      </w:r>
      <w:r>
        <w:rPr>
          <w:rFonts w:hint="eastAsia" w:ascii="Times New Roman" w:hAnsi="Times New Roman" w:eastAsia="仿宋_GB2312" w:cs="仿宋_GB2312"/>
          <w:bCs/>
          <w:color w:val="000000"/>
          <w:sz w:val="32"/>
          <w:szCs w:val="32"/>
          <w:highlight w:val="none"/>
          <w:lang w:val="en-US" w:eastAsia="zh-CN"/>
        </w:rPr>
        <w:t>月</w:t>
      </w:r>
      <w:r>
        <w:rPr>
          <w:rFonts w:hint="eastAsia" w:ascii="Times New Roman" w:hAnsi="Times New Roman" w:eastAsia="仿宋_GB2312" w:cs="仿宋_GB2312"/>
          <w:bCs/>
          <w:color w:val="000000"/>
          <w:sz w:val="32"/>
          <w:szCs w:val="32"/>
          <w:highlight w:val="none"/>
          <w:u w:val="single"/>
          <w:lang w:val="en-US" w:eastAsia="zh-CN"/>
        </w:rPr>
        <w:t xml:space="preserve">   </w:t>
      </w:r>
      <w:r>
        <w:rPr>
          <w:rFonts w:hint="eastAsia" w:ascii="Times New Roman" w:hAnsi="Times New Roman" w:eastAsia="仿宋_GB2312" w:cs="仿宋_GB2312"/>
          <w:bCs/>
          <w:color w:val="000000"/>
          <w:sz w:val="32"/>
          <w:szCs w:val="32"/>
          <w:highlight w:val="none"/>
          <w:lang w:val="en-US" w:eastAsia="zh-CN"/>
        </w:rPr>
        <w:t>日之间为甲方员工提供补检服务，但补检服务不设置企业客户体检专区。</w:t>
      </w:r>
    </w:p>
    <w:p w14:paraId="6289BF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val="en-US" w:eastAsia="zh-CN"/>
        </w:rPr>
        <w:t>三、</w:t>
      </w:r>
      <w:r>
        <w:rPr>
          <w:rFonts w:hint="eastAsia" w:ascii="仿宋_GB2312" w:hAnsi="仿宋_GB2312" w:eastAsia="仿宋_GB2312" w:cs="仿宋_GB2312"/>
          <w:bCs/>
          <w:sz w:val="32"/>
          <w:szCs w:val="32"/>
          <w:highlight w:val="none"/>
        </w:rPr>
        <w:t>如甲方因故需再行延长体检服务有效期限的，双方协商一致后，另行订立补充协议。</w:t>
      </w:r>
    </w:p>
    <w:p w14:paraId="541E7D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rPr>
        <w:t>第三条 费用与结算</w:t>
      </w:r>
    </w:p>
    <w:p w14:paraId="42C2AA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一、</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甲方员工的健康体检服务费由甲方统一结算，如乙方同意为甲方员工家属提供个人体检优惠的，甲方员工家属体检服务费由体检人自行在乙方体检中心付款。</w:t>
      </w:r>
    </w:p>
    <w:p w14:paraId="09076F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二、（具体费用结算方式根据投标情况择优确定），</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乙方于</w:t>
      </w:r>
      <w:r>
        <w:rPr>
          <w:rFonts w:hint="eastAsia" w:ascii="仿宋_GB2312" w:hAnsi="仿宋_GB2312" w:eastAsia="仿宋_GB2312" w:cs="仿宋_GB2312"/>
          <w:bCs/>
          <w:sz w:val="32"/>
          <w:szCs w:val="32"/>
          <w:highlight w:val="none"/>
        </w:rPr>
        <w:t>收款后</w:t>
      </w:r>
      <w:r>
        <w:rPr>
          <w:rFonts w:hint="eastAsia" w:ascii="仿宋_GB2312" w:hAnsi="仿宋_GB2312" w:eastAsia="仿宋_GB2312" w:cs="仿宋_GB2312"/>
          <w:bCs/>
          <w:sz w:val="32"/>
          <w:szCs w:val="32"/>
          <w:highlight w:val="none"/>
          <w:u w:val="single"/>
        </w:rPr>
        <w:t>3</w:t>
      </w:r>
      <w:r>
        <w:rPr>
          <w:rFonts w:hint="eastAsia" w:ascii="仿宋_GB2312" w:hAnsi="仿宋_GB2312" w:eastAsia="仿宋_GB2312" w:cs="仿宋_GB2312"/>
          <w:bCs/>
          <w:sz w:val="32"/>
          <w:szCs w:val="32"/>
          <w:highlight w:val="none"/>
        </w:rPr>
        <w:t>个工作日内开具符合国家法律法规规定的对应金额增值税发票。</w:t>
      </w:r>
    </w:p>
    <w:p w14:paraId="5447D9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val="en-US" w:eastAsia="zh-CN"/>
        </w:rPr>
        <w:t>三、</w:t>
      </w:r>
      <w:r>
        <w:rPr>
          <w:rFonts w:hint="eastAsia" w:ascii="仿宋_GB2312" w:hAnsi="仿宋_GB2312" w:eastAsia="仿宋_GB2312" w:cs="仿宋_GB2312"/>
          <w:bCs/>
          <w:sz w:val="32"/>
          <w:szCs w:val="32"/>
          <w:highlight w:val="none"/>
        </w:rPr>
        <w:t>乙方仅接受银行转账支付，具体账户信息如下：</w:t>
      </w:r>
    </w:p>
    <w:p w14:paraId="598169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账户名称：（中标方填写）</w:t>
      </w:r>
    </w:p>
    <w:p w14:paraId="5B8D59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开户行：  （中标方填写）</w:t>
      </w:r>
    </w:p>
    <w:p w14:paraId="760264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银行账号： （中标方填写）</w:t>
      </w:r>
    </w:p>
    <w:p w14:paraId="64D114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val="en-US" w:eastAsia="zh-CN"/>
        </w:rPr>
        <w:t>四、</w:t>
      </w:r>
      <w:r>
        <w:rPr>
          <w:rFonts w:hint="eastAsia" w:ascii="仿宋_GB2312" w:hAnsi="仿宋_GB2312" w:eastAsia="仿宋_GB2312" w:cs="仿宋_GB2312"/>
          <w:bCs/>
          <w:sz w:val="32"/>
          <w:szCs w:val="32"/>
          <w:highlight w:val="none"/>
        </w:rPr>
        <w:t>如非乙方原因甲方未能按合同约定及时付款，乙方有权暂停服务，甲方支付款项后乙方将重启服务。因甲方不按合同约定付款而导致乙方暂停服务的，乙方不承担违约责任。</w:t>
      </w:r>
    </w:p>
    <w:p w14:paraId="06DBC0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val="en-US" w:eastAsia="zh-CN"/>
        </w:rPr>
        <w:t>五、</w:t>
      </w:r>
      <w:r>
        <w:rPr>
          <w:rFonts w:hint="eastAsia" w:ascii="仿宋_GB2312" w:hAnsi="仿宋_GB2312" w:eastAsia="仿宋_GB2312" w:cs="仿宋_GB2312"/>
          <w:bCs/>
          <w:sz w:val="32"/>
          <w:szCs w:val="32"/>
          <w:highlight w:val="none"/>
        </w:rPr>
        <w:t>因乙方延迟交付准确资料导致支付依据不足的情形，乙方不得中止或终止服务。</w:t>
      </w:r>
    </w:p>
    <w:p w14:paraId="6497AD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rPr>
        <w:t>第四条 双方权利与义务</w:t>
      </w:r>
    </w:p>
    <w:p w14:paraId="1DED7B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sz w:val="32"/>
          <w:szCs w:val="32"/>
          <w:highlight w:val="none"/>
        </w:rPr>
      </w:pPr>
      <w:r>
        <w:rPr>
          <w:rFonts w:hint="eastAsia" w:ascii="楷体_GB2312" w:hAnsi="楷体_GB2312" w:eastAsia="楷体_GB2312" w:cs="楷体_GB2312"/>
          <w:bCs/>
          <w:sz w:val="32"/>
          <w:szCs w:val="32"/>
          <w:highlight w:val="none"/>
          <w:lang w:val="en-US" w:eastAsia="zh-CN"/>
        </w:rPr>
        <w:t>（一）</w:t>
      </w:r>
      <w:r>
        <w:rPr>
          <w:rFonts w:hint="eastAsia" w:ascii="楷体_GB2312" w:hAnsi="楷体_GB2312" w:eastAsia="楷体_GB2312" w:cs="楷体_GB2312"/>
          <w:bCs/>
          <w:sz w:val="32"/>
          <w:szCs w:val="32"/>
          <w:highlight w:val="none"/>
        </w:rPr>
        <w:t>甲方权利义务</w:t>
      </w:r>
    </w:p>
    <w:p w14:paraId="23037FC0">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sz w:val="32"/>
          <w:szCs w:val="32"/>
          <w:highlight w:val="none"/>
        </w:rPr>
        <w:t>甲</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方有权要求乙方为甲方员工提供优质服务，并应对乙方的服务提供必要的协助；</w:t>
      </w:r>
    </w:p>
    <w:p w14:paraId="52B905A4">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甲方应按乙方要求告知其</w:t>
      </w:r>
      <w:r>
        <w:rPr>
          <w:rFonts w:hint="eastAsia" w:ascii="仿宋_GB2312" w:hAnsi="仿宋_GB2312" w:eastAsia="仿宋_GB2312" w:cs="仿宋_GB2312"/>
          <w:bCs/>
          <w:sz w:val="32"/>
          <w:szCs w:val="32"/>
          <w:highlight w:val="none"/>
        </w:rPr>
        <w:t>员工携带身份证、体检凭证等相关资料以进行身份确认；</w:t>
      </w:r>
    </w:p>
    <w:p w14:paraId="7DF7D8C3">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甲方按合同约定向乙方支付体检费用；</w:t>
      </w:r>
    </w:p>
    <w:p w14:paraId="322608C0">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若甲方需要统一收取其员工的体检报告，则需要事先取得其员工的书面同意。否则由此导致的纠纷由甲方自行解决，乙方由此受到任何损失的，甲方对此承担一切赔偿责任。</w:t>
      </w:r>
    </w:p>
    <w:p w14:paraId="16547C5C">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甲方负有保密义务，在未获得乙方书面允许的情况下，不得向第三方披露有关乙方的数据资料和内容，以及任何与本合同有关的信息。</w:t>
      </w:r>
    </w:p>
    <w:p w14:paraId="46AE0B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Cs/>
          <w:sz w:val="32"/>
          <w:szCs w:val="32"/>
          <w:highlight w:val="none"/>
          <w:lang w:val="en-US" w:eastAsia="zh-CN"/>
        </w:rPr>
      </w:pPr>
      <w:r>
        <w:rPr>
          <w:rFonts w:hint="eastAsia" w:ascii="楷体_GB2312" w:hAnsi="楷体_GB2312" w:eastAsia="楷体_GB2312" w:cs="楷体_GB2312"/>
          <w:bCs/>
          <w:sz w:val="32"/>
          <w:szCs w:val="32"/>
          <w:highlight w:val="none"/>
          <w:lang w:val="en-US" w:eastAsia="zh-CN"/>
        </w:rPr>
        <w:t>（二）乙方权利义务</w:t>
      </w:r>
    </w:p>
    <w:p w14:paraId="7F5C929B">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乙方有权按合同规定要求甲方按期付款；</w:t>
      </w:r>
    </w:p>
    <w:p w14:paraId="17C61B85">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乙方应按本合同约定的时间及方式安排甲方员工体检；</w:t>
      </w:r>
    </w:p>
    <w:p w14:paraId="7ECBC381">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乙方有权以合法合规且不违背甲方外派员工个人自主意愿的方式向甲方员工宣传“健康管理”的理念，其所宣传的理念、信息不得违反国家医疗卫生健康管理的法律法规和政策规定；</w:t>
      </w:r>
    </w:p>
    <w:p w14:paraId="50F06413">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乙方负有保密义务，在未获得甲方书面允许的情况下，不得向第三方披露有关甲方的数据资料和内容，以及任何与本合同有关的信息。</w:t>
      </w:r>
    </w:p>
    <w:p w14:paraId="57F1E0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rPr>
        <w:t>第</w:t>
      </w:r>
      <w:r>
        <w:rPr>
          <w:rFonts w:hint="eastAsia" w:ascii="黑体" w:hAnsi="黑体" w:eastAsia="黑体" w:cs="黑体"/>
          <w:bCs/>
          <w:sz w:val="32"/>
          <w:szCs w:val="32"/>
          <w:highlight w:val="none"/>
          <w:lang w:val="en-US" w:eastAsia="zh-CN"/>
        </w:rPr>
        <w:t>五</w:t>
      </w:r>
      <w:r>
        <w:rPr>
          <w:rFonts w:hint="eastAsia" w:ascii="黑体" w:hAnsi="黑体" w:eastAsia="黑体" w:cs="黑体"/>
          <w:bCs/>
          <w:sz w:val="32"/>
          <w:szCs w:val="32"/>
          <w:highlight w:val="none"/>
        </w:rPr>
        <w:t>条 违约责任</w:t>
      </w:r>
    </w:p>
    <w:p w14:paraId="21E49E91">
      <w:pPr>
        <w:keepNext w:val="0"/>
        <w:keepLines w:val="0"/>
        <w:pageBreakBefore w:val="0"/>
        <w:widowControl w:val="0"/>
        <w:numPr>
          <w:ilvl w:val="0"/>
          <w:numId w:val="13"/>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甲乙双方均应严格遵守本合同的约定，如有违约，违约方应对由此给守约方造成的损失据实承担赔偿责任；</w:t>
      </w:r>
    </w:p>
    <w:p w14:paraId="102F7E17">
      <w:pPr>
        <w:keepNext w:val="0"/>
        <w:keepLines w:val="0"/>
        <w:pageBreakBefore w:val="0"/>
        <w:widowControl w:val="0"/>
        <w:numPr>
          <w:ilvl w:val="0"/>
          <w:numId w:val="13"/>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如甲方未按时履行付款义务，则每延迟1日，应向乙方支付应付金额的千分之五作为滞纳金，超过30日仍未付款的，乙方有权解除本</w:t>
      </w:r>
      <w:r>
        <w:rPr>
          <w:rFonts w:hint="eastAsia" w:ascii="仿宋_GB2312" w:hAnsi="仿宋_GB2312" w:eastAsia="仿宋_GB2312" w:cs="仿宋_GB2312"/>
          <w:bCs/>
          <w:sz w:val="32"/>
          <w:szCs w:val="32"/>
          <w:highlight w:val="none"/>
          <w:lang w:val="en-US" w:eastAsia="zh-CN"/>
        </w:rPr>
        <w:t>合同</w:t>
      </w:r>
      <w:r>
        <w:rPr>
          <w:rFonts w:hint="eastAsia" w:ascii="仿宋_GB2312" w:hAnsi="仿宋_GB2312" w:eastAsia="仿宋_GB2312" w:cs="仿宋_GB2312"/>
          <w:bCs/>
          <w:sz w:val="32"/>
          <w:szCs w:val="32"/>
          <w:highlight w:val="none"/>
        </w:rPr>
        <w:t>，甲方除支付滞纳金外，还应对由此给乙方造成的损失承担赔偿责任。因乙方原因导致服务或结算资料交付延迟的，甲方不承担本条所述责任。</w:t>
      </w:r>
    </w:p>
    <w:p w14:paraId="28008E8E">
      <w:pPr>
        <w:keepNext w:val="0"/>
        <w:keepLines w:val="0"/>
        <w:pageBreakBefore w:val="0"/>
        <w:widowControl w:val="0"/>
        <w:numPr>
          <w:ilvl w:val="0"/>
          <w:numId w:val="13"/>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如乙方未按约定提供服务，则应向甲方支付按无法提供服务的金额的20%承担违约责任，甲方有权即时解除本</w:t>
      </w:r>
      <w:r>
        <w:rPr>
          <w:rFonts w:hint="eastAsia" w:ascii="仿宋_GB2312" w:hAnsi="仿宋_GB2312" w:eastAsia="仿宋_GB2312" w:cs="仿宋_GB2312"/>
          <w:bCs/>
          <w:sz w:val="32"/>
          <w:szCs w:val="32"/>
          <w:highlight w:val="none"/>
          <w:lang w:val="en-US" w:eastAsia="zh-CN"/>
        </w:rPr>
        <w:t>合同</w:t>
      </w:r>
      <w:r>
        <w:rPr>
          <w:rFonts w:hint="eastAsia" w:ascii="仿宋_GB2312" w:hAnsi="仿宋_GB2312" w:eastAsia="仿宋_GB2312" w:cs="仿宋_GB2312"/>
          <w:bCs/>
          <w:sz w:val="32"/>
          <w:szCs w:val="32"/>
          <w:highlight w:val="none"/>
        </w:rPr>
        <w:t>，甲方由此受到损失的，乙方据实承担赔偿责任。</w:t>
      </w:r>
    </w:p>
    <w:p w14:paraId="7E3B3040">
      <w:pPr>
        <w:keepNext w:val="0"/>
        <w:keepLines w:val="0"/>
        <w:pageBreakBefore w:val="0"/>
        <w:widowControl w:val="0"/>
        <w:numPr>
          <w:ilvl w:val="0"/>
          <w:numId w:val="13"/>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如发生合同订立时不能预见、不能避免并不能克服的客观情况，包括疫情或其他社会异常事件引起的政府管制行为、自然灾害、其他突发社会异常事件等不可抗力因素导致本合同无法履行的，甲乙双方同意根据实际情况协商顺延或解除合同，双方均不需承担赔偿责任。</w:t>
      </w:r>
    </w:p>
    <w:p w14:paraId="713342E8">
      <w:pPr>
        <w:keepNext w:val="0"/>
        <w:keepLines w:val="0"/>
        <w:pageBreakBefore w:val="0"/>
        <w:widowControl w:val="0"/>
        <w:numPr>
          <w:ilvl w:val="0"/>
          <w:numId w:val="13"/>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val="en-US" w:eastAsia="zh-CN"/>
        </w:rPr>
        <w:t>乙方同意若乙方在为甲方服务期间在各大主流互联网平台（抖音、微博、小红书、快手等）因客诉、服务纠纷或乙方不当言论引发重大舆情事件（包括但不限于媒体曝光、重大事故等），视为乙方严重违约，甲方有权立即终止本合同而不承担任何法律责任，甲方根据实际已完成体检服务的人数据实结算。如因上述原因导致甲方损失的乙方据实赔偿。</w:t>
      </w:r>
    </w:p>
    <w:p w14:paraId="430540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rPr>
        <w:t>第</w:t>
      </w:r>
      <w:r>
        <w:rPr>
          <w:rFonts w:hint="eastAsia" w:ascii="黑体" w:hAnsi="黑体" w:eastAsia="黑体" w:cs="黑体"/>
          <w:bCs/>
          <w:sz w:val="32"/>
          <w:szCs w:val="32"/>
          <w:highlight w:val="none"/>
          <w:lang w:val="en-US" w:eastAsia="zh-CN"/>
        </w:rPr>
        <w:t>六</w:t>
      </w:r>
      <w:r>
        <w:rPr>
          <w:rFonts w:hint="eastAsia" w:ascii="黑体" w:hAnsi="黑体" w:eastAsia="黑体" w:cs="黑体"/>
          <w:bCs/>
          <w:sz w:val="32"/>
          <w:szCs w:val="32"/>
          <w:highlight w:val="none"/>
        </w:rPr>
        <w:t>条 争议解决</w:t>
      </w:r>
    </w:p>
    <w:p w14:paraId="231581FD">
      <w:pPr>
        <w:keepNext w:val="0"/>
        <w:keepLines w:val="0"/>
        <w:pageBreakBefore w:val="0"/>
        <w:widowControl w:val="0"/>
        <w:numPr>
          <w:ilvl w:val="0"/>
          <w:numId w:val="14"/>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乙方恪守法律法规和诊疗常规，提供业内优质的服务，切实保证检查质量。但由于健康体检属医疗行为，其结果由于受检人个体差异、疾病发展窗口期、医学技术限制等因素具有一定的不可预知性，为尽可能提供优质检查服务，需要甲方参检人员积极配合乙方检查，主动提供既往健康状况，为乙方准确判断并做出检查结论提供重要参考。</w:t>
      </w:r>
    </w:p>
    <w:p w14:paraId="18A87B21">
      <w:pPr>
        <w:keepNext w:val="0"/>
        <w:keepLines w:val="0"/>
        <w:pageBreakBefore w:val="0"/>
        <w:widowControl w:val="0"/>
        <w:numPr>
          <w:ilvl w:val="0"/>
          <w:numId w:val="14"/>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甲乙双方一致同意乙方对所有经国家权威机构鉴定乙方存在过错的事件及因素负责，对于因项目自主选择、医疗技术发展限制、受检者自身配合问题所造成误差与意外，乙方不需承担责任。</w:t>
      </w:r>
    </w:p>
    <w:p w14:paraId="454715C5">
      <w:pPr>
        <w:keepNext w:val="0"/>
        <w:keepLines w:val="0"/>
        <w:pageBreakBefore w:val="0"/>
        <w:widowControl w:val="0"/>
        <w:numPr>
          <w:ilvl w:val="0"/>
          <w:numId w:val="14"/>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甲乙双方同意对于因本合同的执行、理解产生的争议，甲乙双方一致同意首先通过友好协商解决。如争议未能于协商开始之日起的30日内解决，则任何一方均可将争议事项提交深圳市罗湖区人民法院提出诉讼。</w:t>
      </w:r>
    </w:p>
    <w:p w14:paraId="7A7D0746">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lang w:val="en-US" w:eastAsia="zh-CN"/>
        </w:rPr>
        <w:t>第七条 禁止贿赂</w:t>
      </w:r>
    </w:p>
    <w:p w14:paraId="4CEE13A7">
      <w:pPr>
        <w:keepNext w:val="0"/>
        <w:keepLines w:val="0"/>
        <w:pageBreakBefore w:val="0"/>
        <w:widowControl w:val="0"/>
        <w:numPr>
          <w:ilvl w:val="0"/>
          <w:numId w:val="15"/>
        </w:numPr>
        <w:kinsoku w:val="0"/>
        <w:wordWrap w:val="0"/>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甲乙双方同时遵守《供需双方廉洁互保协议》。</w:t>
      </w:r>
    </w:p>
    <w:p w14:paraId="712B513C">
      <w:pPr>
        <w:keepNext w:val="0"/>
        <w:keepLines w:val="0"/>
        <w:pageBreakBefore w:val="0"/>
        <w:widowControl w:val="0"/>
        <w:numPr>
          <w:ilvl w:val="0"/>
          <w:numId w:val="15"/>
        </w:numPr>
        <w:kinsoku w:val="0"/>
        <w:wordWrap w:val="0"/>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color w:val="000000"/>
          <w:sz w:val="32"/>
          <w:szCs w:val="32"/>
          <w:highlight w:val="none"/>
        </w:rPr>
        <w:t>若任何一方违反《供需双方廉洁互保协议》，视同违约。守约方有权以书面形式通知违约方单方终止本合同，同时保留依法采取进一步法律措施的权利，违约方应承担由此给守约方带来的一切损失。</w:t>
      </w:r>
    </w:p>
    <w:p w14:paraId="1DE47600">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t>第八条 合同生效及其他</w:t>
      </w:r>
    </w:p>
    <w:p w14:paraId="0200D406">
      <w:pPr>
        <w:pStyle w:val="21"/>
        <w:keepNext w:val="0"/>
        <w:keepLines w:val="0"/>
        <w:pageBreakBefore w:val="0"/>
        <w:widowControl w:val="0"/>
        <w:numPr>
          <w:ilvl w:val="0"/>
          <w:numId w:val="16"/>
        </w:numPr>
        <w:kinsoku w:val="0"/>
        <w:wordWrap w:val="0"/>
        <w:overflowPunct/>
        <w:topLinePunct/>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highlight w:val="none"/>
          <w14:textFill>
            <w14:solidFill>
              <w14:schemeClr w14:val="tx1"/>
            </w14:solidFill>
          </w14:textFill>
        </w:rPr>
      </w:pPr>
      <w:r>
        <w:rPr>
          <w:rFonts w:hint="eastAsia" w:ascii="Times New Roman" w:hAnsi="Times New Roman" w:eastAsia="仿宋_GB2312" w:cs="仿宋_GB2312"/>
          <w:color w:val="000000" w:themeColor="text1"/>
          <w:sz w:val="32"/>
          <w:szCs w:val="32"/>
          <w:highlight w:val="none"/>
          <w14:textFill>
            <w14:solidFill>
              <w14:schemeClr w14:val="tx1"/>
            </w14:solidFill>
          </w14:textFill>
        </w:rPr>
        <w:t>本合同自双方授权代表签字并加盖公章后生效，</w:t>
      </w:r>
      <w:r>
        <w:rPr>
          <w:rFonts w:hint="eastAsia" w:ascii="Times New Roman" w:hAnsi="Times New Roman" w:eastAsia="仿宋_GB2312" w:cs="仿宋_GB2312"/>
          <w:b w:val="0"/>
          <w:bCs/>
          <w:color w:val="000000" w:themeColor="text1"/>
          <w:sz w:val="32"/>
          <w:szCs w:val="32"/>
          <w:highlight w:val="none"/>
          <w14:textFill>
            <w14:solidFill>
              <w14:schemeClr w14:val="tx1"/>
            </w14:solidFill>
          </w14:textFill>
        </w:rPr>
        <w:t>本项目期限为订立合同之日起至招标人指定</w:t>
      </w:r>
      <w:r>
        <w:rPr>
          <w:rFonts w:hint="eastAsia" w:ascii="Times New Roman" w:hAnsi="Times New Roman" w:eastAsia="仿宋_GB2312" w:cs="仿宋_GB2312"/>
          <w:b w:val="0"/>
          <w:bCs/>
          <w:color w:val="000000" w:themeColor="text1"/>
          <w:sz w:val="32"/>
          <w:szCs w:val="32"/>
          <w:highlight w:val="none"/>
          <w:lang w:eastAsia="zh-CN"/>
          <w14:textFill>
            <w14:solidFill>
              <w14:schemeClr w14:val="tx1"/>
            </w14:solidFill>
          </w14:textFill>
        </w:rPr>
        <w:t>员工</w:t>
      </w:r>
      <w:r>
        <w:rPr>
          <w:rFonts w:hint="eastAsia" w:ascii="Times New Roman" w:hAnsi="Times New Roman" w:eastAsia="仿宋_GB2312" w:cs="仿宋_GB2312"/>
          <w:b w:val="0"/>
          <w:bCs/>
          <w:color w:val="000000" w:themeColor="text1"/>
          <w:sz w:val="32"/>
          <w:szCs w:val="32"/>
          <w:highlight w:val="none"/>
          <w14:textFill>
            <w14:solidFill>
              <w14:schemeClr w14:val="tx1"/>
            </w14:solidFill>
          </w14:textFill>
        </w:rPr>
        <w:t>年度</w:t>
      </w:r>
      <w:r>
        <w:rPr>
          <w:rFonts w:hint="eastAsia" w:ascii="Times New Roman" w:hAnsi="Times New Roman" w:eastAsia="仿宋_GB2312" w:cs="仿宋_GB2312"/>
          <w:b w:val="0"/>
          <w:bCs/>
          <w:color w:val="000000" w:themeColor="text1"/>
          <w:sz w:val="32"/>
          <w:szCs w:val="32"/>
          <w:highlight w:val="none"/>
          <w:lang w:eastAsia="zh-CN"/>
          <w14:textFill>
            <w14:solidFill>
              <w14:schemeClr w14:val="tx1"/>
            </w14:solidFill>
          </w14:textFill>
        </w:rPr>
        <w:t>健康</w:t>
      </w:r>
      <w:r>
        <w:rPr>
          <w:rFonts w:hint="eastAsia" w:ascii="Times New Roman" w:hAnsi="Times New Roman" w:eastAsia="仿宋_GB2312" w:cs="仿宋_GB2312"/>
          <w:b w:val="0"/>
          <w:bCs/>
          <w:color w:val="000000" w:themeColor="text1"/>
          <w:sz w:val="32"/>
          <w:szCs w:val="32"/>
          <w:highlight w:val="none"/>
          <w14:textFill>
            <w14:solidFill>
              <w14:schemeClr w14:val="tx1"/>
            </w14:solidFill>
          </w14:textFill>
        </w:rPr>
        <w:t>体检全部完成</w:t>
      </w:r>
      <w:r>
        <w:rPr>
          <w:rFonts w:hint="eastAsia" w:ascii="Times New Roman" w:hAnsi="Times New Roman" w:eastAsia="仿宋_GB2312" w:cs="仿宋_GB2312"/>
          <w:b w:val="0"/>
          <w:bCs/>
          <w:color w:val="000000" w:themeColor="text1"/>
          <w:sz w:val="32"/>
          <w:szCs w:val="32"/>
          <w:highlight w:val="none"/>
          <w:lang w:eastAsia="zh-CN"/>
          <w14:textFill>
            <w14:solidFill>
              <w14:schemeClr w14:val="tx1"/>
            </w14:solidFill>
          </w14:textFill>
        </w:rPr>
        <w:t>，招标人</w:t>
      </w:r>
      <w:r>
        <w:rPr>
          <w:rFonts w:hint="eastAsia" w:ascii="Times New Roman" w:hAnsi="Times New Roman" w:eastAsia="仿宋_GB2312" w:cs="仿宋_GB2312"/>
          <w:b w:val="0"/>
          <w:bCs/>
          <w:color w:val="000000" w:themeColor="text1"/>
          <w:sz w:val="32"/>
          <w:szCs w:val="32"/>
          <w:highlight w:val="none"/>
          <w:lang w:val="en-US" w:eastAsia="zh-CN"/>
          <w14:textFill>
            <w14:solidFill>
              <w14:schemeClr w14:val="tx1"/>
            </w14:solidFill>
          </w14:textFill>
        </w:rPr>
        <w:t>外派</w:t>
      </w:r>
      <w:r>
        <w:rPr>
          <w:rFonts w:hint="eastAsia" w:ascii="Times New Roman" w:hAnsi="Times New Roman" w:eastAsia="仿宋_GB2312" w:cs="仿宋_GB2312"/>
          <w:b w:val="0"/>
          <w:bCs/>
          <w:color w:val="000000" w:themeColor="text1"/>
          <w:sz w:val="32"/>
          <w:szCs w:val="32"/>
          <w:highlight w:val="none"/>
          <w:lang w:eastAsia="zh-CN"/>
          <w14:textFill>
            <w14:solidFill>
              <w14:schemeClr w14:val="tx1"/>
            </w14:solidFill>
          </w14:textFill>
        </w:rPr>
        <w:t>员工自行放弃体检的情况除外。</w:t>
      </w:r>
    </w:p>
    <w:p w14:paraId="50D38A00">
      <w:pPr>
        <w:keepNext w:val="0"/>
        <w:keepLines w:val="0"/>
        <w:pageBreakBefore w:val="0"/>
        <w:widowControl w:val="0"/>
        <w:numPr>
          <w:ilvl w:val="0"/>
          <w:numId w:val="16"/>
        </w:numPr>
        <w:kinsoku w:val="0"/>
        <w:wordWrap w:val="0"/>
        <w:overflowPunct/>
        <w:topLinePunct/>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highlight w:val="none"/>
          <w14:textFill>
            <w14:solidFill>
              <w14:schemeClr w14:val="tx1"/>
            </w14:solidFill>
          </w14:textFill>
        </w:rPr>
      </w:pPr>
      <w:r>
        <w:rPr>
          <w:rFonts w:hint="eastAsia" w:ascii="Times New Roman" w:hAnsi="Times New Roman" w:eastAsia="仿宋_GB2312" w:cs="仿宋_GB2312"/>
          <w:color w:val="000000" w:themeColor="text1"/>
          <w:sz w:val="32"/>
          <w:szCs w:val="32"/>
          <w:highlight w:val="none"/>
          <w14:textFill>
            <w14:solidFill>
              <w14:schemeClr w14:val="tx1"/>
            </w14:solidFill>
          </w14:textFill>
        </w:rPr>
        <w:t>本合同期满后，双方未了债权债务不受合同期满的影响，债务人应对债权人继续完成未了债务。</w:t>
      </w:r>
    </w:p>
    <w:p w14:paraId="42D4B704">
      <w:pPr>
        <w:keepNext w:val="0"/>
        <w:keepLines w:val="0"/>
        <w:pageBreakBefore w:val="0"/>
        <w:widowControl w:val="0"/>
        <w:numPr>
          <w:ilvl w:val="0"/>
          <w:numId w:val="16"/>
        </w:numPr>
        <w:kinsoku w:val="0"/>
        <w:wordWrap w:val="0"/>
        <w:overflowPunct/>
        <w:topLinePunct/>
        <w:autoSpaceDE/>
        <w:autoSpaceDN/>
        <w:bidi w:val="0"/>
        <w:adjustRightInd/>
        <w:snapToGrid/>
        <w:spacing w:line="560" w:lineRule="exact"/>
        <w:ind w:firstLine="640" w:firstLineChars="200"/>
        <w:textAlignment w:val="auto"/>
        <w:rPr>
          <w:rFonts w:hint="eastAsia" w:ascii="Times New Roman" w:hAnsi="Times New Roman" w:eastAsia="仿宋_GB2312" w:cs="仿宋_GB2312"/>
          <w:bCs/>
          <w:color w:val="000000" w:themeColor="text1"/>
          <w:sz w:val="32"/>
          <w:szCs w:val="32"/>
          <w:highlight w:val="none"/>
          <w14:textFill>
            <w14:solidFill>
              <w14:schemeClr w14:val="tx1"/>
            </w14:solidFill>
          </w14:textFill>
        </w:rPr>
      </w:pPr>
      <w:r>
        <w:rPr>
          <w:rFonts w:hint="eastAsia" w:ascii="Times New Roman" w:hAnsi="Times New Roman" w:eastAsia="仿宋_GB2312" w:cs="仿宋_GB2312"/>
          <w:color w:val="000000" w:themeColor="text1"/>
          <w:sz w:val="32"/>
          <w:szCs w:val="32"/>
          <w:highlight w:val="none"/>
          <w14:textFill>
            <w14:solidFill>
              <w14:schemeClr w14:val="tx1"/>
            </w14:solidFill>
          </w14:textFill>
        </w:rPr>
        <w:t>合同正本一式肆份，双方各执贰份，</w:t>
      </w:r>
      <w:r>
        <w:rPr>
          <w:rFonts w:hint="eastAsia" w:ascii="Times New Roman" w:hAnsi="Times New Roman" w:eastAsia="仿宋_GB2312" w:cs="仿宋_GB2312"/>
          <w:bCs/>
          <w:color w:val="000000" w:themeColor="text1"/>
          <w:sz w:val="32"/>
          <w:szCs w:val="32"/>
          <w:highlight w:val="none"/>
          <w14:textFill>
            <w14:solidFill>
              <w14:schemeClr w14:val="tx1"/>
            </w14:solidFill>
          </w14:textFill>
        </w:rPr>
        <w:t>均具同等法律效力，经双方授权代表签字并加盖公章后生效。</w:t>
      </w:r>
    </w:p>
    <w:p w14:paraId="1944618A">
      <w:pPr>
        <w:keepNext w:val="0"/>
        <w:keepLines w:val="0"/>
        <w:pageBreakBefore w:val="0"/>
        <w:widowControl w:val="0"/>
        <w:numPr>
          <w:ilvl w:val="0"/>
          <w:numId w:val="16"/>
        </w:numPr>
        <w:kinsoku w:val="0"/>
        <w:wordWrap w:val="0"/>
        <w:overflowPunct/>
        <w:topLinePunct/>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highlight w:val="none"/>
          <w14:textFill>
            <w14:solidFill>
              <w14:schemeClr w14:val="tx1"/>
            </w14:solidFill>
          </w14:textFill>
        </w:rPr>
      </w:pPr>
      <w:r>
        <w:rPr>
          <w:rFonts w:hint="eastAsia" w:ascii="Times New Roman" w:hAnsi="Times New Roman" w:eastAsia="仿宋_GB2312" w:cs="仿宋_GB2312"/>
          <w:color w:val="000000" w:themeColor="text1"/>
          <w:sz w:val="32"/>
          <w:szCs w:val="32"/>
          <w:highlight w:val="none"/>
          <w14:textFill>
            <w14:solidFill>
              <w14:schemeClr w14:val="tx1"/>
            </w14:solidFill>
          </w14:textFill>
        </w:rPr>
        <w:t>除非本合同另有规定或双方同意，否则本合同规定的一切通知、文件资料均应采用书面形式，送交对方的主要营业地址或双方为此而指定的其他地址。</w:t>
      </w:r>
    </w:p>
    <w:p w14:paraId="423DD0EC">
      <w:pPr>
        <w:keepNext w:val="0"/>
        <w:keepLines w:val="0"/>
        <w:pageBreakBefore w:val="0"/>
        <w:widowControl w:val="0"/>
        <w:numPr>
          <w:ilvl w:val="0"/>
          <w:numId w:val="16"/>
        </w:numPr>
        <w:kinsoku w:val="0"/>
        <w:wordWrap w:val="0"/>
        <w:overflowPunct/>
        <w:topLinePunct/>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000000" w:themeColor="text1"/>
          <w:sz w:val="32"/>
          <w:szCs w:val="32"/>
          <w:highlight w:val="none"/>
          <w14:textFill>
            <w14:solidFill>
              <w14:schemeClr w14:val="tx1"/>
            </w14:solidFill>
          </w14:textFill>
        </w:rPr>
      </w:pPr>
      <w:r>
        <w:rPr>
          <w:rFonts w:hint="eastAsia" w:ascii="Times New Roman" w:hAnsi="Times New Roman" w:eastAsia="仿宋_GB2312" w:cs="仿宋_GB2312"/>
          <w:color w:val="000000" w:themeColor="text1"/>
          <w:sz w:val="32"/>
          <w:szCs w:val="32"/>
          <w:highlight w:val="none"/>
          <w14:textFill>
            <w14:solidFill>
              <w14:schemeClr w14:val="tx1"/>
            </w14:solidFill>
          </w14:textFill>
        </w:rPr>
        <w:t>以下文件均招均为本合同的有效组成部分，与合同正文具有同等法律效力。若合同附件与合同正文存在冲突的，双方均同意按照有利于甲方的条款执行。</w:t>
      </w:r>
    </w:p>
    <w:p w14:paraId="026B4441">
      <w:pPr>
        <w:pStyle w:val="32"/>
        <w:keepNext w:val="0"/>
        <w:keepLines w:val="0"/>
        <w:pageBreakBefore w:val="0"/>
        <w:widowControl w:val="0"/>
        <w:numPr>
          <w:ilvl w:val="0"/>
          <w:numId w:val="17"/>
        </w:numPr>
        <w:kinsoku w:val="0"/>
        <w:wordWrap w:val="0"/>
        <w:overflowPunct/>
        <w:topLinePunct/>
        <w:autoSpaceDE/>
        <w:autoSpaceDN/>
        <w:bidi w:val="0"/>
        <w:adjustRightInd/>
        <w:snapToGrid/>
        <w:spacing w:beforeLines="0" w:after="0" w:line="560" w:lineRule="exact"/>
        <w:ind w:firstLine="640" w:firstLineChars="200"/>
        <w:textAlignment w:val="auto"/>
        <w:rPr>
          <w:rFonts w:hint="eastAsia" w:ascii="Times New Roman" w:hAnsi="Times New Roman" w:eastAsia="仿宋_GB2312" w:cs="仿宋_GB2312"/>
          <w:color w:val="000000" w:themeColor="text1"/>
          <w:sz w:val="32"/>
          <w:szCs w:val="32"/>
          <w:highlight w:val="none"/>
          <w14:textFill>
            <w14:solidFill>
              <w14:schemeClr w14:val="tx1"/>
            </w14:solidFill>
          </w14:textFill>
        </w:rPr>
      </w:pPr>
      <w:r>
        <w:rPr>
          <w:rFonts w:hint="eastAsia" w:ascii="Times New Roman" w:hAnsi="Times New Roman" w:eastAsia="仿宋_GB2312" w:cs="仿宋_GB2312"/>
          <w:color w:val="000000" w:themeColor="text1"/>
          <w:sz w:val="32"/>
          <w:szCs w:val="32"/>
          <w:highlight w:val="none"/>
          <w14:textFill>
            <w14:solidFill>
              <w14:schemeClr w14:val="tx1"/>
            </w14:solidFill>
          </w14:textFill>
        </w:rPr>
        <w:t>甲方作为项目采购人发布的编号为PLHR-ZB-FW-202607的招标文件。</w:t>
      </w:r>
    </w:p>
    <w:p w14:paraId="1930BAD8">
      <w:pPr>
        <w:pStyle w:val="32"/>
        <w:keepNext w:val="0"/>
        <w:keepLines w:val="0"/>
        <w:pageBreakBefore w:val="0"/>
        <w:widowControl w:val="0"/>
        <w:numPr>
          <w:ilvl w:val="0"/>
          <w:numId w:val="17"/>
        </w:numPr>
        <w:kinsoku w:val="0"/>
        <w:wordWrap w:val="0"/>
        <w:overflowPunct/>
        <w:topLinePunct/>
        <w:autoSpaceDE/>
        <w:autoSpaceDN/>
        <w:bidi w:val="0"/>
        <w:adjustRightInd/>
        <w:snapToGrid/>
        <w:spacing w:beforeLines="0" w:after="0" w:line="560" w:lineRule="exact"/>
        <w:ind w:firstLine="640" w:firstLineChars="200"/>
        <w:textAlignment w:val="auto"/>
        <w:rPr>
          <w:rFonts w:hint="eastAsia" w:ascii="Times New Roman" w:hAnsi="Times New Roman" w:eastAsia="仿宋_GB2312" w:cs="仿宋_GB2312"/>
          <w:color w:val="000000" w:themeColor="text1"/>
          <w:sz w:val="32"/>
          <w:szCs w:val="32"/>
          <w:highlight w:val="none"/>
          <w14:textFill>
            <w14:solidFill>
              <w14:schemeClr w14:val="tx1"/>
            </w14:solidFill>
          </w14:textFill>
        </w:rPr>
      </w:pPr>
      <w:r>
        <w:rPr>
          <w:rFonts w:hint="eastAsia" w:ascii="Times New Roman" w:hAnsi="Times New Roman" w:eastAsia="仿宋_GB2312" w:cs="仿宋_GB2312"/>
          <w:color w:val="000000" w:themeColor="text1"/>
          <w:sz w:val="32"/>
          <w:szCs w:val="32"/>
          <w:highlight w:val="none"/>
          <w14:textFill>
            <w14:solidFill>
              <w14:schemeClr w14:val="tx1"/>
            </w14:solidFill>
          </w14:textFill>
        </w:rPr>
        <w:t>乙方作为项目投标人对本项目招标做出实质响应的投标文件及其随附材料。</w:t>
      </w:r>
    </w:p>
    <w:p w14:paraId="507A1B21">
      <w:pPr>
        <w:pStyle w:val="32"/>
        <w:keepNext w:val="0"/>
        <w:keepLines w:val="0"/>
        <w:pageBreakBefore w:val="0"/>
        <w:widowControl w:val="0"/>
        <w:numPr>
          <w:ilvl w:val="0"/>
          <w:numId w:val="17"/>
        </w:numPr>
        <w:kinsoku/>
        <w:wordWrap w:val="0"/>
        <w:overflowPunct/>
        <w:topLinePunct/>
        <w:autoSpaceDE/>
        <w:autoSpaceDN/>
        <w:bidi w:val="0"/>
        <w:adjustRightInd/>
        <w:snapToGrid/>
        <w:spacing w:beforeLines="0" w:after="0"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投标人在投标或标后合同谈判现场做出的由乙方投标代表实施的述标内容、述标文件及经乙方谈判代表签字确认的谈判记录。</w:t>
      </w:r>
    </w:p>
    <w:p w14:paraId="12538973">
      <w:pPr>
        <w:pStyle w:val="32"/>
        <w:keepNext w:val="0"/>
        <w:keepLines w:val="0"/>
        <w:pageBreakBefore w:val="0"/>
        <w:widowControl w:val="0"/>
        <w:numPr>
          <w:ilvl w:val="0"/>
          <w:numId w:val="17"/>
        </w:numPr>
        <w:kinsoku w:val="0"/>
        <w:wordWrap w:val="0"/>
        <w:overflowPunct/>
        <w:topLinePunct/>
        <w:autoSpaceDE/>
        <w:autoSpaceDN/>
        <w:bidi w:val="0"/>
        <w:adjustRightInd/>
        <w:snapToGrid/>
        <w:spacing w:beforeLines="0" w:after="0"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本合同附件（《供需双方廉洁互保协议》、《深圳市鹏劳人力资源管理有限公司供应商环境及职业健康安全体系符合性承诺书》）</w:t>
      </w:r>
    </w:p>
    <w:p w14:paraId="629559B2">
      <w:pPr>
        <w:keepNext w:val="0"/>
        <w:keepLines w:val="0"/>
        <w:pageBreakBefore w:val="0"/>
        <w:widowControl w:val="0"/>
        <w:numPr>
          <w:ilvl w:val="0"/>
          <w:numId w:val="16"/>
        </w:numPr>
        <w:kinsoku w:val="0"/>
        <w:wordWrap w:val="0"/>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本合同未尽事宜，由双方协商解决，形成书面补充协议，双方签字盖章后生效。</w:t>
      </w:r>
    </w:p>
    <w:p w14:paraId="74EFF83E">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t>第九条 争议解决</w:t>
      </w:r>
    </w:p>
    <w:p w14:paraId="50A549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甲乙双方同意对于因本合同的执行、理解产生的争议，甲乙双方一致同意首先通过友好协商解决。如争议未能于协商开始之日起的30日内解决，则任何一方均可将争议事项提交深圳市罗湖区人民法院提出诉讼。</w:t>
      </w:r>
    </w:p>
    <w:p w14:paraId="4929ACB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sz w:val="28"/>
          <w:szCs w:val="28"/>
          <w:highlight w:val="none"/>
        </w:rPr>
      </w:pPr>
    </w:p>
    <w:p w14:paraId="5948C17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甲方：                             乙方：</w:t>
      </w:r>
    </w:p>
    <w:p w14:paraId="44B8FF9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盖章：                             盖章：</w:t>
      </w:r>
    </w:p>
    <w:p w14:paraId="09FD792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负责人签字：                       负责人签字</w:t>
      </w:r>
    </w:p>
    <w:p w14:paraId="2F02265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日期:                              日期：</w:t>
      </w:r>
    </w:p>
    <w:p w14:paraId="0C8A7E75">
      <w:pPr>
        <w:pStyle w:val="5"/>
        <w:spacing w:before="0" w:after="0"/>
        <w:ind w:firstLine="0" w:firstLineChars="0"/>
        <w:jc w:val="left"/>
        <w:rPr>
          <w:rFonts w:hint="eastAsia" w:ascii="Times New Roman" w:hAnsi="Times New Roman" w:eastAsia="方正小标宋简体" w:cs="方正小标宋简体"/>
          <w:smallCaps w:val="0"/>
          <w:sz w:val="36"/>
          <w:szCs w:val="36"/>
          <w:highlight w:val="none"/>
        </w:rPr>
      </w:pPr>
      <w:bookmarkStart w:id="64" w:name="_Toc17473"/>
      <w:bookmarkStart w:id="65" w:name="_Toc677"/>
      <w:bookmarkStart w:id="66" w:name="_Toc4025"/>
      <w:r>
        <w:rPr>
          <w:rFonts w:hint="eastAsia" w:ascii="Times New Roman" w:hAnsi="Times New Roman" w:eastAsia="仿宋" w:cs="仿宋"/>
          <w:bCs w:val="0"/>
          <w:smallCaps w:val="0"/>
          <w:sz w:val="22"/>
          <w:szCs w:val="22"/>
          <w:highlight w:val="none"/>
          <w:lang w:val="zh-CN" w:eastAsia="zh-CN"/>
        </w:rPr>
        <w:t>采购</w:t>
      </w:r>
      <w:r>
        <w:rPr>
          <w:rFonts w:hint="eastAsia" w:ascii="Times New Roman" w:hAnsi="Times New Roman" w:eastAsia="仿宋" w:cs="仿宋"/>
          <w:bCs w:val="0"/>
          <w:smallCaps w:val="0"/>
          <w:sz w:val="22"/>
          <w:szCs w:val="22"/>
          <w:highlight w:val="none"/>
          <w:lang w:val="zh-CN"/>
        </w:rPr>
        <w:t>合同附件1：供需双方廉洁互保协议</w:t>
      </w:r>
      <w:bookmarkEnd w:id="64"/>
      <w:bookmarkEnd w:id="65"/>
      <w:bookmarkEnd w:id="66"/>
    </w:p>
    <w:p w14:paraId="4FED555E">
      <w:pPr>
        <w:widowControl w:val="0"/>
        <w:spacing w:line="400" w:lineRule="exact"/>
        <w:ind w:right="-512" w:rightChars="-244" w:firstLine="2880" w:firstLineChars="800"/>
        <w:rPr>
          <w:rFonts w:ascii="Times New Roman" w:hAnsi="Times New Roman" w:eastAsia="方正小标宋简体" w:cs="方正小标宋简体"/>
          <w:smallCaps w:val="0"/>
          <w:sz w:val="36"/>
          <w:szCs w:val="36"/>
          <w:highlight w:val="none"/>
        </w:rPr>
      </w:pPr>
      <w:r>
        <w:rPr>
          <w:rFonts w:hint="eastAsia" w:ascii="Times New Roman" w:hAnsi="Times New Roman" w:eastAsia="方正小标宋简体" w:cs="方正小标宋简体"/>
          <w:smallCaps w:val="0"/>
          <w:sz w:val="36"/>
          <w:szCs w:val="36"/>
          <w:highlight w:val="none"/>
        </w:rPr>
        <w:t>供需双方廉洁互保协议</w:t>
      </w:r>
    </w:p>
    <w:p w14:paraId="36FCABBF">
      <w:pPr>
        <w:keepNext w:val="0"/>
        <w:keepLines w:val="0"/>
        <w:pageBreakBefore w:val="0"/>
        <w:widowControl w:val="0"/>
        <w:kinsoku/>
        <w:wordWrap w:val="0"/>
        <w:overflowPunct/>
        <w:topLinePunct w:val="0"/>
        <w:autoSpaceDE/>
        <w:autoSpaceDN/>
        <w:bidi w:val="0"/>
        <w:adjustRightInd/>
        <w:snapToGrid/>
        <w:spacing w:line="280" w:lineRule="exact"/>
        <w:ind w:left="-420" w:leftChars="-200" w:right="-512" w:rightChars="-244" w:firstLine="420" w:firstLineChars="175"/>
        <w:textAlignment w:val="auto"/>
        <w:rPr>
          <w:rFonts w:hint="eastAsia" w:ascii="仿宋_GB2312" w:hAnsi="仿宋_GB2312" w:eastAsia="仿宋_GB2312" w:cs="仿宋_GB2312"/>
          <w:smallCaps w:val="0"/>
          <w:sz w:val="24"/>
          <w:highlight w:val="none"/>
          <w:u w:val="thick"/>
        </w:rPr>
      </w:pPr>
      <w:r>
        <w:rPr>
          <w:rFonts w:hint="eastAsia" w:ascii="仿宋_GB2312" w:hAnsi="仿宋_GB2312" w:eastAsia="仿宋_GB2312" w:cs="仿宋_GB2312"/>
          <w:smallCaps w:val="0"/>
          <w:sz w:val="24"/>
          <w:highlight w:val="none"/>
        </w:rPr>
        <w:t>甲方：</w:t>
      </w:r>
      <w:r>
        <w:rPr>
          <w:rFonts w:hint="eastAsia" w:ascii="仿宋_GB2312" w:hAnsi="仿宋_GB2312" w:eastAsia="仿宋_GB2312" w:cs="仿宋_GB2312"/>
          <w:smallCaps w:val="0"/>
          <w:sz w:val="24"/>
          <w:highlight w:val="none"/>
          <w:u w:val="single"/>
        </w:rPr>
        <w:t>深圳市鹏劳人力资源管理有限公司</w:t>
      </w:r>
    </w:p>
    <w:p w14:paraId="03BB2229">
      <w:pPr>
        <w:keepNext w:val="0"/>
        <w:keepLines w:val="0"/>
        <w:pageBreakBefore w:val="0"/>
        <w:widowControl w:val="0"/>
        <w:kinsoku/>
        <w:wordWrap w:val="0"/>
        <w:overflowPunct/>
        <w:topLinePunct w:val="0"/>
        <w:autoSpaceDE/>
        <w:autoSpaceDN/>
        <w:bidi w:val="0"/>
        <w:adjustRightInd/>
        <w:snapToGrid/>
        <w:spacing w:line="280" w:lineRule="exact"/>
        <w:ind w:left="-420" w:leftChars="-200" w:right="-512" w:rightChars="-244" w:firstLine="420" w:firstLineChars="175"/>
        <w:textAlignment w:val="auto"/>
        <w:rPr>
          <w:rFonts w:hint="eastAsia" w:ascii="仿宋_GB2312" w:hAnsi="仿宋_GB2312" w:eastAsia="仿宋_GB2312" w:cs="仿宋_GB2312"/>
          <w:smallCaps w:val="0"/>
          <w:sz w:val="24"/>
          <w:highlight w:val="none"/>
          <w:u w:val="thick"/>
        </w:rPr>
      </w:pPr>
      <w:r>
        <w:rPr>
          <w:rFonts w:hint="eastAsia" w:ascii="仿宋_GB2312" w:hAnsi="仿宋_GB2312" w:eastAsia="仿宋_GB2312" w:cs="仿宋_GB2312"/>
          <w:smallCaps w:val="0"/>
          <w:sz w:val="24"/>
          <w:highlight w:val="none"/>
        </w:rPr>
        <w:t>乙方：</w:t>
      </w:r>
      <w:r>
        <w:rPr>
          <w:rFonts w:hint="eastAsia" w:ascii="仿宋_GB2312" w:hAnsi="仿宋_GB2312" w:eastAsia="仿宋_GB2312" w:cs="仿宋_GB2312"/>
          <w:smallCaps w:val="0"/>
          <w:sz w:val="24"/>
          <w:highlight w:val="none"/>
          <w:u w:val="single"/>
        </w:rPr>
        <w:t xml:space="preserve">                             </w:t>
      </w:r>
    </w:p>
    <w:p w14:paraId="66534ED5">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为规范双方业务往来活动，建立诚实守信的商务合作关系，共同维护双方合法权益，防止违规违纪行为发生，经友好协商，双方就业务往来中的廉洁事宜达成此互保协议。</w:t>
      </w:r>
    </w:p>
    <w:p w14:paraId="52A2429B">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第一条  甲乙双方共同的权利和义务：</w:t>
      </w:r>
    </w:p>
    <w:p w14:paraId="2CDE9797">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1. 严格遵守国家有关法律法规，坚持诚实守信原则，恪守商业道德，规范商务人员廉洁从业行为；</w:t>
      </w:r>
    </w:p>
    <w:p w14:paraId="5A133A45">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2. 双方业务活动坚持公开、公正、诚信、透明的原则（商业秘密和合同文件另有规定的除外），不得损害国家和对方利益；</w:t>
      </w:r>
    </w:p>
    <w:p w14:paraId="72E88052">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3. 发现对方工作人员在业务活动中有违反廉洁规定的行为，有及时要求对方纠正并向对方举报的权利和义务；涉嫌违法的，可以依法向有关部门举报；</w:t>
      </w:r>
    </w:p>
    <w:p w14:paraId="0C830610">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4. 对涉嫌不廉洁的商业行为进行调查时，双方有相互配合、提供证据、作证的义务；</w:t>
      </w:r>
    </w:p>
    <w:p w14:paraId="4DEB2687">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 xml:space="preserve">5. 双方应依法保护举报人员，不得以任何方式对举报人员进行打击报复。 </w:t>
      </w:r>
    </w:p>
    <w:p w14:paraId="0946F01E">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第二条  甲方的廉洁责任：</w:t>
      </w:r>
    </w:p>
    <w:p w14:paraId="3235F1EF">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1. 甲方工作人员不得以任何形式索要或接受乙方的礼金、礼品和有价证券，不得在乙方报销任何应由个人支付的各种费用；</w:t>
      </w:r>
    </w:p>
    <w:p w14:paraId="581ACE9E">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2. 甲方工作人员不得私自参加乙方安排的宴请，不得私自接受乙方提供的通讯、交通工具和办公用品，不得向乙方泄露谈判中的商业秘密；</w:t>
      </w:r>
    </w:p>
    <w:p w14:paraId="139485B9">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3. 甲方工作人员不得要求或者接受乙方以住房装修、婚丧嫁娶、家属及其他亲属的工作安排、出国出境、旅游等为理由所提供的方便；</w:t>
      </w:r>
    </w:p>
    <w:p w14:paraId="0B8C2673">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4. 甲方工作人员不得以任何理由向乙方推荐物资供应单位、工程承包或劳务分包单位，合同另有约定的除外；</w:t>
      </w:r>
    </w:p>
    <w:p w14:paraId="5824944B">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5. 其它违反廉洁规定的行为。</w:t>
      </w:r>
    </w:p>
    <w:p w14:paraId="176D569D">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第三条  乙方的廉洁责任：</w:t>
      </w:r>
    </w:p>
    <w:p w14:paraId="37B3B62A">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1. 乙方及其工作人员不得为甲方工作人员提供回扣、礼金、有价证券、贵重物品和报销个人费用；</w:t>
      </w:r>
    </w:p>
    <w:p w14:paraId="2E7D48F9">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2. 乙方及其工作人员不得为甲方工作人员安排有可能影响公平、公正交易的宴请、健身、娱乐等活动；</w:t>
      </w:r>
    </w:p>
    <w:p w14:paraId="795FD517">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3. 乙方及其工作人员不得为甲方工作人员投资入股、个人借款或买卖股票、债券、购买或装修住房、婚丧嫁娶、配偶子女上学或工作安排以及出国出境、旅游等等提供方便；</w:t>
      </w:r>
    </w:p>
    <w:p w14:paraId="3BC20E74">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4. 乙方及其工作人员不得为甲方工作人员在其相关企业挂名兼职、合伙经营、介绍承揽业务等提供方便；</w:t>
      </w:r>
    </w:p>
    <w:p w14:paraId="634BD27E">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5. 其它违反廉洁规定的行为。</w:t>
      </w:r>
    </w:p>
    <w:p w14:paraId="0F00878E">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第四条  甲方工作人员有违反本协议行为的，甲方应按照干部管理权限，依据有关规定给予相应党政纪处分、组织处理或经济处罚；涉嫌犯罪的，移交司法机关追究法律责任。</w:t>
      </w:r>
    </w:p>
    <w:p w14:paraId="34B2C603">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第五条  乙方及其工作人员有违反本协议行为的，甲方有权根据情节和所造成的影响采取以下相应措施：</w:t>
      </w:r>
    </w:p>
    <w:p w14:paraId="2D5CA311">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1. 情节轻微的，要求乙方对相关工作人员进行处分处理，并限期整改；</w:t>
      </w:r>
    </w:p>
    <w:p w14:paraId="54EAD07C">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2. 致甲方工作人员受到组织处理、纪律处分或构成违法犯罪的，给甲方造成重大社会影响或重大经济损失的，甲方有权解除双方尚未履行完毕的业务合同，暂停支付合同未结算款项，甲方遭受的损失由乙方负责赔偿，乙方因甲方解除合同产生的损失由乙方自行承担，列入永久禁入深圳市鹏劳人力资源管理有限公司市场黑名单。</w:t>
      </w:r>
    </w:p>
    <w:p w14:paraId="6B6586B7">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color w:val="000000"/>
          <w:sz w:val="24"/>
          <w:highlight w:val="none"/>
        </w:rPr>
        <w:t>第六条  本协议作为双方签订的《深圳市鹏劳人力资源管理有限公司2026年度外派员工健康体检项目采购合同》的组成部分，与该采购合同具有同等法律效力。</w:t>
      </w:r>
    </w:p>
    <w:p w14:paraId="1DD0C590">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第七条  本协议一式三份，甲乙双方各执一份，鹏劳公司纪检委员存档一份，自双方签字盖章之日起生效，有效期与合同履约期一致。</w:t>
      </w:r>
    </w:p>
    <w:p w14:paraId="3F39974C">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p>
    <w:p w14:paraId="2202D219">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甲方：（盖章）                           乙方：（盖章）</w:t>
      </w:r>
    </w:p>
    <w:p w14:paraId="7202391A">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4"/>
          <w:highlight w:val="none"/>
        </w:rPr>
      </w:pPr>
      <w:r>
        <w:rPr>
          <w:rFonts w:hint="eastAsia" w:ascii="仿宋_GB2312" w:hAnsi="仿宋_GB2312" w:eastAsia="仿宋_GB2312" w:cs="仿宋_GB2312"/>
          <w:smallCaps w:val="0"/>
          <w:sz w:val="24"/>
          <w:highlight w:val="none"/>
        </w:rPr>
        <w:t xml:space="preserve">法定代表人或授权代表：（签字）           法定代表人或授权代表：（签字）      </w:t>
      </w:r>
    </w:p>
    <w:p w14:paraId="02FDB6F2">
      <w:pPr>
        <w:keepNext w:val="0"/>
        <w:keepLines w:val="0"/>
        <w:pageBreakBefore w:val="0"/>
        <w:widowControl w:val="0"/>
        <w:kinsoku/>
        <w:wordWrap w:val="0"/>
        <w:overflowPunct/>
        <w:topLinePunct w:val="0"/>
        <w:autoSpaceDE/>
        <w:autoSpaceDN/>
        <w:bidi w:val="0"/>
        <w:adjustRightInd/>
        <w:snapToGrid/>
        <w:spacing w:line="280" w:lineRule="exact"/>
        <w:ind w:left="0" w:leftChars="0" w:right="0" w:rightChars="0" w:firstLine="480" w:firstLineChars="200"/>
        <w:textAlignment w:val="auto"/>
        <w:rPr>
          <w:rFonts w:hint="eastAsia" w:ascii="仿宋_GB2312" w:hAnsi="仿宋_GB2312" w:eastAsia="仿宋_GB2312" w:cs="仿宋_GB2312"/>
          <w:smallCaps w:val="0"/>
          <w:sz w:val="28"/>
          <w:szCs w:val="28"/>
          <w:highlight w:val="none"/>
        </w:rPr>
      </w:pPr>
      <w:r>
        <w:rPr>
          <w:rFonts w:hint="eastAsia" w:ascii="仿宋_GB2312" w:hAnsi="仿宋_GB2312" w:eastAsia="仿宋_GB2312" w:cs="仿宋_GB2312"/>
          <w:smallCaps w:val="0"/>
          <w:sz w:val="24"/>
          <w:highlight w:val="none"/>
        </w:rPr>
        <w:t>日期：                                   日期：</w:t>
      </w:r>
    </w:p>
    <w:p w14:paraId="1D4BB4A2">
      <w:pPr>
        <w:spacing w:line="400" w:lineRule="exact"/>
        <w:ind w:left="-420" w:leftChars="-200" w:firstLine="367" w:firstLineChars="175"/>
        <w:rPr>
          <w:rFonts w:hint="eastAsia" w:ascii="仿宋" w:hAnsi="仿宋" w:eastAsia="仿宋" w:cs="仿宋"/>
          <w:szCs w:val="21"/>
          <w:highlight w:val="none"/>
        </w:rPr>
      </w:pPr>
    </w:p>
    <w:p w14:paraId="547D478E">
      <w:pPr>
        <w:spacing w:line="400" w:lineRule="exact"/>
        <w:ind w:left="-420" w:leftChars="-200" w:firstLine="367" w:firstLineChars="175"/>
        <w:rPr>
          <w:rFonts w:hint="eastAsia" w:ascii="仿宋" w:hAnsi="仿宋" w:eastAsia="仿宋" w:cs="仿宋"/>
          <w:szCs w:val="21"/>
          <w:highlight w:val="none"/>
        </w:rPr>
      </w:pPr>
    </w:p>
    <w:p w14:paraId="01FA011F">
      <w:pPr>
        <w:spacing w:line="400" w:lineRule="exact"/>
        <w:ind w:left="-420" w:leftChars="-200" w:firstLine="367" w:firstLineChars="175"/>
        <w:rPr>
          <w:rFonts w:hint="eastAsia" w:ascii="仿宋" w:hAnsi="仿宋" w:eastAsia="仿宋" w:cs="仿宋"/>
          <w:szCs w:val="21"/>
          <w:highlight w:val="none"/>
        </w:rPr>
      </w:pPr>
    </w:p>
    <w:p w14:paraId="12F03268">
      <w:pPr>
        <w:spacing w:line="400" w:lineRule="exact"/>
        <w:ind w:left="-420" w:leftChars="-200" w:firstLine="367" w:firstLineChars="175"/>
        <w:rPr>
          <w:rFonts w:hint="eastAsia" w:ascii="仿宋" w:hAnsi="仿宋" w:eastAsia="仿宋" w:cs="仿宋"/>
          <w:szCs w:val="21"/>
          <w:highlight w:val="none"/>
        </w:rPr>
      </w:pPr>
    </w:p>
    <w:p w14:paraId="15685B65">
      <w:pPr>
        <w:spacing w:line="400" w:lineRule="exact"/>
        <w:ind w:left="-420" w:leftChars="-200" w:firstLine="367" w:firstLineChars="175"/>
        <w:rPr>
          <w:rFonts w:hint="eastAsia" w:ascii="仿宋" w:hAnsi="仿宋" w:eastAsia="仿宋" w:cs="仿宋"/>
          <w:szCs w:val="21"/>
          <w:highlight w:val="none"/>
        </w:rPr>
      </w:pPr>
    </w:p>
    <w:p w14:paraId="402C0443">
      <w:pPr>
        <w:spacing w:line="400" w:lineRule="exact"/>
        <w:ind w:left="-420" w:leftChars="-200" w:firstLine="367" w:firstLineChars="175"/>
        <w:rPr>
          <w:rFonts w:hint="eastAsia" w:ascii="仿宋" w:hAnsi="仿宋" w:eastAsia="仿宋" w:cs="仿宋"/>
          <w:szCs w:val="21"/>
          <w:highlight w:val="none"/>
        </w:rPr>
      </w:pPr>
    </w:p>
    <w:p w14:paraId="5390B07F">
      <w:pPr>
        <w:spacing w:line="400" w:lineRule="exact"/>
        <w:ind w:left="-420" w:leftChars="-200" w:firstLine="367" w:firstLineChars="175"/>
        <w:rPr>
          <w:rFonts w:hint="eastAsia" w:ascii="仿宋" w:hAnsi="仿宋" w:eastAsia="仿宋" w:cs="仿宋"/>
          <w:szCs w:val="21"/>
          <w:highlight w:val="none"/>
        </w:rPr>
      </w:pPr>
    </w:p>
    <w:p w14:paraId="397EDFCF">
      <w:pPr>
        <w:spacing w:line="400" w:lineRule="exact"/>
        <w:ind w:left="-420" w:leftChars="-200" w:firstLine="367" w:firstLineChars="175"/>
        <w:rPr>
          <w:rFonts w:hint="eastAsia" w:ascii="仿宋" w:hAnsi="仿宋" w:eastAsia="仿宋" w:cs="仿宋"/>
          <w:szCs w:val="21"/>
          <w:highlight w:val="none"/>
        </w:rPr>
      </w:pPr>
    </w:p>
    <w:p w14:paraId="0FBC6012">
      <w:pPr>
        <w:spacing w:line="400" w:lineRule="exact"/>
        <w:ind w:left="-420" w:leftChars="-200" w:firstLine="367" w:firstLineChars="175"/>
        <w:rPr>
          <w:rFonts w:hint="eastAsia" w:ascii="仿宋" w:hAnsi="仿宋" w:eastAsia="仿宋" w:cs="仿宋"/>
          <w:szCs w:val="21"/>
          <w:highlight w:val="none"/>
        </w:rPr>
      </w:pPr>
    </w:p>
    <w:p w14:paraId="4328D8B6">
      <w:pPr>
        <w:spacing w:line="400" w:lineRule="exact"/>
        <w:ind w:left="-420" w:leftChars="-200" w:firstLine="367" w:firstLineChars="175"/>
        <w:rPr>
          <w:rFonts w:hint="eastAsia" w:ascii="仿宋" w:hAnsi="仿宋" w:eastAsia="仿宋" w:cs="仿宋"/>
          <w:szCs w:val="21"/>
          <w:highlight w:val="none"/>
        </w:rPr>
      </w:pPr>
    </w:p>
    <w:p w14:paraId="6AF4429B">
      <w:pPr>
        <w:spacing w:line="400" w:lineRule="exact"/>
        <w:ind w:left="-420" w:leftChars="-200" w:firstLine="367" w:firstLineChars="175"/>
        <w:rPr>
          <w:rFonts w:hint="eastAsia" w:ascii="仿宋" w:hAnsi="仿宋" w:eastAsia="仿宋" w:cs="仿宋"/>
          <w:szCs w:val="21"/>
          <w:highlight w:val="none"/>
        </w:rPr>
      </w:pPr>
    </w:p>
    <w:p w14:paraId="4EBED6FB">
      <w:pPr>
        <w:spacing w:line="400" w:lineRule="exact"/>
        <w:ind w:left="-420" w:leftChars="-200" w:firstLine="367" w:firstLineChars="175"/>
        <w:rPr>
          <w:rFonts w:hint="eastAsia" w:ascii="仿宋" w:hAnsi="仿宋" w:eastAsia="仿宋" w:cs="仿宋"/>
          <w:szCs w:val="21"/>
          <w:highlight w:val="none"/>
        </w:rPr>
      </w:pPr>
    </w:p>
    <w:p w14:paraId="4E93ABBB">
      <w:pPr>
        <w:spacing w:line="400" w:lineRule="exact"/>
        <w:ind w:left="-420" w:leftChars="-200" w:firstLine="367" w:firstLineChars="175"/>
        <w:rPr>
          <w:rFonts w:hint="eastAsia" w:ascii="仿宋" w:hAnsi="仿宋" w:eastAsia="仿宋" w:cs="仿宋"/>
          <w:szCs w:val="21"/>
          <w:highlight w:val="none"/>
        </w:rPr>
      </w:pPr>
    </w:p>
    <w:p w14:paraId="61D03874">
      <w:pPr>
        <w:spacing w:line="400" w:lineRule="exact"/>
        <w:ind w:left="-420" w:leftChars="-200" w:firstLine="367" w:firstLineChars="175"/>
        <w:rPr>
          <w:rFonts w:hint="eastAsia" w:ascii="仿宋" w:hAnsi="仿宋" w:eastAsia="仿宋" w:cs="仿宋"/>
          <w:szCs w:val="21"/>
          <w:highlight w:val="none"/>
        </w:rPr>
      </w:pPr>
    </w:p>
    <w:p w14:paraId="689D2AF7">
      <w:pPr>
        <w:spacing w:line="400" w:lineRule="exact"/>
        <w:ind w:left="-420" w:leftChars="-200" w:firstLine="367" w:firstLineChars="175"/>
        <w:rPr>
          <w:rFonts w:hint="eastAsia" w:ascii="仿宋" w:hAnsi="仿宋" w:eastAsia="仿宋" w:cs="仿宋"/>
          <w:szCs w:val="21"/>
          <w:highlight w:val="none"/>
        </w:rPr>
      </w:pPr>
    </w:p>
    <w:p w14:paraId="4CDFE670">
      <w:pPr>
        <w:spacing w:line="400" w:lineRule="exact"/>
        <w:ind w:left="-420" w:leftChars="-200" w:firstLine="367" w:firstLineChars="175"/>
        <w:rPr>
          <w:rFonts w:hint="eastAsia" w:ascii="仿宋" w:hAnsi="仿宋" w:eastAsia="仿宋" w:cs="仿宋"/>
          <w:szCs w:val="21"/>
          <w:highlight w:val="none"/>
        </w:rPr>
      </w:pPr>
    </w:p>
    <w:p w14:paraId="0CCE9227">
      <w:pPr>
        <w:spacing w:line="400" w:lineRule="exact"/>
        <w:ind w:left="-420" w:leftChars="-200" w:firstLine="367" w:firstLineChars="175"/>
        <w:rPr>
          <w:rFonts w:hint="eastAsia" w:ascii="仿宋" w:hAnsi="仿宋" w:eastAsia="仿宋" w:cs="仿宋"/>
          <w:szCs w:val="21"/>
          <w:highlight w:val="none"/>
        </w:rPr>
      </w:pPr>
    </w:p>
    <w:p w14:paraId="766FE8B1">
      <w:pPr>
        <w:spacing w:line="400" w:lineRule="exact"/>
        <w:ind w:left="-420" w:leftChars="-200" w:firstLine="367" w:firstLineChars="175"/>
        <w:rPr>
          <w:rFonts w:hint="eastAsia" w:ascii="仿宋" w:hAnsi="仿宋" w:eastAsia="仿宋" w:cs="仿宋"/>
          <w:szCs w:val="21"/>
          <w:highlight w:val="none"/>
        </w:rPr>
      </w:pPr>
    </w:p>
    <w:p w14:paraId="23B35548">
      <w:pPr>
        <w:spacing w:line="400" w:lineRule="exact"/>
        <w:ind w:left="-420" w:leftChars="-200" w:firstLine="367" w:firstLineChars="175"/>
        <w:rPr>
          <w:rFonts w:hint="eastAsia" w:ascii="仿宋" w:hAnsi="仿宋" w:eastAsia="仿宋" w:cs="仿宋"/>
          <w:szCs w:val="21"/>
          <w:highlight w:val="none"/>
        </w:rPr>
      </w:pPr>
    </w:p>
    <w:p w14:paraId="0C2E7440">
      <w:pPr>
        <w:pStyle w:val="2"/>
        <w:rPr>
          <w:rFonts w:hint="eastAsia"/>
        </w:rPr>
      </w:pPr>
    </w:p>
    <w:p w14:paraId="12E5E560">
      <w:pPr>
        <w:spacing w:line="400" w:lineRule="exact"/>
        <w:ind w:left="-420" w:leftChars="-200" w:firstLine="367" w:firstLineChars="175"/>
        <w:rPr>
          <w:rFonts w:hint="eastAsia" w:ascii="仿宋" w:hAnsi="仿宋" w:eastAsia="仿宋" w:cs="仿宋"/>
          <w:szCs w:val="21"/>
          <w:highlight w:val="none"/>
        </w:rPr>
      </w:pPr>
    </w:p>
    <w:p w14:paraId="428D942E">
      <w:pPr>
        <w:spacing w:line="400" w:lineRule="exact"/>
        <w:ind w:left="-420" w:leftChars="-200" w:firstLine="367" w:firstLineChars="175"/>
        <w:rPr>
          <w:rFonts w:hint="eastAsia" w:ascii="仿宋" w:hAnsi="仿宋" w:eastAsia="仿宋" w:cs="仿宋"/>
          <w:szCs w:val="21"/>
          <w:highlight w:val="none"/>
        </w:rPr>
      </w:pPr>
    </w:p>
    <w:p w14:paraId="7C8DB902">
      <w:pPr>
        <w:pStyle w:val="5"/>
        <w:spacing w:before="0" w:after="0" w:line="240" w:lineRule="exact"/>
        <w:ind w:left="0" w:leftChars="0" w:firstLine="0" w:firstLineChars="0"/>
        <w:jc w:val="left"/>
        <w:rPr>
          <w:rFonts w:ascii="Times New Roman" w:hAnsi="Times New Roman" w:eastAsia="仿宋" w:cs="仿宋"/>
          <w:smallCaps w:val="0"/>
          <w:szCs w:val="21"/>
          <w:highlight w:val="none"/>
        </w:rPr>
      </w:pPr>
      <w:bookmarkStart w:id="67" w:name="_Toc23813"/>
      <w:bookmarkStart w:id="68" w:name="_Toc29440"/>
      <w:bookmarkStart w:id="69" w:name="_Toc17626"/>
      <w:r>
        <w:rPr>
          <w:rFonts w:hint="eastAsia" w:ascii="Times New Roman" w:hAnsi="Times New Roman" w:eastAsia="仿宋" w:cs="仿宋"/>
          <w:bCs w:val="0"/>
          <w:smallCaps w:val="0"/>
          <w:sz w:val="22"/>
          <w:szCs w:val="22"/>
          <w:highlight w:val="none"/>
          <w:lang w:val="zh-CN"/>
        </w:rPr>
        <w:t>采购合同附件2：供应商环境及职业健康安全体系符合性承诺书</w:t>
      </w:r>
      <w:bookmarkEnd w:id="67"/>
      <w:bookmarkEnd w:id="68"/>
      <w:bookmarkEnd w:id="69"/>
    </w:p>
    <w:p w14:paraId="74F89EA2">
      <w:pPr>
        <w:spacing w:line="400" w:lineRule="exact"/>
        <w:ind w:firstLine="720"/>
        <w:jc w:val="center"/>
        <w:rPr>
          <w:rFonts w:hint="eastAsia" w:ascii="Times New Roman" w:hAnsi="Times New Roman" w:eastAsia="方正小标宋简体" w:cs="方正小标宋简体"/>
          <w:smallCaps w:val="0"/>
          <w:sz w:val="36"/>
          <w:szCs w:val="36"/>
          <w:highlight w:val="none"/>
        </w:rPr>
      </w:pPr>
    </w:p>
    <w:p w14:paraId="62FA7ABB">
      <w:pPr>
        <w:spacing w:line="400" w:lineRule="exact"/>
        <w:ind w:firstLine="720"/>
        <w:jc w:val="center"/>
        <w:rPr>
          <w:rFonts w:ascii="Times New Roman" w:hAnsi="Times New Roman" w:eastAsia="方正小标宋简体" w:cs="方正小标宋简体"/>
          <w:smallCaps w:val="0"/>
          <w:sz w:val="36"/>
          <w:szCs w:val="36"/>
          <w:highlight w:val="none"/>
        </w:rPr>
      </w:pPr>
      <w:r>
        <w:rPr>
          <w:rFonts w:hint="eastAsia" w:ascii="Times New Roman" w:hAnsi="Times New Roman" w:eastAsia="方正小标宋简体" w:cs="方正小标宋简体"/>
          <w:smallCaps w:val="0"/>
          <w:sz w:val="36"/>
          <w:szCs w:val="36"/>
          <w:highlight w:val="none"/>
        </w:rPr>
        <w:t>供应商环境及职业健康安全体系符合性承诺书</w:t>
      </w:r>
    </w:p>
    <w:p w14:paraId="11B30281">
      <w:pPr>
        <w:keepNext w:val="0"/>
        <w:keepLines w:val="0"/>
        <w:pageBreakBefore w:val="0"/>
        <w:widowControl w:val="0"/>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甲方：深圳市鹏劳人力资源管理有限公司</w:t>
      </w:r>
    </w:p>
    <w:p w14:paraId="1A1AF03E">
      <w:pPr>
        <w:keepNext w:val="0"/>
        <w:keepLines w:val="0"/>
        <w:pageBreakBefore w:val="0"/>
        <w:widowControl w:val="0"/>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乙方：</w:t>
      </w:r>
    </w:p>
    <w:p w14:paraId="3D7CE11B">
      <w:pPr>
        <w:keepNext w:val="0"/>
        <w:keepLines w:val="0"/>
        <w:pageBreakBefore w:val="0"/>
        <w:widowControl w:val="0"/>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作为甲方本项目供应商，乙方就环境及职业健康安全体系符合性相关事宜作出以下承诺，并在合作过程中严格遵守：</w:t>
      </w:r>
    </w:p>
    <w:p w14:paraId="7EAB84B7">
      <w:pPr>
        <w:pStyle w:val="21"/>
        <w:keepNext w:val="0"/>
        <w:keepLines w:val="0"/>
        <w:pageBreakBefore w:val="0"/>
        <w:widowControl w:val="0"/>
        <w:numPr>
          <w:ilvl w:val="0"/>
          <w:numId w:val="18"/>
        </w:numPr>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乙方承诺，乙方为甲方提供的服务或产品及其全过程符合国家各类法律法规要求、符合ISO14001,45001体系标准的要求，不因服务或产品的提供导致环境污染或关联人员职业健康安全危害；</w:t>
      </w:r>
    </w:p>
    <w:p w14:paraId="0965A28D">
      <w:pPr>
        <w:pStyle w:val="21"/>
        <w:keepNext w:val="0"/>
        <w:keepLines w:val="0"/>
        <w:pageBreakBefore w:val="0"/>
        <w:widowControl w:val="0"/>
        <w:numPr>
          <w:ilvl w:val="0"/>
          <w:numId w:val="18"/>
        </w:numPr>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甲方有权就乙方服务或产品及提供服务或产品的人员情况实施观察、监测，如发生可能对甲方人员职业健康安全或甲方经营场所环境安全、关联方环境安全造成不利影响或潜在隐患的，甲方有权对乙方提出改进要求，并由乙方实施改进直至隐患或影响完全消除；</w:t>
      </w:r>
    </w:p>
    <w:p w14:paraId="37FBB8A4">
      <w:pPr>
        <w:pStyle w:val="21"/>
        <w:keepNext w:val="0"/>
        <w:keepLines w:val="0"/>
        <w:pageBreakBefore w:val="0"/>
        <w:widowControl w:val="0"/>
        <w:numPr>
          <w:ilvl w:val="0"/>
          <w:numId w:val="18"/>
        </w:numPr>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经甲方书面要求，乙方在5个工作日内未实施有效改善， 经甲方二次排查，其隐患或负面影响仍未消除至合理标准，或整改效果不符合体系标准的，甲方有权即时解除或终止双方合作且不负任何法律和经济责任。</w:t>
      </w:r>
    </w:p>
    <w:p w14:paraId="3FD63219">
      <w:pPr>
        <w:pStyle w:val="21"/>
        <w:keepNext w:val="0"/>
        <w:keepLines w:val="0"/>
        <w:pageBreakBefore w:val="0"/>
        <w:widowControl w:val="0"/>
        <w:numPr>
          <w:ilvl w:val="0"/>
          <w:numId w:val="18"/>
        </w:numPr>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乙方因违反ISO14001、45001体系标准，导致重大负面舆情或主管部门检查严重违规等事项，甲方有权即时解除或终止双方合作且不</w:t>
      </w:r>
      <w:r>
        <w:rPr>
          <w:rFonts w:hint="eastAsia" w:ascii="Times New Roman" w:hAnsi="Times New Roman" w:eastAsia="仿宋_GB2312"/>
          <w:smallCaps w:val="0"/>
          <w:sz w:val="24"/>
          <w:highlight w:val="none"/>
          <w:lang w:val="en-US" w:eastAsia="zh-CN"/>
        </w:rPr>
        <w:t>负</w:t>
      </w:r>
      <w:r>
        <w:rPr>
          <w:rFonts w:hint="eastAsia" w:ascii="Times New Roman" w:hAnsi="Times New Roman" w:eastAsia="仿宋_GB2312"/>
          <w:smallCaps w:val="0"/>
          <w:sz w:val="24"/>
          <w:highlight w:val="none"/>
        </w:rPr>
        <w:t>任何法律和经济责任。如乙方违反体系标准的事项发生在为甲方提供服务或产品的过程中，给甲方造成经济或商誉损失的，乙方承诺赔偿。</w:t>
      </w:r>
    </w:p>
    <w:p w14:paraId="0F7B4205">
      <w:pPr>
        <w:pStyle w:val="21"/>
        <w:keepNext w:val="0"/>
        <w:keepLines w:val="0"/>
        <w:pageBreakBefore w:val="0"/>
        <w:widowControl w:val="0"/>
        <w:numPr>
          <w:ilvl w:val="0"/>
          <w:numId w:val="18"/>
        </w:numPr>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乙方在为甲方提供服务、产品的过程中，应主动、持续改善相关因素，以提升乙方环境安全及职业健康安全管理水平。</w:t>
      </w:r>
    </w:p>
    <w:p w14:paraId="57E5D9D9">
      <w:pPr>
        <w:pStyle w:val="21"/>
        <w:keepNext w:val="0"/>
        <w:keepLines w:val="0"/>
        <w:pageBreakBefore w:val="0"/>
        <w:widowControl w:val="0"/>
        <w:numPr>
          <w:ilvl w:val="0"/>
          <w:numId w:val="18"/>
        </w:numPr>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在服务或产品提供过程中，乙方应自觉遵守道路交通规则、有关法律法规，以确保安全、对环境无害、最大程度合理利用和节约的方式妥善处理甲方委托事项或为甲方提供相关产品。</w:t>
      </w:r>
    </w:p>
    <w:p w14:paraId="038D47D5">
      <w:pPr>
        <w:pStyle w:val="21"/>
        <w:keepNext w:val="0"/>
        <w:keepLines w:val="0"/>
        <w:pageBreakBefore w:val="0"/>
        <w:widowControl w:val="0"/>
        <w:numPr>
          <w:ilvl w:val="0"/>
          <w:numId w:val="18"/>
        </w:numPr>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乙方对其派出为甲方提供服务或产品转运、递送的人员行为负有约束、规范的责任。如甲方或甲方工作处所物业发现乙方工作人员存在不安全、不环保行为时，甲方有权予以制止，同时，要求乙方更换人员直至其工作行为能够符合甲方要求。</w:t>
      </w:r>
    </w:p>
    <w:p w14:paraId="37729F70">
      <w:pPr>
        <w:pStyle w:val="21"/>
        <w:keepNext w:val="0"/>
        <w:keepLines w:val="0"/>
        <w:pageBreakBefore w:val="0"/>
        <w:widowControl w:val="0"/>
        <w:numPr>
          <w:ilvl w:val="0"/>
          <w:numId w:val="18"/>
        </w:numPr>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乙方同意，如因疫情、其他自然灾害或重大客观条件变化导致双方合作需要中止以配合国家及地区政府主管部门要求及规定，或服务、供给状态无法满足相关环境、职业健康安全防护的相关政策规定时，乙方将根据甲方合理要求及时调整服务或供给条件以使其符合法律法规或政策要求，并不影响甲方及甲方员工的合同权益。</w:t>
      </w:r>
    </w:p>
    <w:p w14:paraId="021479E7">
      <w:pPr>
        <w:pStyle w:val="21"/>
        <w:keepNext w:val="0"/>
        <w:keepLines w:val="0"/>
        <w:pageBreakBefore w:val="0"/>
        <w:widowControl w:val="0"/>
        <w:numPr>
          <w:ilvl w:val="0"/>
          <w:numId w:val="18"/>
        </w:numPr>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本承诺书作为乙方作为甲方供应商库入库</w:t>
      </w:r>
      <w:r>
        <w:rPr>
          <w:rFonts w:hint="eastAsia" w:ascii="Times New Roman" w:hAnsi="Times New Roman" w:eastAsia="仿宋_GB2312"/>
          <w:smallCaps w:val="0"/>
          <w:sz w:val="24"/>
          <w:highlight w:val="none"/>
          <w:lang w:eastAsia="zh-CN"/>
        </w:rPr>
        <w:t>、项目采购合同履行</w:t>
      </w:r>
      <w:r>
        <w:rPr>
          <w:rFonts w:hint="eastAsia" w:ascii="Times New Roman" w:hAnsi="Times New Roman" w:eastAsia="仿宋_GB2312"/>
          <w:smallCaps w:val="0"/>
          <w:sz w:val="24"/>
          <w:highlight w:val="none"/>
        </w:rPr>
        <w:t>的必要文件，自乙方（承诺方）盖章签字后生效，原件一式两份。如主合同约定与本协议冲突的，以本协议内容为准。</w:t>
      </w:r>
    </w:p>
    <w:p w14:paraId="692C0E50">
      <w:pPr>
        <w:keepNext w:val="0"/>
        <w:keepLines w:val="0"/>
        <w:pageBreakBefore w:val="0"/>
        <w:widowControl w:val="0"/>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p>
    <w:p w14:paraId="59BFEF0A">
      <w:pPr>
        <w:keepNext w:val="0"/>
        <w:keepLines w:val="0"/>
        <w:pageBreakBefore w:val="0"/>
        <w:widowControl w:val="0"/>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乙方（承诺方）：_______________________________</w:t>
      </w:r>
    </w:p>
    <w:p w14:paraId="378B2F3A">
      <w:pPr>
        <w:keepNext w:val="0"/>
        <w:keepLines w:val="0"/>
        <w:pageBreakBefore w:val="0"/>
        <w:widowControl w:val="0"/>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有权签字人：</w:t>
      </w:r>
    </w:p>
    <w:p w14:paraId="55AD658B">
      <w:pPr>
        <w:keepNext w:val="0"/>
        <w:keepLines w:val="0"/>
        <w:pageBreakBefore w:val="0"/>
        <w:widowControl w:val="0"/>
        <w:kinsoku/>
        <w:wordWrap/>
        <w:overflowPunct/>
        <w:topLinePunct w:val="0"/>
        <w:autoSpaceDE/>
        <w:autoSpaceDN/>
        <w:bidi w:val="0"/>
        <w:adjustRightInd/>
        <w:snapToGrid/>
        <w:spacing w:line="280" w:lineRule="exact"/>
        <w:ind w:left="0" w:firstLine="480" w:firstLineChars="200"/>
        <w:textAlignment w:val="auto"/>
        <w:rPr>
          <w:rFonts w:ascii="Times New Roman" w:hAnsi="Times New Roman" w:eastAsia="仿宋_GB2312"/>
          <w:smallCaps w:val="0"/>
          <w:sz w:val="24"/>
          <w:highlight w:val="none"/>
        </w:rPr>
      </w:pPr>
      <w:r>
        <w:rPr>
          <w:rFonts w:hint="eastAsia" w:ascii="Times New Roman" w:hAnsi="Times New Roman" w:eastAsia="仿宋_GB2312"/>
          <w:smallCaps w:val="0"/>
          <w:sz w:val="24"/>
          <w:highlight w:val="none"/>
        </w:rPr>
        <w:t>日期：</w:t>
      </w:r>
    </w:p>
    <w:p w14:paraId="6E7FB6B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sz w:val="28"/>
          <w:szCs w:val="28"/>
          <w:highlight w:val="none"/>
        </w:rPr>
      </w:pPr>
      <w:r>
        <w:rPr>
          <w:rFonts w:hint="eastAsia" w:ascii="宋体" w:hAnsi="宋体" w:eastAsia="宋体" w:cs="宋体"/>
          <w:b/>
          <w:sz w:val="28"/>
          <w:szCs w:val="28"/>
          <w:highlight w:val="none"/>
        </w:rPr>
        <w:br w:type="page"/>
      </w:r>
    </w:p>
    <w:p w14:paraId="6D7747CD">
      <w:pPr>
        <w:pStyle w:val="5"/>
        <w:spacing w:before="0" w:after="0" w:line="240" w:lineRule="exact"/>
        <w:ind w:left="0" w:leftChars="0" w:firstLine="0" w:firstLineChars="0"/>
        <w:jc w:val="both"/>
        <w:rPr>
          <w:rFonts w:hint="eastAsia" w:ascii="Times New Roman" w:hAnsi="Times New Roman" w:eastAsia="仿宋" w:cs="仿宋"/>
          <w:bCs w:val="0"/>
          <w:smallCaps w:val="0"/>
          <w:sz w:val="22"/>
          <w:szCs w:val="22"/>
          <w:highlight w:val="none"/>
          <w:lang w:val="en-US" w:eastAsia="zh-CN"/>
        </w:rPr>
      </w:pPr>
      <w:r>
        <w:rPr>
          <w:rFonts w:hint="eastAsia" w:ascii="Times New Roman" w:hAnsi="Times New Roman" w:eastAsia="仿宋" w:cs="仿宋"/>
          <w:bCs w:val="0"/>
          <w:smallCaps w:val="0"/>
          <w:sz w:val="22"/>
          <w:szCs w:val="22"/>
          <w:highlight w:val="none"/>
          <w:lang w:val="en-US" w:eastAsia="zh-CN"/>
        </w:rPr>
        <w:t>采购合同附件3:</w:t>
      </w:r>
    </w:p>
    <w:p w14:paraId="33744DBE">
      <w:pPr>
        <w:rPr>
          <w:rFonts w:hint="eastAsia"/>
          <w:lang w:val="en-US" w:eastAsia="zh-CN"/>
        </w:rPr>
      </w:pPr>
    </w:p>
    <w:p w14:paraId="6DB135EA">
      <w:pPr>
        <w:jc w:val="center"/>
        <w:rPr>
          <w:rFonts w:hint="eastAsia" w:ascii="方正小标宋简体" w:hAnsi="方正小标宋简体" w:eastAsia="方正小标宋简体" w:cs="方正小标宋简体"/>
          <w:b w:val="0"/>
          <w:bCs/>
          <w:sz w:val="32"/>
          <w:szCs w:val="28"/>
        </w:rPr>
      </w:pPr>
      <w:r>
        <w:rPr>
          <w:rFonts w:hint="eastAsia" w:ascii="方正小标宋简体" w:hAnsi="方正小标宋简体" w:eastAsia="方正小标宋简体" w:cs="方正小标宋简体"/>
          <w:b w:val="0"/>
          <w:bCs/>
          <w:sz w:val="32"/>
          <w:szCs w:val="28"/>
        </w:rPr>
        <w:t>投标人及供应商保密与信息安全合规承诺书</w:t>
      </w:r>
    </w:p>
    <w:p w14:paraId="0E150F5B">
      <w:pPr>
        <w:pStyle w:val="2"/>
        <w:rPr>
          <w:rFonts w:hint="eastAsia"/>
        </w:rPr>
      </w:pPr>
    </w:p>
    <w:p w14:paraId="08B4DA0F">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致：深圳市鹏劳人力资源管理有限公司（以下简称“贵司”）</w:t>
      </w:r>
    </w:p>
    <w:p w14:paraId="7F01E9C2">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鉴于本公司参与贵司福利品采购服务标项目，为保障双方合法权益及项目顺利实施，本公司郑重向贵司与贵司员工作出如下保密与信息安全合规承诺：</w:t>
      </w:r>
    </w:p>
    <w:p w14:paraId="33532282">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一、严格遵守法律法规</w:t>
      </w:r>
    </w:p>
    <w:p w14:paraId="3D105B94">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本公司承诺，在参与贵司与贵司员工项目招投标及后续履约过程中，严格遵守国家各项法律法规及行业规范，坚持诚实信用、公平竞争原则，绝不从事任何违法违规或损害贵司与贵司员工利益的行为。</w:t>
      </w:r>
    </w:p>
    <w:p w14:paraId="1CC8364E">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二、保护贵司商业秘密与贵司员工个人信息</w:t>
      </w:r>
    </w:p>
    <w:p w14:paraId="6D202631">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本公司承诺，对在合作过程中知悉的贵司与贵司员工商业秘密（包括但不限于业务模式、客户名单、财务数据、合同条款、员工个人信息及贵司未公开的经营信息等）严格保密。未经贵司与贵司员工事先书面同意，绝不向任何第三方泄露、转让或用于与双方合作无关的其他目的。</w:t>
      </w:r>
    </w:p>
    <w:p w14:paraId="53F2C35C">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三、投标及交付过程的信息安全体系合规</w:t>
      </w:r>
    </w:p>
    <w:p w14:paraId="7D26C37B">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本公司承诺，在本次项目的投标阶段以及中标后的服务交付实施阶段，均严格遵循国家及行业的信息安全管理要求，并符合信息安全管理体系标准ISO27001体系管理规范。本公司已建立并运行完善的信息安全管理制度，具备保障本项目数据安全、系统安全及业务连续性的技术能力与人员配置。在项目实施过程中，将采取有效的技术防护与物理隔离措施，确保贵司与贵司员工的数据资产在收集、存储、处理及传输环节的安全可控。</w:t>
      </w:r>
    </w:p>
    <w:p w14:paraId="4BAD54C9">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四、内部管理与约束</w:t>
      </w:r>
    </w:p>
    <w:p w14:paraId="3E9EBE39">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本公司将采取必要措施，确保本公司参与本项目的相关人员知悉并遵守上述保密义务。如因本公司或本公司员工原因导致贵司与贵司员工商业秘密泄露或发生信息安全事件，本公司愿承担相应的违约责任及法律后果。</w:t>
      </w:r>
    </w:p>
    <w:p w14:paraId="5FC90BFC">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五、效力说明</w:t>
      </w:r>
    </w:p>
    <w:p w14:paraId="55040783">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本承诺书自本公司盖章之日起生效，其保密义务及信息安全合规要求不因招投标的结束或双方合作的终止而失效。</w:t>
      </w:r>
    </w:p>
    <w:p w14:paraId="72409220">
      <w:pPr>
        <w:ind w:firstLine="420"/>
        <w:rPr>
          <w:rFonts w:hint="eastAsia" w:ascii="仿宋_GB2312" w:hAnsi="仿宋_GB2312" w:eastAsia="仿宋_GB2312" w:cs="仿宋_GB2312"/>
          <w:sz w:val="24"/>
          <w:szCs w:val="24"/>
        </w:rPr>
      </w:pPr>
    </w:p>
    <w:p w14:paraId="4A0798BF">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承诺单位（盖公章）：</w:t>
      </w:r>
    </w:p>
    <w:p w14:paraId="09BAFF19">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法定代表人或授权代表（签字）：</w:t>
      </w:r>
    </w:p>
    <w:p w14:paraId="7A74F426">
      <w:pPr>
        <w:pStyle w:val="2"/>
        <w:spacing w:after="0" w:line="360" w:lineRule="exact"/>
        <w:ind w:firstLine="42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签署日期：年月日</w:t>
      </w:r>
    </w:p>
    <w:p w14:paraId="647B361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sz w:val="24"/>
          <w:szCs w:val="24"/>
          <w:highlight w:val="none"/>
        </w:rPr>
      </w:pPr>
    </w:p>
    <w:p w14:paraId="28AE4DFA">
      <w:pPr>
        <w:pStyle w:val="4"/>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sz w:val="32"/>
          <w:szCs w:val="32"/>
          <w:highlight w:val="none"/>
        </w:rPr>
      </w:pPr>
      <w:bookmarkStart w:id="70" w:name="_Toc10831"/>
      <w:r>
        <w:rPr>
          <w:rFonts w:hint="eastAsia" w:ascii="黑体" w:hAnsi="黑体" w:eastAsia="黑体" w:cs="黑体"/>
          <w:b w:val="0"/>
          <w:bCs/>
          <w:sz w:val="32"/>
          <w:szCs w:val="32"/>
          <w:highlight w:val="none"/>
        </w:rPr>
        <w:t>第四章 投标文件格式</w:t>
      </w:r>
      <w:bookmarkEnd w:id="63"/>
      <w:bookmarkEnd w:id="70"/>
    </w:p>
    <w:p w14:paraId="50AB9FDE">
      <w:pPr>
        <w:pStyle w:val="5"/>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eastAsia" w:ascii="Times New Roman" w:hAnsi="Times New Roman" w:eastAsia="黑体" w:cs="黑体"/>
          <w:b w:val="0"/>
          <w:bCs/>
          <w:sz w:val="24"/>
          <w:szCs w:val="28"/>
          <w:highlight w:val="none"/>
        </w:rPr>
      </w:pPr>
      <w:bookmarkStart w:id="71" w:name="_Toc27533"/>
      <w:bookmarkStart w:id="72" w:name="_Toc10020"/>
      <w:r>
        <w:rPr>
          <w:rFonts w:hint="eastAsia" w:ascii="Times New Roman" w:hAnsi="Times New Roman" w:eastAsia="黑体" w:cs="黑体"/>
          <w:b w:val="0"/>
          <w:bCs/>
          <w:sz w:val="24"/>
          <w:szCs w:val="28"/>
          <w:highlight w:val="none"/>
        </w:rPr>
        <w:t>格式1：《唱标信封》</w:t>
      </w:r>
      <w:bookmarkEnd w:id="71"/>
      <w:bookmarkEnd w:id="72"/>
    </w:p>
    <w:p w14:paraId="1E05434F">
      <w:pPr>
        <w:jc w:val="center"/>
        <w:rPr>
          <w:rFonts w:ascii="黑体" w:hAnsi="黑体" w:eastAsia="黑体" w:cs="黑体"/>
          <w:b/>
          <w:sz w:val="44"/>
          <w:szCs w:val="44"/>
          <w:highlight w:val="none"/>
        </w:rPr>
      </w:pPr>
    </w:p>
    <w:p w14:paraId="6B1193A3">
      <w:pPr>
        <w:jc w:val="center"/>
        <w:rPr>
          <w:rFonts w:ascii="黑体" w:hAnsi="黑体" w:eastAsia="黑体" w:cs="黑体"/>
          <w:b/>
          <w:sz w:val="44"/>
          <w:szCs w:val="44"/>
          <w:highlight w:val="none"/>
        </w:rPr>
      </w:pPr>
    </w:p>
    <w:p w14:paraId="4E40632D">
      <w:pPr>
        <w:jc w:val="center"/>
        <w:rPr>
          <w:rFonts w:ascii="黑体" w:hAnsi="黑体" w:eastAsia="黑体" w:cs="黑体"/>
          <w:b/>
          <w:sz w:val="44"/>
          <w:szCs w:val="44"/>
          <w:highlight w:val="none"/>
        </w:rPr>
      </w:pPr>
    </w:p>
    <w:p w14:paraId="39C18BF8">
      <w:pPr>
        <w:jc w:val="center"/>
        <w:rPr>
          <w:rFonts w:hint="eastAsia" w:ascii="方正小标宋简体" w:hAnsi="方正小标宋简体" w:eastAsia="方正小标宋简体" w:cs="方正小标宋简体"/>
          <w:b w:val="0"/>
          <w:bCs/>
          <w:sz w:val="56"/>
          <w:szCs w:val="56"/>
          <w:highlight w:val="none"/>
        </w:rPr>
      </w:pPr>
      <w:r>
        <w:rPr>
          <w:rFonts w:hint="eastAsia" w:ascii="方正小标宋简体" w:hAnsi="方正小标宋简体" w:eastAsia="方正小标宋简体" w:cs="方正小标宋简体"/>
          <w:b w:val="0"/>
          <w:bCs/>
          <w:sz w:val="56"/>
          <w:szCs w:val="56"/>
          <w:highlight w:val="none"/>
        </w:rPr>
        <w:t>唱 标 信 封</w:t>
      </w:r>
    </w:p>
    <w:p w14:paraId="4D9EAB44">
      <w:pPr>
        <w:jc w:val="center"/>
        <w:rPr>
          <w:rFonts w:hint="eastAsia" w:ascii="黑体" w:hAnsi="黑体" w:eastAsia="黑体" w:cs="黑体"/>
          <w:b/>
          <w:sz w:val="52"/>
          <w:szCs w:val="52"/>
          <w:highlight w:val="none"/>
        </w:rPr>
      </w:pPr>
    </w:p>
    <w:p w14:paraId="200215FC">
      <w:pPr>
        <w:jc w:val="center"/>
        <w:rPr>
          <w:rFonts w:hint="eastAsia" w:ascii="黑体" w:hAnsi="黑体" w:eastAsia="黑体" w:cs="黑体"/>
          <w:b/>
          <w:sz w:val="52"/>
          <w:szCs w:val="52"/>
          <w:highlight w:val="none"/>
        </w:rPr>
      </w:pPr>
    </w:p>
    <w:p w14:paraId="478B13FD">
      <w:pPr>
        <w:jc w:val="center"/>
        <w:rPr>
          <w:rFonts w:hint="eastAsia" w:ascii="黑体" w:hAnsi="黑体" w:eastAsia="黑体" w:cs="黑体"/>
          <w:b/>
          <w:sz w:val="52"/>
          <w:szCs w:val="52"/>
          <w:highlight w:val="none"/>
        </w:rPr>
      </w:pPr>
    </w:p>
    <w:p w14:paraId="0D52C870">
      <w:pPr>
        <w:spacing w:beforeLines="30"/>
        <w:rPr>
          <w:rFonts w:ascii="宋体" w:hAnsi="宋体"/>
          <w:b/>
          <w:sz w:val="48"/>
          <w:szCs w:val="48"/>
          <w:highlight w:val="none"/>
        </w:rPr>
      </w:pPr>
    </w:p>
    <w:p w14:paraId="6358BEBB">
      <w:pPr>
        <w:keepNext w:val="0"/>
        <w:keepLines w:val="0"/>
        <w:pageBreakBefore w:val="0"/>
        <w:widowControl w:val="0"/>
        <w:kinsoku/>
        <w:wordWrap/>
        <w:overflowPunct/>
        <w:topLinePunct w:val="0"/>
        <w:autoSpaceDE/>
        <w:autoSpaceDN/>
        <w:bidi w:val="0"/>
        <w:adjustRightInd/>
        <w:snapToGrid/>
        <w:spacing w:beforeLines="30" w:line="560" w:lineRule="exact"/>
        <w:textAlignment w:val="auto"/>
        <w:rPr>
          <w:rFonts w:hint="eastAsia" w:ascii="宋体" w:hAnsi="宋体"/>
          <w:b/>
          <w:sz w:val="32"/>
          <w:szCs w:val="32"/>
          <w:highlight w:val="none"/>
          <w:lang w:val="en-US" w:eastAsia="zh-CN"/>
        </w:rPr>
      </w:pPr>
      <w:r>
        <w:rPr>
          <w:rFonts w:hint="eastAsia" w:ascii="宋体" w:hAnsi="宋体"/>
          <w:b/>
          <w:sz w:val="32"/>
          <w:szCs w:val="32"/>
          <w:highlight w:val="none"/>
        </w:rPr>
        <w:t>项目名称：</w:t>
      </w:r>
      <w:r>
        <w:rPr>
          <w:rFonts w:hint="eastAsia" w:ascii="宋体" w:hAnsi="宋体"/>
          <w:b/>
          <w:sz w:val="32"/>
          <w:szCs w:val="32"/>
          <w:highlight w:val="none"/>
          <w:u w:val="single"/>
          <w:lang w:val="en-US" w:eastAsia="zh-CN"/>
        </w:rPr>
        <w:t xml:space="preserve">                                    </w:t>
      </w:r>
    </w:p>
    <w:p w14:paraId="0612F079">
      <w:pPr>
        <w:keepNext w:val="0"/>
        <w:keepLines w:val="0"/>
        <w:pageBreakBefore w:val="0"/>
        <w:widowControl w:val="0"/>
        <w:kinsoku/>
        <w:wordWrap/>
        <w:overflowPunct/>
        <w:topLinePunct w:val="0"/>
        <w:autoSpaceDE/>
        <w:autoSpaceDN/>
        <w:bidi w:val="0"/>
        <w:adjustRightInd/>
        <w:snapToGrid/>
        <w:spacing w:beforeLines="30" w:line="560" w:lineRule="exact"/>
        <w:textAlignment w:val="auto"/>
        <w:rPr>
          <w:rFonts w:hint="default" w:ascii="宋体" w:hAnsi="宋体"/>
          <w:b/>
          <w:sz w:val="32"/>
          <w:szCs w:val="32"/>
          <w:highlight w:val="none"/>
          <w:u w:val="single"/>
          <w:lang w:val="en-US" w:eastAsia="zh-CN"/>
        </w:rPr>
      </w:pPr>
      <w:r>
        <w:rPr>
          <w:rFonts w:hint="eastAsia" w:ascii="宋体" w:hAnsi="宋体"/>
          <w:b/>
          <w:sz w:val="32"/>
          <w:szCs w:val="32"/>
          <w:highlight w:val="none"/>
        </w:rPr>
        <w:t xml:space="preserve">招标编号：  </w:t>
      </w:r>
      <w:r>
        <w:rPr>
          <w:rFonts w:hint="eastAsia" w:ascii="宋体" w:hAnsi="宋体"/>
          <w:b/>
          <w:color w:val="000000"/>
          <w:sz w:val="32"/>
          <w:szCs w:val="32"/>
          <w:highlight w:val="none"/>
        </w:rPr>
        <w:t>PLHR-ZB-FW-202607</w:t>
      </w:r>
      <w:r>
        <w:rPr>
          <w:rFonts w:hint="eastAsia" w:ascii="宋体" w:hAnsi="宋体"/>
          <w:b/>
          <w:sz w:val="32"/>
          <w:szCs w:val="32"/>
          <w:highlight w:val="none"/>
        </w:rPr>
        <w:t xml:space="preserve">                 </w:t>
      </w:r>
    </w:p>
    <w:p w14:paraId="468148A7">
      <w:pPr>
        <w:keepNext w:val="0"/>
        <w:keepLines w:val="0"/>
        <w:pageBreakBefore w:val="0"/>
        <w:widowControl w:val="0"/>
        <w:kinsoku/>
        <w:wordWrap/>
        <w:overflowPunct/>
        <w:topLinePunct w:val="0"/>
        <w:autoSpaceDE/>
        <w:autoSpaceDN/>
        <w:bidi w:val="0"/>
        <w:adjustRightInd/>
        <w:snapToGrid/>
        <w:spacing w:beforeLines="30" w:line="560" w:lineRule="exact"/>
        <w:textAlignment w:val="auto"/>
        <w:rPr>
          <w:rFonts w:hint="default" w:ascii="宋体" w:hAnsi="宋体" w:eastAsiaTheme="minorEastAsia"/>
          <w:b/>
          <w:sz w:val="32"/>
          <w:szCs w:val="32"/>
          <w:highlight w:val="none"/>
          <w:lang w:val="en-US" w:eastAsia="zh-CN"/>
        </w:rPr>
      </w:pPr>
      <w:r>
        <w:rPr>
          <w:rFonts w:hint="eastAsia" w:ascii="宋体" w:hAnsi="宋体"/>
          <w:b/>
          <w:sz w:val="32"/>
          <w:szCs w:val="32"/>
          <w:highlight w:val="none"/>
        </w:rPr>
        <w:t>投标人（盖章）：</w:t>
      </w:r>
      <w:r>
        <w:rPr>
          <w:rFonts w:hint="eastAsia" w:ascii="宋体" w:hAnsi="宋体"/>
          <w:b/>
          <w:sz w:val="32"/>
          <w:szCs w:val="32"/>
          <w:highlight w:val="none"/>
          <w:u w:val="single"/>
          <w:lang w:val="en-US" w:eastAsia="zh-CN"/>
        </w:rPr>
        <w:t xml:space="preserve">                              </w:t>
      </w:r>
    </w:p>
    <w:p w14:paraId="655DD33D">
      <w:pPr>
        <w:keepNext w:val="0"/>
        <w:keepLines w:val="0"/>
        <w:pageBreakBefore w:val="0"/>
        <w:widowControl w:val="0"/>
        <w:kinsoku/>
        <w:wordWrap/>
        <w:overflowPunct/>
        <w:topLinePunct w:val="0"/>
        <w:autoSpaceDE/>
        <w:autoSpaceDN/>
        <w:bidi w:val="0"/>
        <w:adjustRightInd/>
        <w:snapToGrid/>
        <w:spacing w:beforeLines="30" w:line="560" w:lineRule="exact"/>
        <w:textAlignment w:val="auto"/>
        <w:rPr>
          <w:rFonts w:ascii="宋体" w:hAnsi="宋体"/>
          <w:b/>
          <w:sz w:val="32"/>
          <w:szCs w:val="32"/>
          <w:highlight w:val="none"/>
        </w:rPr>
      </w:pPr>
      <w:r>
        <w:rPr>
          <w:rFonts w:hint="eastAsia" w:ascii="宋体" w:hAnsi="宋体"/>
          <w:b/>
          <w:sz w:val="32"/>
          <w:szCs w:val="32"/>
          <w:highlight w:val="none"/>
        </w:rPr>
        <w:t>法定代表人或授权委托人签字：__________________</w:t>
      </w:r>
    </w:p>
    <w:p w14:paraId="242A537D">
      <w:pPr>
        <w:keepNext w:val="0"/>
        <w:keepLines w:val="0"/>
        <w:pageBreakBefore w:val="0"/>
        <w:widowControl w:val="0"/>
        <w:kinsoku/>
        <w:wordWrap/>
        <w:overflowPunct/>
        <w:topLinePunct w:val="0"/>
        <w:autoSpaceDE/>
        <w:autoSpaceDN/>
        <w:bidi w:val="0"/>
        <w:adjustRightInd/>
        <w:snapToGrid/>
        <w:spacing w:beforeLines="30" w:line="560" w:lineRule="exact"/>
        <w:textAlignment w:val="auto"/>
        <w:rPr>
          <w:rFonts w:ascii="宋体" w:hAnsi="宋体"/>
          <w:b/>
          <w:sz w:val="32"/>
          <w:szCs w:val="32"/>
          <w:highlight w:val="none"/>
        </w:rPr>
      </w:pPr>
      <w:r>
        <w:rPr>
          <w:rFonts w:hint="eastAsia" w:ascii="宋体" w:hAnsi="宋体"/>
          <w:b/>
          <w:sz w:val="32"/>
          <w:szCs w:val="32"/>
          <w:highlight w:val="none"/>
        </w:rPr>
        <w:t>投标日期：_________年_____月______日</w:t>
      </w:r>
    </w:p>
    <w:p w14:paraId="5F1C2A52">
      <w:pPr>
        <w:spacing w:beforeLines="30"/>
        <w:rPr>
          <w:rFonts w:ascii="宋体" w:hAnsi="宋体"/>
          <w:b/>
          <w:sz w:val="28"/>
          <w:szCs w:val="28"/>
          <w:highlight w:val="none"/>
        </w:rPr>
      </w:pPr>
    </w:p>
    <w:p w14:paraId="600B647D">
      <w:pPr>
        <w:spacing w:beforeLines="30"/>
        <w:rPr>
          <w:rFonts w:ascii="宋体" w:hAnsi="宋体"/>
          <w:b w:val="0"/>
          <w:bCs/>
          <w:sz w:val="28"/>
          <w:szCs w:val="28"/>
          <w:highlight w:val="none"/>
        </w:rPr>
      </w:pPr>
    </w:p>
    <w:p w14:paraId="19E98496">
      <w:pPr>
        <w:jc w:val="center"/>
        <w:rPr>
          <w:rFonts w:ascii="Times New Roman" w:hAnsi="Times New Roman" w:eastAsia="方正小标宋简体" w:cs="黑体"/>
          <w:b w:val="0"/>
          <w:bCs/>
          <w:sz w:val="32"/>
          <w:szCs w:val="32"/>
          <w:highlight w:val="none"/>
        </w:rPr>
      </w:pPr>
      <w:r>
        <w:rPr>
          <w:rFonts w:hint="eastAsia" w:ascii="Times New Roman" w:hAnsi="Times New Roman" w:eastAsia="方正小标宋简体" w:cs="黑体"/>
          <w:b w:val="0"/>
          <w:bCs/>
          <w:color w:val="000000"/>
          <w:sz w:val="32"/>
          <w:szCs w:val="32"/>
          <w:highlight w:val="none"/>
        </w:rPr>
        <w:t>（2026年11月23日14时30分前不得开启）</w:t>
      </w:r>
    </w:p>
    <w:p w14:paraId="517503A4">
      <w:pPr>
        <w:rPr>
          <w:rFonts w:ascii="宋体" w:hAnsi="宋体"/>
          <w:b/>
          <w:highlight w:val="none"/>
        </w:rPr>
      </w:pPr>
    </w:p>
    <w:p w14:paraId="4089DD5B">
      <w:pPr>
        <w:rPr>
          <w:rFonts w:ascii="宋体" w:hAnsi="宋体"/>
          <w:b/>
          <w:highlight w:val="none"/>
        </w:rPr>
      </w:pPr>
    </w:p>
    <w:p w14:paraId="2C301FF5">
      <w:pPr>
        <w:rPr>
          <w:rFonts w:ascii="宋体" w:hAnsi="宋体"/>
          <w:b/>
          <w:highlight w:val="none"/>
        </w:rPr>
      </w:pPr>
    </w:p>
    <w:p w14:paraId="1B81D2C4">
      <w:pPr>
        <w:rPr>
          <w:rFonts w:ascii="宋体" w:hAnsi="宋体"/>
          <w:b/>
          <w:highlight w:val="none"/>
        </w:rPr>
      </w:pPr>
    </w:p>
    <w:p w14:paraId="4A08102C">
      <w:pPr>
        <w:pStyle w:val="5"/>
        <w:ind w:left="0" w:leftChars="0" w:firstLine="0" w:firstLineChars="0"/>
        <w:jc w:val="left"/>
        <w:rPr>
          <w:rFonts w:hint="eastAsia" w:ascii="Times New Roman" w:hAnsi="Times New Roman" w:eastAsia="黑体" w:cs="黑体"/>
          <w:b w:val="0"/>
          <w:bCs/>
          <w:sz w:val="24"/>
          <w:szCs w:val="28"/>
          <w:highlight w:val="none"/>
        </w:rPr>
      </w:pPr>
      <w:bookmarkStart w:id="73" w:name="_Toc23060"/>
      <w:bookmarkStart w:id="74" w:name="_Toc16443"/>
      <w:r>
        <w:rPr>
          <w:rFonts w:hint="eastAsia" w:ascii="Times New Roman" w:hAnsi="Times New Roman" w:eastAsia="黑体" w:cs="黑体"/>
          <w:b w:val="0"/>
          <w:bCs/>
          <w:sz w:val="24"/>
          <w:szCs w:val="28"/>
          <w:highlight w:val="none"/>
        </w:rPr>
        <w:t>格式2：开标一览表</w:t>
      </w:r>
      <w:bookmarkEnd w:id="73"/>
      <w:bookmarkEnd w:id="74"/>
    </w:p>
    <w:p w14:paraId="197F884A">
      <w:pPr>
        <w:jc w:val="center"/>
        <w:rPr>
          <w:rFonts w:hint="eastAsia" w:ascii="方正小标宋简体" w:hAnsi="方正小标宋简体" w:eastAsia="方正小标宋简体" w:cs="方正小标宋简体"/>
          <w:b/>
          <w:sz w:val="44"/>
          <w:szCs w:val="44"/>
          <w:highlight w:val="none"/>
        </w:rPr>
      </w:pPr>
      <w:r>
        <w:rPr>
          <w:rFonts w:hint="eastAsia" w:ascii="方正小标宋简体" w:hAnsi="方正小标宋简体" w:eastAsia="方正小标宋简体" w:cs="方正小标宋简体"/>
          <w:b/>
          <w:sz w:val="44"/>
          <w:szCs w:val="44"/>
          <w:highlight w:val="none"/>
        </w:rPr>
        <w:t>开标一览表</w:t>
      </w:r>
    </w:p>
    <w:p w14:paraId="652568E2">
      <w:pPr>
        <w:jc w:val="center"/>
        <w:rPr>
          <w:rFonts w:ascii="宋体" w:hAnsi="宋体" w:eastAsia="宋体" w:cs="宋体"/>
          <w:b/>
          <w:sz w:val="28"/>
          <w:szCs w:val="28"/>
          <w:highlight w:val="none"/>
        </w:rPr>
      </w:pPr>
    </w:p>
    <w:p w14:paraId="12F6CA37">
      <w:pPr>
        <w:rPr>
          <w:rFonts w:hint="eastAsia" w:ascii="Times New Roman" w:hAnsi="Times New Roman" w:eastAsia="仿宋_GB2312" w:cs="仿宋_GB2312"/>
          <w:b w:val="0"/>
          <w:bCs/>
          <w:sz w:val="28"/>
          <w:szCs w:val="28"/>
          <w:highlight w:val="none"/>
        </w:rPr>
      </w:pPr>
      <w:r>
        <w:rPr>
          <w:rFonts w:hint="eastAsia" w:ascii="Times New Roman" w:hAnsi="Times New Roman" w:eastAsia="仿宋_GB2312" w:cs="仿宋_GB2312"/>
          <w:b w:val="0"/>
          <w:bCs/>
          <w:sz w:val="28"/>
          <w:szCs w:val="28"/>
          <w:highlight w:val="none"/>
        </w:rPr>
        <w:t>致：深圳市鹏劳人力资源管理有限公司</w:t>
      </w:r>
    </w:p>
    <w:p w14:paraId="675445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imes New Roman" w:hAnsi="Times New Roman" w:eastAsia="仿宋_GB2312" w:cs="仿宋_GB2312"/>
          <w:b w:val="0"/>
          <w:bCs/>
          <w:sz w:val="28"/>
          <w:szCs w:val="28"/>
          <w:highlight w:val="none"/>
        </w:rPr>
      </w:pPr>
      <w:r>
        <w:rPr>
          <w:rFonts w:hint="eastAsia" w:ascii="Times New Roman" w:hAnsi="Times New Roman" w:eastAsia="仿宋_GB2312" w:cs="仿宋_GB2312"/>
          <w:b w:val="0"/>
          <w:bCs/>
          <w:sz w:val="28"/>
          <w:szCs w:val="28"/>
          <w:highlight w:val="none"/>
        </w:rPr>
        <w:t>外派员工体检服务采购项目（招标编号：</w:t>
      </w:r>
      <w:r>
        <w:rPr>
          <w:rFonts w:hint="eastAsia" w:ascii="Times New Roman" w:hAnsi="Times New Roman" w:eastAsia="仿宋_GB2312" w:cs="仿宋_GB2312"/>
          <w:b w:val="0"/>
          <w:bCs/>
          <w:color w:val="000000"/>
          <w:sz w:val="28"/>
          <w:szCs w:val="28"/>
          <w:highlight w:val="none"/>
        </w:rPr>
        <w:t>PLHR-ZB-FW-202607</w:t>
      </w:r>
      <w:r>
        <w:rPr>
          <w:rFonts w:hint="eastAsia" w:ascii="Times New Roman" w:hAnsi="Times New Roman" w:eastAsia="仿宋_GB2312" w:cs="仿宋_GB2312"/>
          <w:b w:val="0"/>
          <w:bCs/>
          <w:sz w:val="28"/>
          <w:szCs w:val="28"/>
          <w:highlight w:val="none"/>
        </w:rPr>
        <w:t>）项目投标报价如下：</w:t>
      </w:r>
    </w:p>
    <w:tbl>
      <w:tblPr>
        <w:tblStyle w:val="16"/>
        <w:tblW w:w="904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907"/>
        <w:gridCol w:w="2146"/>
        <w:gridCol w:w="1643"/>
        <w:gridCol w:w="2350"/>
      </w:tblGrid>
      <w:tr w14:paraId="193CA4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2907" w:type="dxa"/>
            <w:tcBorders>
              <w:tl2br w:val="nil"/>
              <w:tr2bl w:val="nil"/>
            </w:tcBorders>
            <w:vAlign w:val="center"/>
          </w:tcPr>
          <w:p w14:paraId="1545ED28">
            <w:pPr>
              <w:jc w:val="center"/>
              <w:rPr>
                <w:rFonts w:hint="default" w:ascii="宋体" w:hAnsi="宋体"/>
                <w:b/>
                <w:highlight w:val="none"/>
                <w:lang w:val="en-US" w:eastAsia="zh-CN"/>
              </w:rPr>
            </w:pPr>
            <w:r>
              <w:rPr>
                <w:rFonts w:hint="eastAsia" w:ascii="宋体" w:hAnsi="宋体"/>
                <w:b/>
                <w:highlight w:val="none"/>
                <w:lang w:val="en-US" w:eastAsia="zh-CN"/>
              </w:rPr>
              <w:t>采购标准</w:t>
            </w:r>
          </w:p>
        </w:tc>
        <w:tc>
          <w:tcPr>
            <w:tcW w:w="2146" w:type="dxa"/>
            <w:tcBorders>
              <w:tl2br w:val="nil"/>
              <w:tr2bl w:val="nil"/>
            </w:tcBorders>
            <w:vAlign w:val="center"/>
          </w:tcPr>
          <w:p w14:paraId="61B7B823">
            <w:pPr>
              <w:jc w:val="center"/>
              <w:rPr>
                <w:rFonts w:hint="default" w:ascii="宋体" w:hAnsi="宋体"/>
                <w:b/>
                <w:highlight w:val="none"/>
                <w:lang w:val="en-US" w:eastAsia="zh-CN"/>
              </w:rPr>
            </w:pPr>
            <w:r>
              <w:rPr>
                <w:rFonts w:hint="eastAsia" w:ascii="宋体" w:hAnsi="宋体"/>
                <w:b/>
                <w:highlight w:val="none"/>
                <w:lang w:val="en-US" w:eastAsia="zh-CN"/>
              </w:rPr>
              <w:t>每单人体检套餐价格（含增值税）</w:t>
            </w:r>
          </w:p>
        </w:tc>
        <w:tc>
          <w:tcPr>
            <w:tcW w:w="1643" w:type="dxa"/>
            <w:tcBorders>
              <w:tl2br w:val="nil"/>
              <w:tr2bl w:val="nil"/>
            </w:tcBorders>
            <w:vAlign w:val="center"/>
          </w:tcPr>
          <w:p w14:paraId="63ADB26F">
            <w:pPr>
              <w:jc w:val="center"/>
              <w:rPr>
                <w:rFonts w:hint="default" w:ascii="宋体" w:hAnsi="宋体"/>
                <w:b/>
                <w:highlight w:val="none"/>
                <w:lang w:val="en-US" w:eastAsia="zh-CN"/>
              </w:rPr>
            </w:pPr>
            <w:r>
              <w:rPr>
                <w:rFonts w:hint="eastAsia" w:ascii="宋体" w:hAnsi="宋体"/>
                <w:b/>
                <w:highlight w:val="none"/>
                <w:lang w:val="en-US" w:eastAsia="zh-CN"/>
              </w:rPr>
              <w:t>预计体检人数</w:t>
            </w:r>
          </w:p>
        </w:tc>
        <w:tc>
          <w:tcPr>
            <w:tcW w:w="2350" w:type="dxa"/>
            <w:tcBorders>
              <w:tl2br w:val="nil"/>
              <w:tr2bl w:val="nil"/>
            </w:tcBorders>
            <w:vAlign w:val="center"/>
          </w:tcPr>
          <w:p w14:paraId="684F8785">
            <w:pPr>
              <w:jc w:val="center"/>
              <w:rPr>
                <w:rFonts w:hint="default" w:ascii="宋体" w:hAnsi="宋体"/>
                <w:b/>
                <w:highlight w:val="none"/>
                <w:lang w:val="en-US" w:eastAsia="zh-CN"/>
              </w:rPr>
            </w:pPr>
            <w:r>
              <w:rPr>
                <w:rFonts w:hint="eastAsia" w:ascii="宋体" w:hAnsi="宋体"/>
                <w:b/>
                <w:highlight w:val="none"/>
                <w:lang w:val="en-US" w:eastAsia="zh-CN"/>
              </w:rPr>
              <w:t>价格小计（含增值税）</w:t>
            </w:r>
          </w:p>
        </w:tc>
      </w:tr>
      <w:tr w14:paraId="0C6622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2907" w:type="dxa"/>
            <w:tcBorders>
              <w:tl2br w:val="nil"/>
              <w:tr2bl w:val="nil"/>
            </w:tcBorders>
            <w:vAlign w:val="center"/>
          </w:tcPr>
          <w:p w14:paraId="53BF7A70">
            <w:pPr>
              <w:widowControl/>
              <w:jc w:val="center"/>
              <w:rPr>
                <w:rFonts w:ascii="宋体" w:hAnsi="宋体" w:eastAsia="宋体" w:cs="宋体"/>
                <w:bCs/>
                <w:kern w:val="0"/>
                <w:szCs w:val="21"/>
                <w:highlight w:val="none"/>
              </w:rPr>
            </w:pPr>
            <w:commentRangeStart w:id="0"/>
            <w:r>
              <w:rPr>
                <w:color w:val="000000"/>
              </w:rPr>
              <w:t>体检套餐（限价360元/人）</w:t>
            </w:r>
            <w:commentRangeEnd w:id="0"/>
            <w:r>
              <w:commentReference w:id="0"/>
            </w:r>
          </w:p>
        </w:tc>
        <w:tc>
          <w:tcPr>
            <w:tcW w:w="2146" w:type="dxa"/>
            <w:tcBorders>
              <w:tl2br w:val="nil"/>
              <w:tr2bl w:val="nil"/>
            </w:tcBorders>
            <w:vAlign w:val="center"/>
          </w:tcPr>
          <w:p w14:paraId="0BB77F9D">
            <w:pPr>
              <w:widowControl/>
              <w:jc w:val="center"/>
              <w:rPr>
                <w:rFonts w:ascii="宋体" w:hAnsi="宋体" w:eastAsia="宋体" w:cs="宋体"/>
                <w:bCs/>
                <w:kern w:val="0"/>
                <w:szCs w:val="21"/>
                <w:highlight w:val="none"/>
              </w:rPr>
            </w:pPr>
          </w:p>
        </w:tc>
        <w:tc>
          <w:tcPr>
            <w:tcW w:w="1643" w:type="dxa"/>
            <w:tcBorders>
              <w:tl2br w:val="nil"/>
              <w:tr2bl w:val="nil"/>
            </w:tcBorders>
            <w:vAlign w:val="center"/>
          </w:tcPr>
          <w:p w14:paraId="6BA47D32">
            <w:pPr>
              <w:widowControl/>
              <w:jc w:val="center"/>
              <w:rPr>
                <w:rFonts w:ascii="宋体" w:hAnsi="宋体" w:eastAsia="宋体" w:cs="宋体"/>
                <w:bCs/>
                <w:kern w:val="0"/>
                <w:szCs w:val="21"/>
                <w:highlight w:val="none"/>
              </w:rPr>
            </w:pPr>
            <w:r>
              <w:rPr>
                <w:color w:val="000000"/>
              </w:rPr>
              <w:t>150</w:t>
            </w:r>
          </w:p>
        </w:tc>
        <w:tc>
          <w:tcPr>
            <w:tcW w:w="2350" w:type="dxa"/>
            <w:tcBorders>
              <w:tl2br w:val="nil"/>
              <w:tr2bl w:val="nil"/>
            </w:tcBorders>
            <w:vAlign w:val="center"/>
          </w:tcPr>
          <w:p w14:paraId="7A3D563E">
            <w:pPr>
              <w:widowControl/>
              <w:jc w:val="center"/>
              <w:rPr>
                <w:rFonts w:ascii="宋体" w:hAnsi="宋体" w:eastAsia="宋体" w:cs="宋体"/>
                <w:bCs/>
                <w:kern w:val="0"/>
                <w:szCs w:val="21"/>
                <w:highlight w:val="none"/>
              </w:rPr>
            </w:pPr>
          </w:p>
        </w:tc>
      </w:tr>
      <w:tr w14:paraId="14F4AB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2907" w:type="dxa"/>
            <w:tcBorders>
              <w:tl2br w:val="nil"/>
              <w:tr2bl w:val="nil"/>
            </w:tcBorders>
            <w:vAlign w:val="center"/>
          </w:tcPr>
          <w:p w14:paraId="73CD31D3">
            <w:pPr>
              <w:widowControl/>
              <w:jc w:val="center"/>
              <w:rPr>
                <w:rFonts w:ascii="宋体" w:hAnsi="宋体" w:eastAsia="宋体" w:cs="宋体"/>
                <w:bCs/>
                <w:kern w:val="0"/>
                <w:szCs w:val="21"/>
                <w:highlight w:val="none"/>
              </w:rPr>
            </w:pPr>
            <w:r>
              <w:rPr>
                <w:color w:val="000000"/>
              </w:rPr>
              <w:t>体检套餐（限价390元/人）</w:t>
            </w:r>
          </w:p>
        </w:tc>
        <w:tc>
          <w:tcPr>
            <w:tcW w:w="2146" w:type="dxa"/>
            <w:tcBorders>
              <w:tl2br w:val="nil"/>
              <w:tr2bl w:val="nil"/>
            </w:tcBorders>
            <w:vAlign w:val="center"/>
          </w:tcPr>
          <w:p w14:paraId="493D9D18">
            <w:pPr>
              <w:widowControl/>
              <w:jc w:val="center"/>
              <w:rPr>
                <w:rFonts w:ascii="宋体" w:hAnsi="宋体" w:eastAsia="宋体" w:cs="宋体"/>
                <w:bCs/>
                <w:kern w:val="0"/>
                <w:szCs w:val="21"/>
                <w:highlight w:val="none"/>
              </w:rPr>
            </w:pPr>
          </w:p>
        </w:tc>
        <w:tc>
          <w:tcPr>
            <w:tcW w:w="1643" w:type="dxa"/>
            <w:tcBorders>
              <w:tl2br w:val="nil"/>
              <w:tr2bl w:val="nil"/>
            </w:tcBorders>
            <w:vAlign w:val="center"/>
          </w:tcPr>
          <w:p w14:paraId="799B426E">
            <w:pPr>
              <w:widowControl/>
              <w:jc w:val="center"/>
              <w:rPr>
                <w:rFonts w:ascii="宋体" w:hAnsi="宋体" w:eastAsia="宋体" w:cs="宋体"/>
                <w:bCs/>
                <w:kern w:val="0"/>
                <w:szCs w:val="21"/>
                <w:highlight w:val="none"/>
              </w:rPr>
            </w:pPr>
            <w:r>
              <w:rPr>
                <w:color w:val="000000"/>
              </w:rPr>
              <w:t>208</w:t>
            </w:r>
          </w:p>
        </w:tc>
        <w:tc>
          <w:tcPr>
            <w:tcW w:w="2350" w:type="dxa"/>
            <w:tcBorders>
              <w:tl2br w:val="nil"/>
              <w:tr2bl w:val="nil"/>
            </w:tcBorders>
            <w:vAlign w:val="center"/>
          </w:tcPr>
          <w:p w14:paraId="5BFCC86E">
            <w:pPr>
              <w:widowControl/>
              <w:jc w:val="center"/>
              <w:rPr>
                <w:rFonts w:ascii="宋体" w:hAnsi="宋体" w:eastAsia="宋体" w:cs="宋体"/>
                <w:bCs/>
                <w:kern w:val="0"/>
                <w:szCs w:val="21"/>
                <w:highlight w:val="none"/>
              </w:rPr>
            </w:pPr>
          </w:p>
        </w:tc>
      </w:tr>
      <w:tr w14:paraId="7132B1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2907" w:type="dxa"/>
            <w:tcBorders>
              <w:tl2br w:val="nil"/>
              <w:tr2bl w:val="nil"/>
            </w:tcBorders>
            <w:vAlign w:val="center"/>
          </w:tcPr>
          <w:p w14:paraId="60389E65">
            <w:pPr>
              <w:widowControl/>
              <w:jc w:val="center"/>
              <w:rPr>
                <w:rFonts w:ascii="宋体" w:hAnsi="宋体" w:eastAsia="宋体" w:cs="宋体"/>
                <w:bCs/>
                <w:kern w:val="0"/>
                <w:szCs w:val="21"/>
                <w:highlight w:val="none"/>
              </w:rPr>
            </w:pPr>
            <w:r>
              <w:rPr>
                <w:color w:val="000000"/>
              </w:rPr>
              <w:t>体检套餐（限价500元/人）</w:t>
            </w:r>
          </w:p>
        </w:tc>
        <w:tc>
          <w:tcPr>
            <w:tcW w:w="2146" w:type="dxa"/>
            <w:tcBorders>
              <w:tl2br w:val="nil"/>
              <w:tr2bl w:val="nil"/>
            </w:tcBorders>
            <w:vAlign w:val="center"/>
          </w:tcPr>
          <w:p w14:paraId="3AB9F084">
            <w:pPr>
              <w:widowControl/>
              <w:jc w:val="center"/>
              <w:rPr>
                <w:rFonts w:ascii="宋体" w:hAnsi="宋体" w:eastAsia="宋体" w:cs="宋体"/>
                <w:bCs/>
                <w:kern w:val="0"/>
                <w:szCs w:val="21"/>
                <w:highlight w:val="none"/>
              </w:rPr>
            </w:pPr>
          </w:p>
        </w:tc>
        <w:tc>
          <w:tcPr>
            <w:tcW w:w="1643" w:type="dxa"/>
            <w:tcBorders>
              <w:tl2br w:val="nil"/>
              <w:tr2bl w:val="nil"/>
            </w:tcBorders>
            <w:vAlign w:val="center"/>
          </w:tcPr>
          <w:p w14:paraId="4155C7AE">
            <w:pPr>
              <w:widowControl/>
              <w:jc w:val="center"/>
              <w:rPr>
                <w:rFonts w:ascii="宋体" w:hAnsi="宋体" w:eastAsia="宋体" w:cs="宋体"/>
                <w:bCs/>
                <w:kern w:val="0"/>
                <w:szCs w:val="21"/>
                <w:highlight w:val="none"/>
              </w:rPr>
            </w:pPr>
            <w:r>
              <w:rPr>
                <w:color w:val="000000"/>
              </w:rPr>
              <w:t>625</w:t>
            </w:r>
          </w:p>
        </w:tc>
        <w:tc>
          <w:tcPr>
            <w:tcW w:w="2350" w:type="dxa"/>
            <w:tcBorders>
              <w:tl2br w:val="nil"/>
              <w:tr2bl w:val="nil"/>
            </w:tcBorders>
            <w:vAlign w:val="center"/>
          </w:tcPr>
          <w:p w14:paraId="01CB80A7">
            <w:pPr>
              <w:widowControl/>
              <w:jc w:val="center"/>
              <w:rPr>
                <w:rFonts w:ascii="宋体" w:hAnsi="宋体" w:eastAsia="宋体" w:cs="宋体"/>
                <w:bCs/>
                <w:kern w:val="0"/>
                <w:szCs w:val="21"/>
                <w:highlight w:val="none"/>
              </w:rPr>
            </w:pPr>
          </w:p>
        </w:tc>
      </w:tr>
      <w:tr w14:paraId="2DEE7E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2907" w:type="dxa"/>
            <w:tcBorders>
              <w:tl2br w:val="nil"/>
              <w:tr2bl w:val="nil"/>
            </w:tcBorders>
            <w:vAlign w:val="center"/>
          </w:tcPr>
          <w:p w14:paraId="2B021B31">
            <w:pPr>
              <w:widowControl/>
              <w:jc w:val="center"/>
              <w:rPr>
                <w:rFonts w:ascii="宋体" w:hAnsi="宋体" w:eastAsia="宋体" w:cs="宋体"/>
                <w:bCs/>
                <w:kern w:val="0"/>
                <w:szCs w:val="21"/>
                <w:highlight w:val="none"/>
              </w:rPr>
            </w:pPr>
            <w:r>
              <w:rPr>
                <w:color w:val="000000"/>
              </w:rPr>
              <w:t>体检套餐（限价1000元/人）</w:t>
            </w:r>
          </w:p>
        </w:tc>
        <w:tc>
          <w:tcPr>
            <w:tcW w:w="2146" w:type="dxa"/>
            <w:tcBorders>
              <w:tl2br w:val="nil"/>
              <w:tr2bl w:val="nil"/>
            </w:tcBorders>
            <w:vAlign w:val="center"/>
          </w:tcPr>
          <w:p w14:paraId="26A518EE">
            <w:pPr>
              <w:widowControl/>
              <w:jc w:val="center"/>
              <w:rPr>
                <w:rFonts w:ascii="宋体" w:hAnsi="宋体" w:eastAsia="宋体" w:cs="宋体"/>
                <w:bCs/>
                <w:kern w:val="0"/>
                <w:szCs w:val="21"/>
                <w:highlight w:val="none"/>
              </w:rPr>
            </w:pPr>
          </w:p>
        </w:tc>
        <w:tc>
          <w:tcPr>
            <w:tcW w:w="1643" w:type="dxa"/>
            <w:tcBorders>
              <w:tl2br w:val="nil"/>
              <w:tr2bl w:val="nil"/>
            </w:tcBorders>
            <w:vAlign w:val="center"/>
          </w:tcPr>
          <w:p w14:paraId="6DA79E91">
            <w:pPr>
              <w:widowControl/>
              <w:jc w:val="center"/>
              <w:rPr>
                <w:rFonts w:ascii="宋体" w:hAnsi="宋体" w:eastAsia="宋体" w:cs="宋体"/>
                <w:bCs/>
                <w:kern w:val="0"/>
                <w:szCs w:val="21"/>
                <w:highlight w:val="none"/>
              </w:rPr>
            </w:pPr>
            <w:r>
              <w:rPr>
                <w:color w:val="000000"/>
              </w:rPr>
              <w:t>15</w:t>
            </w:r>
          </w:p>
        </w:tc>
        <w:tc>
          <w:tcPr>
            <w:tcW w:w="2350" w:type="dxa"/>
            <w:tcBorders>
              <w:tl2br w:val="nil"/>
              <w:tr2bl w:val="nil"/>
            </w:tcBorders>
            <w:vAlign w:val="center"/>
          </w:tcPr>
          <w:p w14:paraId="7342469E">
            <w:pPr>
              <w:widowControl/>
              <w:jc w:val="center"/>
              <w:rPr>
                <w:rFonts w:ascii="宋体" w:hAnsi="宋体" w:eastAsia="宋体" w:cs="宋体"/>
                <w:bCs/>
                <w:kern w:val="0"/>
                <w:szCs w:val="21"/>
                <w:highlight w:val="none"/>
              </w:rPr>
            </w:pPr>
          </w:p>
        </w:tc>
      </w:tr>
      <w:tr w14:paraId="4EF9D7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2907" w:type="dxa"/>
            <w:tcBorders>
              <w:tl2br w:val="nil"/>
              <w:tr2bl w:val="nil"/>
            </w:tcBorders>
            <w:vAlign w:val="center"/>
          </w:tcPr>
          <w:p w14:paraId="2F34D781">
            <w:pPr>
              <w:widowControl/>
              <w:jc w:val="center"/>
              <w:rPr>
                <w:rFonts w:ascii="宋体" w:hAnsi="宋体" w:eastAsia="宋体" w:cs="宋体"/>
                <w:bCs/>
                <w:kern w:val="0"/>
                <w:szCs w:val="21"/>
                <w:highlight w:val="none"/>
              </w:rPr>
            </w:pPr>
            <w:r>
              <w:rPr>
                <w:b/>
                <w:color w:val="000000"/>
              </w:rPr>
              <w:t>项目总报价（含增值税）</w:t>
            </w:r>
          </w:p>
        </w:tc>
        <w:tc>
          <w:tcPr>
            <w:tcW w:w="6139" w:type="dxa"/>
            <w:gridSpan w:val="3"/>
            <w:tcBorders>
              <w:tl2br w:val="nil"/>
              <w:tr2bl w:val="nil"/>
            </w:tcBorders>
            <w:vAlign w:val="center"/>
          </w:tcPr>
          <w:p w14:paraId="07EA22CD">
            <w:pPr>
              <w:widowControl/>
              <w:jc w:val="center"/>
              <w:rPr>
                <w:rFonts w:ascii="宋体" w:hAnsi="宋体" w:eastAsia="宋体" w:cs="宋体"/>
                <w:bCs/>
                <w:kern w:val="0"/>
                <w:szCs w:val="21"/>
                <w:highlight w:val="none"/>
              </w:rPr>
            </w:pPr>
          </w:p>
        </w:tc>
      </w:tr>
    </w:tbl>
    <w:p w14:paraId="34016665">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 xml:space="preserve">说明： </w:t>
      </w:r>
    </w:p>
    <w:p w14:paraId="4F0621E5">
      <w:pPr>
        <w:ind w:firstLine="420" w:firstLineChars="200"/>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1.本表仅作为开标信息一览，实际报价以投标人投标文件中提交的报价表为准，但数据应保持一致，否则应由投标人进行澄清，澄清后价格不可突破投标报价上限，如拒不澄清或澄清后价格突破投标文件中报价上限的，按废标处理；</w:t>
      </w:r>
    </w:p>
    <w:p w14:paraId="6178439D">
      <w:pPr>
        <w:ind w:firstLine="420" w:firstLineChars="200"/>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2.投标人如需对报价或其它内容加以说明，可在备注栏填写；</w:t>
      </w:r>
    </w:p>
    <w:p w14:paraId="25072A37">
      <w:pPr>
        <w:ind w:firstLine="420" w:firstLineChars="200"/>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3.此表应经法定代表人或授权代表人签名，并加盖投标人单位公章，否则无效，作废标处理。</w:t>
      </w:r>
    </w:p>
    <w:p w14:paraId="0C47DBD6">
      <w:pPr>
        <w:ind w:firstLine="420" w:firstLineChars="200"/>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4.投标金额大小写不一致的以大写为准。电子文档与纸质文档不一致的以纸质文档为准。正本与副本不一致的以正本为准。总价与计算结果不一致的以分项计算结果为准。</w:t>
      </w:r>
    </w:p>
    <w:p w14:paraId="30EE6227">
      <w:pPr>
        <w:ind w:firstLine="420" w:firstLineChars="200"/>
        <w:rPr>
          <w:rFonts w:hint="eastAsia" w:ascii="Times New Roman" w:hAnsi="Times New Roman" w:eastAsia="仿宋_GB2312" w:cs="仿宋_GB2312"/>
          <w:sz w:val="21"/>
          <w:szCs w:val="21"/>
          <w:highlight w:val="none"/>
        </w:rPr>
      </w:pPr>
      <w:r>
        <w:rPr>
          <w:rFonts w:hint="eastAsia" w:ascii="Times New Roman" w:hAnsi="Times New Roman" w:eastAsia="仿宋_GB2312" w:cs="仿宋_GB2312"/>
          <w:sz w:val="21"/>
          <w:szCs w:val="21"/>
          <w:highlight w:val="none"/>
        </w:rPr>
        <w:t>5.投标总报价不得超过本项目限价</w:t>
      </w:r>
      <w:r>
        <w:rPr>
          <w:rFonts w:hint="eastAsia" w:ascii="Times New Roman" w:hAnsi="Times New Roman" w:eastAsia="仿宋_GB2312" w:cs="仿宋_GB2312"/>
          <w:bCs/>
          <w:sz w:val="21"/>
          <w:szCs w:val="21"/>
          <w:highlight w:val="none"/>
          <w:lang w:val="en-US" w:eastAsia="zh-CN"/>
        </w:rPr>
        <w:t>人民币</w:t>
      </w:r>
      <w:r>
        <w:rPr>
          <w:rFonts w:hint="eastAsia" w:ascii="Times New Roman" w:hAnsi="Times New Roman" w:eastAsia="仿宋_GB2312" w:cs="仿宋"/>
          <w:bCs/>
          <w:sz w:val="21"/>
          <w:szCs w:val="21"/>
          <w:highlight w:val="none"/>
          <w:lang w:val="en-US" w:eastAsia="zh-CN"/>
        </w:rPr>
        <w:t>462,620</w:t>
      </w:r>
      <w:r>
        <w:rPr>
          <w:rFonts w:hint="eastAsia" w:ascii="Times New Roman" w:hAnsi="Times New Roman" w:eastAsia="仿宋_GB2312" w:cs="仿宋_GB2312"/>
          <w:bCs/>
          <w:sz w:val="21"/>
          <w:szCs w:val="21"/>
          <w:highlight w:val="none"/>
        </w:rPr>
        <w:t>元</w:t>
      </w:r>
      <w:r>
        <w:rPr>
          <w:rFonts w:hint="eastAsia" w:ascii="Times New Roman" w:hAnsi="Times New Roman" w:eastAsia="仿宋_GB2312" w:cs="仿宋_GB2312"/>
          <w:bCs/>
          <w:sz w:val="21"/>
          <w:szCs w:val="21"/>
          <w:highlight w:val="none"/>
          <w:lang w:eastAsia="zh-CN"/>
        </w:rPr>
        <w:t>（</w:t>
      </w:r>
      <w:r>
        <w:rPr>
          <w:rFonts w:hint="eastAsia" w:ascii="Times New Roman" w:hAnsi="Times New Roman" w:eastAsia="仿宋_GB2312" w:cs="仿宋_GB2312"/>
          <w:bCs/>
          <w:sz w:val="21"/>
          <w:szCs w:val="21"/>
          <w:highlight w:val="none"/>
          <w:lang w:val="en-US" w:eastAsia="zh-CN"/>
        </w:rPr>
        <w:t>含增值税）</w:t>
      </w:r>
      <w:r>
        <w:rPr>
          <w:rFonts w:hint="eastAsia" w:ascii="Times New Roman" w:hAnsi="Times New Roman" w:eastAsia="仿宋_GB2312" w:cs="仿宋_GB2312"/>
          <w:sz w:val="21"/>
          <w:szCs w:val="21"/>
          <w:highlight w:val="none"/>
        </w:rPr>
        <w:t>，套餐分项价格不得超过对应限价，否则按废标处理。</w:t>
      </w:r>
    </w:p>
    <w:p w14:paraId="601489F3">
      <w:pPr>
        <w:rPr>
          <w:rFonts w:hint="eastAsia" w:ascii="仿宋_GB2312" w:hAnsi="仿宋_GB2312" w:eastAsia="仿宋_GB2312" w:cs="仿宋_GB2312"/>
          <w:b/>
          <w:sz w:val="24"/>
          <w:szCs w:val="28"/>
          <w:highlight w:val="none"/>
        </w:rPr>
      </w:pPr>
    </w:p>
    <w:p w14:paraId="160D7DE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sz w:val="24"/>
          <w:szCs w:val="28"/>
          <w:highlight w:val="none"/>
        </w:rPr>
      </w:pPr>
      <w:r>
        <w:rPr>
          <w:rFonts w:hint="eastAsia" w:ascii="仿宋_GB2312" w:hAnsi="仿宋_GB2312" w:eastAsia="仿宋_GB2312" w:cs="仿宋_GB2312"/>
          <w:b w:val="0"/>
          <w:bCs/>
          <w:sz w:val="24"/>
          <w:szCs w:val="28"/>
          <w:highlight w:val="none"/>
        </w:rPr>
        <w:t>投标人（盖章）：</w:t>
      </w:r>
    </w:p>
    <w:p w14:paraId="2FA2EB6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sz w:val="24"/>
          <w:szCs w:val="28"/>
          <w:highlight w:val="none"/>
        </w:rPr>
      </w:pPr>
      <w:r>
        <w:rPr>
          <w:rFonts w:hint="eastAsia" w:ascii="仿宋_GB2312" w:hAnsi="仿宋_GB2312" w:eastAsia="仿宋_GB2312" w:cs="仿宋_GB2312"/>
          <w:b w:val="0"/>
          <w:bCs/>
          <w:sz w:val="24"/>
          <w:szCs w:val="28"/>
          <w:highlight w:val="none"/>
        </w:rPr>
        <w:t>法定代表人（或授权委托人）签名：</w:t>
      </w:r>
    </w:p>
    <w:p w14:paraId="102C0AC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sz w:val="24"/>
          <w:szCs w:val="28"/>
          <w:highlight w:val="none"/>
        </w:rPr>
        <w:sectPr>
          <w:footerReference r:id="rId8" w:type="default"/>
          <w:pgSz w:w="11907" w:h="16840"/>
          <w:pgMar w:top="2098" w:right="1474" w:bottom="1984" w:left="1587" w:header="1417" w:footer="603" w:gutter="0"/>
          <w:pgBorders>
            <w:top w:val="none" w:sz="0" w:space="0"/>
            <w:left w:val="none" w:sz="0" w:space="0"/>
            <w:bottom w:val="none" w:sz="0" w:space="0"/>
            <w:right w:val="none" w:sz="0" w:space="0"/>
          </w:pgBorders>
          <w:pgNumType w:start="1"/>
          <w:cols w:space="720" w:num="1"/>
          <w:docGrid w:linePitch="462" w:charSpace="0"/>
        </w:sectPr>
      </w:pPr>
      <w:r>
        <w:rPr>
          <w:rFonts w:hint="eastAsia" w:ascii="仿宋_GB2312" w:hAnsi="仿宋_GB2312" w:eastAsia="仿宋_GB2312" w:cs="仿宋_GB2312"/>
          <w:b w:val="0"/>
          <w:bCs/>
          <w:sz w:val="24"/>
          <w:szCs w:val="28"/>
          <w:highlight w:val="none"/>
        </w:rPr>
        <w:t>日   期：</w:t>
      </w:r>
    </w:p>
    <w:p w14:paraId="16D35263">
      <w:pPr>
        <w:pStyle w:val="5"/>
        <w:ind w:firstLine="0" w:firstLineChars="0"/>
        <w:jc w:val="left"/>
        <w:rPr>
          <w:rFonts w:hint="eastAsia" w:ascii="Times New Roman" w:hAnsi="Times New Roman" w:eastAsia="黑体" w:cs="黑体"/>
          <w:b w:val="0"/>
          <w:bCs/>
          <w:sz w:val="24"/>
          <w:szCs w:val="28"/>
          <w:highlight w:val="none"/>
          <w:lang w:val="en-US"/>
        </w:rPr>
      </w:pPr>
      <w:bookmarkStart w:id="75" w:name="_Toc19750"/>
      <w:bookmarkStart w:id="76" w:name="_Toc11257000"/>
      <w:bookmarkStart w:id="77" w:name="_Toc25123_WPSOffice_Level1"/>
      <w:bookmarkStart w:id="78" w:name="_Toc17910755"/>
      <w:bookmarkStart w:id="79" w:name="_Toc23485"/>
      <w:r>
        <w:rPr>
          <w:rFonts w:hint="eastAsia" w:ascii="Times New Roman" w:hAnsi="Times New Roman" w:eastAsia="黑体" w:cs="黑体"/>
          <w:b w:val="0"/>
          <w:bCs/>
          <w:sz w:val="24"/>
          <w:szCs w:val="28"/>
          <w:highlight w:val="none"/>
        </w:rPr>
        <w:t>格式</w:t>
      </w:r>
      <w:r>
        <w:rPr>
          <w:rFonts w:hint="eastAsia" w:ascii="Times New Roman" w:hAnsi="Times New Roman" w:eastAsia="黑体" w:cs="黑体"/>
          <w:b w:val="0"/>
          <w:bCs/>
          <w:sz w:val="24"/>
          <w:szCs w:val="28"/>
          <w:highlight w:val="none"/>
          <w:lang w:val="en-US" w:eastAsia="zh-CN"/>
        </w:rPr>
        <w:t>3</w:t>
      </w:r>
      <w:r>
        <w:rPr>
          <w:rFonts w:hint="eastAsia" w:ascii="Times New Roman" w:hAnsi="Times New Roman" w:eastAsia="黑体" w:cs="黑体"/>
          <w:b w:val="0"/>
          <w:bCs/>
          <w:sz w:val="24"/>
          <w:szCs w:val="28"/>
          <w:highlight w:val="none"/>
          <w:lang w:eastAsia="zh-CN"/>
        </w:rPr>
        <w:t>：</w:t>
      </w:r>
      <w:r>
        <w:rPr>
          <w:rFonts w:hint="eastAsia" w:ascii="Times New Roman" w:hAnsi="Times New Roman" w:eastAsia="黑体" w:cs="黑体"/>
          <w:b w:val="0"/>
          <w:bCs/>
          <w:sz w:val="24"/>
          <w:szCs w:val="28"/>
          <w:highlight w:val="none"/>
          <w:lang w:val="en-US" w:eastAsia="zh-CN"/>
        </w:rPr>
        <w:t>业绩证明</w:t>
      </w:r>
      <w:bookmarkEnd w:id="75"/>
    </w:p>
    <w:p w14:paraId="5D4C804D">
      <w:pPr>
        <w:widowControl w:val="0"/>
        <w:autoSpaceDE w:val="0"/>
        <w:autoSpaceDN w:val="0"/>
        <w:adjustRightInd w:val="0"/>
        <w:snapToGrid w:val="0"/>
        <w:ind w:firstLine="0" w:firstLineChars="0"/>
        <w:jc w:val="center"/>
        <w:rPr>
          <w:rFonts w:hint="eastAsia" w:ascii="宋体" w:hAnsi="宋体" w:eastAsiaTheme="minorEastAsia"/>
          <w:b/>
          <w:bCs/>
          <w:color w:val="000000"/>
          <w:sz w:val="32"/>
          <w:szCs w:val="32"/>
          <w:highlight w:val="none"/>
          <w:lang w:val="en-US" w:eastAsia="zh-CN"/>
        </w:rPr>
      </w:pPr>
      <w:r>
        <w:rPr>
          <w:rFonts w:hint="eastAsia" w:ascii="方正小标宋简体" w:hAnsi="方正小标宋简体" w:eastAsia="方正小标宋简体" w:cs="方正小标宋简体"/>
          <w:b w:val="0"/>
          <w:bCs w:val="0"/>
          <w:color w:val="000000"/>
          <w:sz w:val="40"/>
          <w:szCs w:val="40"/>
          <w:highlight w:val="none"/>
        </w:rPr>
        <w:t>业绩</w:t>
      </w:r>
      <w:r>
        <w:rPr>
          <w:rFonts w:hint="eastAsia" w:ascii="方正小标宋简体" w:hAnsi="方正小标宋简体" w:eastAsia="方正小标宋简体" w:cs="方正小标宋简体"/>
          <w:b w:val="0"/>
          <w:bCs w:val="0"/>
          <w:color w:val="000000"/>
          <w:sz w:val="40"/>
          <w:szCs w:val="40"/>
          <w:highlight w:val="none"/>
          <w:lang w:val="en-US" w:eastAsia="zh-CN"/>
        </w:rPr>
        <w:t>证明</w:t>
      </w:r>
    </w:p>
    <w:p w14:paraId="41195C3B">
      <w:pPr>
        <w:widowControl w:val="0"/>
        <w:autoSpaceDE w:val="0"/>
        <w:autoSpaceDN w:val="0"/>
        <w:adjustRightInd w:val="0"/>
        <w:snapToGrid w:val="0"/>
        <w:ind w:firstLine="0" w:firstLineChars="0"/>
        <w:rPr>
          <w:rFonts w:ascii="宋体" w:hAnsi="宋体"/>
          <w:color w:val="000000"/>
          <w:szCs w:val="21"/>
          <w:highlight w:val="none"/>
        </w:rPr>
      </w:pPr>
      <w:r>
        <w:rPr>
          <w:rFonts w:hint="eastAsia" w:ascii="宋体" w:hAnsi="宋体"/>
          <w:color w:val="000000"/>
          <w:szCs w:val="21"/>
          <w:highlight w:val="none"/>
        </w:rPr>
        <w:t>致：</w:t>
      </w:r>
      <w:r>
        <w:rPr>
          <w:rFonts w:hint="eastAsia" w:ascii="宋体" w:hAnsi="宋体"/>
          <w:color w:val="000000"/>
          <w:szCs w:val="21"/>
          <w:highlight w:val="none"/>
          <w:u w:val="single"/>
        </w:rPr>
        <w:t>（招标人）</w:t>
      </w:r>
    </w:p>
    <w:p w14:paraId="7D997F19">
      <w:pPr>
        <w:widowControl w:val="0"/>
        <w:autoSpaceDE w:val="0"/>
        <w:autoSpaceDN w:val="0"/>
        <w:adjustRightInd w:val="0"/>
        <w:snapToGrid w:val="0"/>
        <w:ind w:firstLine="420"/>
        <w:rPr>
          <w:rFonts w:hint="eastAsia" w:ascii="宋体" w:hAnsi="宋体"/>
          <w:color w:val="000000"/>
          <w:szCs w:val="21"/>
          <w:highlight w:val="none"/>
        </w:rPr>
      </w:pPr>
      <w:r>
        <w:rPr>
          <w:rFonts w:hint="eastAsia" w:ascii="宋体" w:hAnsi="宋体"/>
          <w:color w:val="000000"/>
          <w:szCs w:val="21"/>
          <w:highlight w:val="none"/>
        </w:rPr>
        <w:t>我方根据贵公司招标文件要求提供</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日至投标截止时间真实的业绩资料，证明合同附后，清单如下：</w:t>
      </w:r>
    </w:p>
    <w:p w14:paraId="5A07095D">
      <w:pPr>
        <w:widowControl w:val="0"/>
        <w:autoSpaceDE w:val="0"/>
        <w:autoSpaceDN w:val="0"/>
        <w:adjustRightInd w:val="0"/>
        <w:snapToGrid w:val="0"/>
        <w:ind w:firstLine="420"/>
        <w:rPr>
          <w:rFonts w:hint="eastAsia" w:ascii="宋体" w:hAnsi="宋体"/>
          <w:color w:val="000000"/>
          <w:szCs w:val="21"/>
          <w:highlight w:val="none"/>
        </w:rPr>
      </w:pPr>
    </w:p>
    <w:tbl>
      <w:tblPr>
        <w:tblStyle w:val="15"/>
        <w:tblW w:w="4031"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898"/>
        <w:gridCol w:w="1788"/>
        <w:gridCol w:w="1114"/>
        <w:gridCol w:w="1229"/>
        <w:gridCol w:w="1762"/>
        <w:gridCol w:w="811"/>
      </w:tblGrid>
      <w:tr w14:paraId="6C937B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26" w:hRule="atLeast"/>
          <w:jc w:val="center"/>
        </w:trPr>
        <w:tc>
          <w:tcPr>
            <w:tcW w:w="591" w:type="pct"/>
            <w:tcBorders>
              <w:tl2br w:val="nil"/>
              <w:tr2bl w:val="nil"/>
            </w:tcBorders>
            <w:shd w:val="clear" w:color="auto" w:fill="auto"/>
            <w:vAlign w:val="center"/>
          </w:tcPr>
          <w:p w14:paraId="7024C834">
            <w:pPr>
              <w:widowControl w:val="0"/>
              <w:autoSpaceDE w:val="0"/>
              <w:autoSpaceDN w:val="0"/>
              <w:adjustRightInd w:val="0"/>
              <w:snapToGrid w:val="0"/>
              <w:ind w:firstLine="0" w:firstLineChars="0"/>
              <w:jc w:val="center"/>
              <w:rPr>
                <w:rFonts w:ascii="宋体" w:hAnsi="宋体"/>
                <w:b/>
                <w:color w:val="000000"/>
                <w:szCs w:val="21"/>
                <w:highlight w:val="none"/>
              </w:rPr>
            </w:pPr>
            <w:r>
              <w:rPr>
                <w:rFonts w:hint="eastAsia" w:ascii="宋体" w:hAnsi="宋体"/>
                <w:b/>
                <w:color w:val="000000"/>
                <w:szCs w:val="21"/>
                <w:highlight w:val="none"/>
              </w:rPr>
              <w:t>序号</w:t>
            </w:r>
          </w:p>
        </w:tc>
        <w:tc>
          <w:tcPr>
            <w:tcW w:w="1175" w:type="pct"/>
            <w:tcBorders>
              <w:tl2br w:val="nil"/>
              <w:tr2bl w:val="nil"/>
            </w:tcBorders>
            <w:shd w:val="clear" w:color="auto" w:fill="auto"/>
            <w:vAlign w:val="center"/>
          </w:tcPr>
          <w:p w14:paraId="39CAB7D4">
            <w:pPr>
              <w:widowControl w:val="0"/>
              <w:autoSpaceDE w:val="0"/>
              <w:autoSpaceDN w:val="0"/>
              <w:adjustRightInd w:val="0"/>
              <w:snapToGrid w:val="0"/>
              <w:ind w:firstLine="0" w:firstLineChars="0"/>
              <w:jc w:val="center"/>
              <w:rPr>
                <w:rFonts w:ascii="宋体" w:hAnsi="宋体"/>
                <w:b/>
                <w:color w:val="000000"/>
                <w:szCs w:val="21"/>
                <w:highlight w:val="none"/>
              </w:rPr>
            </w:pPr>
            <w:r>
              <w:rPr>
                <w:rFonts w:hint="eastAsia" w:ascii="宋体" w:hAnsi="宋体"/>
                <w:b/>
                <w:color w:val="000000"/>
                <w:szCs w:val="21"/>
                <w:highlight w:val="none"/>
              </w:rPr>
              <w:t>合同</w:t>
            </w:r>
            <w:r>
              <w:rPr>
                <w:rFonts w:hint="eastAsia" w:ascii="宋体" w:hAnsi="宋体"/>
                <w:b/>
                <w:color w:val="000000"/>
                <w:szCs w:val="21"/>
                <w:highlight w:val="none"/>
                <w:lang w:val="en-US" w:eastAsia="zh-CN"/>
              </w:rPr>
              <w:t>项目</w:t>
            </w:r>
            <w:r>
              <w:rPr>
                <w:rFonts w:hint="eastAsia" w:ascii="宋体" w:hAnsi="宋体"/>
                <w:b/>
                <w:color w:val="000000"/>
                <w:szCs w:val="21"/>
                <w:highlight w:val="none"/>
              </w:rPr>
              <w:t>名称</w:t>
            </w:r>
          </w:p>
        </w:tc>
        <w:tc>
          <w:tcPr>
            <w:tcW w:w="732" w:type="pct"/>
            <w:tcBorders>
              <w:tl2br w:val="nil"/>
              <w:tr2bl w:val="nil"/>
            </w:tcBorders>
            <w:shd w:val="clear" w:color="auto" w:fill="auto"/>
            <w:vAlign w:val="center"/>
          </w:tcPr>
          <w:p w14:paraId="0C3F1E25">
            <w:pPr>
              <w:widowControl w:val="0"/>
              <w:autoSpaceDE w:val="0"/>
              <w:autoSpaceDN w:val="0"/>
              <w:adjustRightInd w:val="0"/>
              <w:snapToGrid w:val="0"/>
              <w:ind w:firstLine="0" w:firstLineChars="0"/>
              <w:jc w:val="center"/>
              <w:rPr>
                <w:rFonts w:hint="default" w:ascii="宋体" w:hAnsi="宋体"/>
                <w:b/>
                <w:color w:val="000000"/>
                <w:szCs w:val="21"/>
                <w:highlight w:val="none"/>
                <w:lang w:val="en-US"/>
              </w:rPr>
            </w:pPr>
            <w:r>
              <w:rPr>
                <w:rFonts w:hint="eastAsia" w:ascii="宋体" w:hAnsi="宋体"/>
                <w:b/>
                <w:color w:val="000000"/>
                <w:szCs w:val="21"/>
                <w:highlight w:val="none"/>
                <w:lang w:val="en-US" w:eastAsia="zh-CN"/>
              </w:rPr>
              <w:t>合同期限</w:t>
            </w:r>
          </w:p>
        </w:tc>
        <w:tc>
          <w:tcPr>
            <w:tcW w:w="808" w:type="pct"/>
            <w:tcBorders>
              <w:tl2br w:val="nil"/>
              <w:tr2bl w:val="nil"/>
            </w:tcBorders>
            <w:shd w:val="clear" w:color="auto" w:fill="auto"/>
            <w:vAlign w:val="center"/>
          </w:tcPr>
          <w:p w14:paraId="3A89FACE">
            <w:pPr>
              <w:widowControl w:val="0"/>
              <w:autoSpaceDE w:val="0"/>
              <w:autoSpaceDN w:val="0"/>
              <w:adjustRightInd w:val="0"/>
              <w:snapToGrid w:val="0"/>
              <w:ind w:firstLine="0" w:firstLineChars="0"/>
              <w:jc w:val="center"/>
              <w:rPr>
                <w:rFonts w:hint="eastAsia" w:ascii="宋体" w:hAnsi="宋体"/>
                <w:b/>
                <w:color w:val="000000"/>
                <w:szCs w:val="21"/>
                <w:highlight w:val="none"/>
              </w:rPr>
            </w:pPr>
            <w:r>
              <w:rPr>
                <w:rFonts w:hint="eastAsia" w:ascii="宋体" w:hAnsi="宋体"/>
                <w:b/>
                <w:color w:val="000000"/>
                <w:szCs w:val="21"/>
                <w:highlight w:val="none"/>
              </w:rPr>
              <w:t>合同金额</w:t>
            </w:r>
          </w:p>
        </w:tc>
        <w:tc>
          <w:tcPr>
            <w:tcW w:w="1158" w:type="pct"/>
            <w:tcBorders>
              <w:tl2br w:val="nil"/>
              <w:tr2bl w:val="nil"/>
            </w:tcBorders>
            <w:shd w:val="clear" w:color="auto" w:fill="auto"/>
            <w:vAlign w:val="center"/>
          </w:tcPr>
          <w:p w14:paraId="6837FA65">
            <w:pPr>
              <w:widowControl w:val="0"/>
              <w:autoSpaceDE w:val="0"/>
              <w:autoSpaceDN w:val="0"/>
              <w:adjustRightInd w:val="0"/>
              <w:snapToGrid w:val="0"/>
              <w:ind w:firstLine="0" w:firstLineChars="0"/>
              <w:jc w:val="center"/>
              <w:rPr>
                <w:rFonts w:hint="default" w:ascii="宋体" w:hAnsi="宋体" w:eastAsiaTheme="minorEastAsia"/>
                <w:b/>
                <w:color w:val="000000"/>
                <w:szCs w:val="21"/>
                <w:highlight w:val="none"/>
                <w:lang w:val="en-US" w:eastAsia="zh-CN"/>
              </w:rPr>
            </w:pPr>
            <w:r>
              <w:rPr>
                <w:rFonts w:hint="eastAsia" w:ascii="宋体" w:hAnsi="宋体"/>
                <w:b/>
                <w:color w:val="000000"/>
                <w:szCs w:val="21"/>
                <w:highlight w:val="none"/>
                <w:lang w:val="en-US" w:eastAsia="zh-CN"/>
              </w:rPr>
              <w:t>服务人数</w:t>
            </w:r>
          </w:p>
        </w:tc>
        <w:tc>
          <w:tcPr>
            <w:tcW w:w="533" w:type="pct"/>
            <w:tcBorders>
              <w:tl2br w:val="nil"/>
              <w:tr2bl w:val="nil"/>
            </w:tcBorders>
            <w:shd w:val="clear" w:color="auto" w:fill="auto"/>
            <w:vAlign w:val="center"/>
          </w:tcPr>
          <w:p w14:paraId="3DC10FAC">
            <w:pPr>
              <w:widowControl w:val="0"/>
              <w:autoSpaceDE w:val="0"/>
              <w:autoSpaceDN w:val="0"/>
              <w:adjustRightInd w:val="0"/>
              <w:snapToGrid w:val="0"/>
              <w:ind w:firstLine="0" w:firstLineChars="0"/>
              <w:jc w:val="center"/>
              <w:rPr>
                <w:rFonts w:ascii="宋体" w:hAnsi="宋体"/>
                <w:b/>
                <w:color w:val="000000"/>
                <w:szCs w:val="21"/>
                <w:highlight w:val="none"/>
              </w:rPr>
            </w:pPr>
            <w:r>
              <w:rPr>
                <w:rFonts w:hint="eastAsia" w:ascii="宋体" w:hAnsi="宋体"/>
                <w:b/>
                <w:color w:val="000000"/>
                <w:szCs w:val="21"/>
                <w:highlight w:val="none"/>
              </w:rPr>
              <w:t>详见页码</w:t>
            </w:r>
          </w:p>
        </w:tc>
      </w:tr>
      <w:tr w14:paraId="7BCABF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591" w:type="pct"/>
            <w:tcBorders>
              <w:tl2br w:val="nil"/>
              <w:tr2bl w:val="nil"/>
            </w:tcBorders>
            <w:shd w:val="clear" w:color="auto" w:fill="auto"/>
            <w:vAlign w:val="center"/>
          </w:tcPr>
          <w:p w14:paraId="7AE772B2">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r>
              <w:rPr>
                <w:rFonts w:hint="eastAsia" w:ascii="宋体" w:hAnsi="宋体"/>
                <w:color w:val="000000"/>
                <w:szCs w:val="21"/>
                <w:highlight w:val="none"/>
              </w:rPr>
              <w:t>1</w:t>
            </w:r>
          </w:p>
        </w:tc>
        <w:tc>
          <w:tcPr>
            <w:tcW w:w="1175" w:type="pct"/>
            <w:tcBorders>
              <w:tl2br w:val="nil"/>
              <w:tr2bl w:val="nil"/>
            </w:tcBorders>
            <w:shd w:val="clear" w:color="auto" w:fill="auto"/>
            <w:vAlign w:val="center"/>
          </w:tcPr>
          <w:p w14:paraId="2CD5F1B2">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732" w:type="pct"/>
            <w:tcBorders>
              <w:tl2br w:val="nil"/>
              <w:tr2bl w:val="nil"/>
            </w:tcBorders>
            <w:shd w:val="clear" w:color="auto" w:fill="auto"/>
            <w:vAlign w:val="center"/>
          </w:tcPr>
          <w:p w14:paraId="152CF01F">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808" w:type="pct"/>
            <w:tcBorders>
              <w:tl2br w:val="nil"/>
              <w:tr2bl w:val="nil"/>
            </w:tcBorders>
            <w:shd w:val="clear" w:color="auto" w:fill="auto"/>
            <w:vAlign w:val="center"/>
          </w:tcPr>
          <w:p w14:paraId="1B16BE1D">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1158" w:type="pct"/>
            <w:tcBorders>
              <w:tl2br w:val="nil"/>
              <w:tr2bl w:val="nil"/>
            </w:tcBorders>
            <w:shd w:val="clear" w:color="auto" w:fill="auto"/>
            <w:vAlign w:val="center"/>
          </w:tcPr>
          <w:p w14:paraId="01FF5F63">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533" w:type="pct"/>
            <w:tcBorders>
              <w:tl2br w:val="nil"/>
              <w:tr2bl w:val="nil"/>
            </w:tcBorders>
            <w:shd w:val="clear" w:color="auto" w:fill="auto"/>
            <w:vAlign w:val="center"/>
          </w:tcPr>
          <w:p w14:paraId="21BE975C">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r>
              <w:rPr>
                <w:rFonts w:hint="eastAsia" w:ascii="宋体" w:hAnsi="宋体"/>
                <w:color w:val="000000"/>
                <w:szCs w:val="21"/>
                <w:highlight w:val="none"/>
              </w:rPr>
              <w:t>P</w:t>
            </w:r>
          </w:p>
        </w:tc>
      </w:tr>
      <w:tr w14:paraId="3F1CAB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42" w:hRule="atLeast"/>
          <w:jc w:val="center"/>
        </w:trPr>
        <w:tc>
          <w:tcPr>
            <w:tcW w:w="591" w:type="pct"/>
            <w:tcBorders>
              <w:tl2br w:val="nil"/>
              <w:tr2bl w:val="nil"/>
            </w:tcBorders>
            <w:shd w:val="clear" w:color="auto" w:fill="auto"/>
            <w:vAlign w:val="center"/>
          </w:tcPr>
          <w:p w14:paraId="68975C04">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r>
              <w:rPr>
                <w:rFonts w:hint="eastAsia" w:ascii="宋体" w:hAnsi="宋体"/>
                <w:color w:val="000000"/>
                <w:szCs w:val="21"/>
                <w:highlight w:val="none"/>
              </w:rPr>
              <w:t>2</w:t>
            </w:r>
          </w:p>
        </w:tc>
        <w:tc>
          <w:tcPr>
            <w:tcW w:w="1175" w:type="pct"/>
            <w:tcBorders>
              <w:tl2br w:val="nil"/>
              <w:tr2bl w:val="nil"/>
            </w:tcBorders>
            <w:shd w:val="clear" w:color="auto" w:fill="auto"/>
            <w:vAlign w:val="center"/>
          </w:tcPr>
          <w:p w14:paraId="6E4BC21D">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732" w:type="pct"/>
            <w:tcBorders>
              <w:tl2br w:val="nil"/>
              <w:tr2bl w:val="nil"/>
            </w:tcBorders>
            <w:shd w:val="clear" w:color="auto" w:fill="auto"/>
            <w:vAlign w:val="center"/>
          </w:tcPr>
          <w:p w14:paraId="145ADBA2">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808" w:type="pct"/>
            <w:tcBorders>
              <w:tl2br w:val="nil"/>
              <w:tr2bl w:val="nil"/>
            </w:tcBorders>
            <w:shd w:val="clear" w:color="auto" w:fill="auto"/>
            <w:vAlign w:val="center"/>
          </w:tcPr>
          <w:p w14:paraId="1F2E6434">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1158" w:type="pct"/>
            <w:tcBorders>
              <w:tl2br w:val="nil"/>
              <w:tr2bl w:val="nil"/>
            </w:tcBorders>
            <w:shd w:val="clear" w:color="auto" w:fill="auto"/>
            <w:vAlign w:val="center"/>
          </w:tcPr>
          <w:p w14:paraId="158BFE3C">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533" w:type="pct"/>
            <w:tcBorders>
              <w:tl2br w:val="nil"/>
              <w:tr2bl w:val="nil"/>
            </w:tcBorders>
            <w:shd w:val="clear" w:color="auto" w:fill="auto"/>
            <w:vAlign w:val="center"/>
          </w:tcPr>
          <w:p w14:paraId="4110124F">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r>
              <w:rPr>
                <w:rFonts w:hint="eastAsia" w:ascii="宋体" w:hAnsi="宋体"/>
                <w:color w:val="000000"/>
                <w:szCs w:val="21"/>
                <w:highlight w:val="none"/>
              </w:rPr>
              <w:t>P</w:t>
            </w:r>
          </w:p>
        </w:tc>
      </w:tr>
      <w:tr w14:paraId="44EFB3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591" w:type="pct"/>
            <w:tcBorders>
              <w:tl2br w:val="nil"/>
              <w:tr2bl w:val="nil"/>
            </w:tcBorders>
            <w:shd w:val="clear" w:color="auto" w:fill="auto"/>
            <w:vAlign w:val="center"/>
          </w:tcPr>
          <w:p w14:paraId="1ADA3355">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r>
              <w:rPr>
                <w:rFonts w:hint="eastAsia" w:ascii="宋体" w:hAnsi="宋体"/>
                <w:color w:val="000000"/>
                <w:szCs w:val="21"/>
                <w:highlight w:val="none"/>
              </w:rPr>
              <w:t>3</w:t>
            </w:r>
          </w:p>
        </w:tc>
        <w:tc>
          <w:tcPr>
            <w:tcW w:w="1175" w:type="pct"/>
            <w:tcBorders>
              <w:tl2br w:val="nil"/>
              <w:tr2bl w:val="nil"/>
            </w:tcBorders>
            <w:shd w:val="clear" w:color="auto" w:fill="auto"/>
            <w:vAlign w:val="center"/>
          </w:tcPr>
          <w:p w14:paraId="49459E01">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732" w:type="pct"/>
            <w:tcBorders>
              <w:tl2br w:val="nil"/>
              <w:tr2bl w:val="nil"/>
            </w:tcBorders>
            <w:shd w:val="clear" w:color="auto" w:fill="auto"/>
            <w:vAlign w:val="center"/>
          </w:tcPr>
          <w:p w14:paraId="3F04A635">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808" w:type="pct"/>
            <w:tcBorders>
              <w:tl2br w:val="nil"/>
              <w:tr2bl w:val="nil"/>
            </w:tcBorders>
            <w:shd w:val="clear" w:color="auto" w:fill="auto"/>
            <w:vAlign w:val="center"/>
          </w:tcPr>
          <w:p w14:paraId="21AD6C9D">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1158" w:type="pct"/>
            <w:tcBorders>
              <w:tl2br w:val="nil"/>
              <w:tr2bl w:val="nil"/>
            </w:tcBorders>
            <w:shd w:val="clear" w:color="auto" w:fill="auto"/>
            <w:vAlign w:val="center"/>
          </w:tcPr>
          <w:p w14:paraId="3FB5BA34">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533" w:type="pct"/>
            <w:tcBorders>
              <w:tl2br w:val="nil"/>
              <w:tr2bl w:val="nil"/>
            </w:tcBorders>
            <w:shd w:val="clear" w:color="auto" w:fill="auto"/>
            <w:vAlign w:val="center"/>
          </w:tcPr>
          <w:p w14:paraId="37869BD8">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r>
              <w:rPr>
                <w:rFonts w:hint="eastAsia" w:ascii="宋体" w:hAnsi="宋体"/>
                <w:color w:val="000000"/>
                <w:szCs w:val="21"/>
                <w:highlight w:val="none"/>
              </w:rPr>
              <w:t>P</w:t>
            </w:r>
          </w:p>
        </w:tc>
      </w:tr>
      <w:tr w14:paraId="5150A2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4" w:hRule="atLeast"/>
          <w:jc w:val="center"/>
        </w:trPr>
        <w:tc>
          <w:tcPr>
            <w:tcW w:w="591" w:type="pct"/>
            <w:tcBorders>
              <w:tl2br w:val="nil"/>
              <w:tr2bl w:val="nil"/>
            </w:tcBorders>
            <w:shd w:val="clear" w:color="auto" w:fill="auto"/>
            <w:vAlign w:val="center"/>
          </w:tcPr>
          <w:p w14:paraId="3DB3C371">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r>
              <w:rPr>
                <w:rFonts w:hint="eastAsia" w:ascii="宋体" w:hAnsi="宋体"/>
                <w:color w:val="000000"/>
                <w:szCs w:val="21"/>
                <w:highlight w:val="none"/>
              </w:rPr>
              <w:t>4</w:t>
            </w:r>
          </w:p>
        </w:tc>
        <w:tc>
          <w:tcPr>
            <w:tcW w:w="1175" w:type="pct"/>
            <w:tcBorders>
              <w:tl2br w:val="nil"/>
              <w:tr2bl w:val="nil"/>
            </w:tcBorders>
            <w:shd w:val="clear" w:color="auto" w:fill="auto"/>
            <w:vAlign w:val="center"/>
          </w:tcPr>
          <w:p w14:paraId="62A8BAF3">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732" w:type="pct"/>
            <w:tcBorders>
              <w:tl2br w:val="nil"/>
              <w:tr2bl w:val="nil"/>
            </w:tcBorders>
            <w:shd w:val="clear" w:color="auto" w:fill="auto"/>
            <w:vAlign w:val="center"/>
          </w:tcPr>
          <w:p w14:paraId="762EF2BB">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808" w:type="pct"/>
            <w:tcBorders>
              <w:tl2br w:val="nil"/>
              <w:tr2bl w:val="nil"/>
            </w:tcBorders>
            <w:shd w:val="clear" w:color="auto" w:fill="auto"/>
            <w:vAlign w:val="center"/>
          </w:tcPr>
          <w:p w14:paraId="590F65B1">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1158" w:type="pct"/>
            <w:tcBorders>
              <w:tl2br w:val="nil"/>
              <w:tr2bl w:val="nil"/>
            </w:tcBorders>
            <w:shd w:val="clear" w:color="auto" w:fill="auto"/>
            <w:vAlign w:val="center"/>
          </w:tcPr>
          <w:p w14:paraId="60211BDC">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533" w:type="pct"/>
            <w:tcBorders>
              <w:tl2br w:val="nil"/>
              <w:tr2bl w:val="nil"/>
            </w:tcBorders>
            <w:shd w:val="clear" w:color="auto" w:fill="auto"/>
            <w:vAlign w:val="center"/>
          </w:tcPr>
          <w:p w14:paraId="5C9905A3">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r>
              <w:rPr>
                <w:rFonts w:hint="eastAsia" w:ascii="宋体" w:hAnsi="宋体"/>
                <w:color w:val="000000"/>
                <w:szCs w:val="21"/>
                <w:highlight w:val="none"/>
              </w:rPr>
              <w:t>P</w:t>
            </w:r>
          </w:p>
        </w:tc>
      </w:tr>
      <w:tr w14:paraId="47B924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591" w:type="pct"/>
            <w:tcBorders>
              <w:tl2br w:val="nil"/>
              <w:tr2bl w:val="nil"/>
            </w:tcBorders>
            <w:shd w:val="clear" w:color="auto" w:fill="auto"/>
            <w:vAlign w:val="center"/>
          </w:tcPr>
          <w:p w14:paraId="05EEE744">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r>
              <w:rPr>
                <w:rFonts w:hint="eastAsia" w:ascii="宋体" w:hAnsi="宋体"/>
                <w:color w:val="000000"/>
                <w:szCs w:val="21"/>
                <w:highlight w:val="none"/>
              </w:rPr>
              <w:t>5</w:t>
            </w:r>
          </w:p>
        </w:tc>
        <w:tc>
          <w:tcPr>
            <w:tcW w:w="1175" w:type="pct"/>
            <w:tcBorders>
              <w:tl2br w:val="nil"/>
              <w:tr2bl w:val="nil"/>
            </w:tcBorders>
            <w:shd w:val="clear" w:color="auto" w:fill="auto"/>
            <w:vAlign w:val="center"/>
          </w:tcPr>
          <w:p w14:paraId="56F0CB12">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732" w:type="pct"/>
            <w:tcBorders>
              <w:tl2br w:val="nil"/>
              <w:tr2bl w:val="nil"/>
            </w:tcBorders>
            <w:shd w:val="clear" w:color="auto" w:fill="auto"/>
            <w:vAlign w:val="center"/>
          </w:tcPr>
          <w:p w14:paraId="3726FD10">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808" w:type="pct"/>
            <w:tcBorders>
              <w:tl2br w:val="nil"/>
              <w:tr2bl w:val="nil"/>
            </w:tcBorders>
            <w:shd w:val="clear" w:color="auto" w:fill="auto"/>
            <w:vAlign w:val="center"/>
          </w:tcPr>
          <w:p w14:paraId="35BD7D9F">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1158" w:type="pct"/>
            <w:tcBorders>
              <w:tl2br w:val="nil"/>
              <w:tr2bl w:val="nil"/>
            </w:tcBorders>
            <w:shd w:val="clear" w:color="auto" w:fill="auto"/>
            <w:vAlign w:val="center"/>
          </w:tcPr>
          <w:p w14:paraId="110DE49B">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533" w:type="pct"/>
            <w:tcBorders>
              <w:tl2br w:val="nil"/>
              <w:tr2bl w:val="nil"/>
            </w:tcBorders>
            <w:shd w:val="clear" w:color="auto" w:fill="auto"/>
            <w:vAlign w:val="center"/>
          </w:tcPr>
          <w:p w14:paraId="3AB85508">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r>
              <w:rPr>
                <w:rFonts w:hint="eastAsia" w:ascii="宋体" w:hAnsi="宋体"/>
                <w:color w:val="000000"/>
                <w:szCs w:val="21"/>
                <w:highlight w:val="none"/>
              </w:rPr>
              <w:t>P</w:t>
            </w:r>
          </w:p>
        </w:tc>
      </w:tr>
      <w:tr w14:paraId="27BAC7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4" w:hRule="atLeast"/>
          <w:jc w:val="center"/>
        </w:trPr>
        <w:tc>
          <w:tcPr>
            <w:tcW w:w="591" w:type="pct"/>
            <w:tcBorders>
              <w:tl2br w:val="nil"/>
              <w:tr2bl w:val="nil"/>
            </w:tcBorders>
            <w:shd w:val="clear" w:color="auto" w:fill="auto"/>
            <w:vAlign w:val="center"/>
          </w:tcPr>
          <w:p w14:paraId="4B2FDF09">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eastAsia" w:ascii="宋体" w:hAnsi="宋体" w:eastAsiaTheme="minorEastAsia"/>
                <w:color w:val="000000"/>
                <w:szCs w:val="21"/>
                <w:highlight w:val="none"/>
                <w:lang w:val="en-US" w:eastAsia="zh-CN"/>
              </w:rPr>
            </w:pPr>
            <w:r>
              <w:rPr>
                <w:rFonts w:hint="eastAsia" w:ascii="宋体" w:hAnsi="宋体"/>
                <w:color w:val="000000"/>
                <w:szCs w:val="21"/>
                <w:highlight w:val="none"/>
                <w:lang w:val="en-US" w:eastAsia="zh-CN"/>
              </w:rPr>
              <w:t>6</w:t>
            </w:r>
          </w:p>
        </w:tc>
        <w:tc>
          <w:tcPr>
            <w:tcW w:w="1175" w:type="pct"/>
            <w:tcBorders>
              <w:tl2br w:val="nil"/>
              <w:tr2bl w:val="nil"/>
            </w:tcBorders>
            <w:shd w:val="clear" w:color="auto" w:fill="auto"/>
            <w:vAlign w:val="center"/>
          </w:tcPr>
          <w:p w14:paraId="56EAE4A3">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732" w:type="pct"/>
            <w:tcBorders>
              <w:tl2br w:val="nil"/>
              <w:tr2bl w:val="nil"/>
            </w:tcBorders>
            <w:shd w:val="clear" w:color="auto" w:fill="auto"/>
            <w:vAlign w:val="center"/>
          </w:tcPr>
          <w:p w14:paraId="7D443497">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808" w:type="pct"/>
            <w:tcBorders>
              <w:tl2br w:val="nil"/>
              <w:tr2bl w:val="nil"/>
            </w:tcBorders>
            <w:shd w:val="clear" w:color="auto" w:fill="auto"/>
            <w:vAlign w:val="center"/>
          </w:tcPr>
          <w:p w14:paraId="547F0FFF">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1158" w:type="pct"/>
            <w:tcBorders>
              <w:tl2br w:val="nil"/>
              <w:tr2bl w:val="nil"/>
            </w:tcBorders>
            <w:shd w:val="clear" w:color="auto" w:fill="auto"/>
            <w:vAlign w:val="center"/>
          </w:tcPr>
          <w:p w14:paraId="1C5B640D">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533" w:type="pct"/>
            <w:tcBorders>
              <w:tl2br w:val="nil"/>
              <w:tr2bl w:val="nil"/>
            </w:tcBorders>
            <w:shd w:val="clear" w:color="auto" w:fill="auto"/>
            <w:vAlign w:val="center"/>
          </w:tcPr>
          <w:p w14:paraId="2462FF9F">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eastAsia" w:ascii="宋体" w:hAnsi="宋体"/>
                <w:color w:val="000000"/>
                <w:szCs w:val="21"/>
                <w:highlight w:val="none"/>
              </w:rPr>
            </w:pPr>
            <w:r>
              <w:rPr>
                <w:rFonts w:hint="eastAsia" w:ascii="宋体" w:hAnsi="宋体"/>
                <w:color w:val="000000"/>
                <w:szCs w:val="21"/>
                <w:highlight w:val="none"/>
              </w:rPr>
              <w:t>P</w:t>
            </w:r>
          </w:p>
        </w:tc>
      </w:tr>
      <w:tr w14:paraId="496387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591" w:type="pct"/>
            <w:tcBorders>
              <w:tl2br w:val="nil"/>
              <w:tr2bl w:val="nil"/>
            </w:tcBorders>
            <w:shd w:val="clear" w:color="auto" w:fill="auto"/>
            <w:vAlign w:val="center"/>
          </w:tcPr>
          <w:p w14:paraId="7B37417C">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default" w:ascii="宋体" w:hAnsi="宋体"/>
                <w:color w:val="000000"/>
                <w:szCs w:val="21"/>
                <w:highlight w:val="none"/>
                <w:lang w:val="en-US" w:eastAsia="zh-CN"/>
              </w:rPr>
            </w:pPr>
            <w:r>
              <w:rPr>
                <w:rFonts w:hint="eastAsia" w:ascii="宋体" w:hAnsi="宋体"/>
                <w:color w:val="000000"/>
                <w:szCs w:val="21"/>
                <w:highlight w:val="none"/>
                <w:lang w:val="en-US" w:eastAsia="zh-CN"/>
              </w:rPr>
              <w:t>7</w:t>
            </w:r>
          </w:p>
        </w:tc>
        <w:tc>
          <w:tcPr>
            <w:tcW w:w="1175" w:type="pct"/>
            <w:tcBorders>
              <w:tl2br w:val="nil"/>
              <w:tr2bl w:val="nil"/>
            </w:tcBorders>
            <w:shd w:val="clear" w:color="auto" w:fill="auto"/>
            <w:vAlign w:val="center"/>
          </w:tcPr>
          <w:p w14:paraId="56B77721">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732" w:type="pct"/>
            <w:tcBorders>
              <w:tl2br w:val="nil"/>
              <w:tr2bl w:val="nil"/>
            </w:tcBorders>
            <w:shd w:val="clear" w:color="auto" w:fill="auto"/>
            <w:vAlign w:val="center"/>
          </w:tcPr>
          <w:p w14:paraId="5FA13AF5">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808" w:type="pct"/>
            <w:tcBorders>
              <w:tl2br w:val="nil"/>
              <w:tr2bl w:val="nil"/>
            </w:tcBorders>
            <w:shd w:val="clear" w:color="auto" w:fill="auto"/>
            <w:vAlign w:val="center"/>
          </w:tcPr>
          <w:p w14:paraId="744ED3A6">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1158" w:type="pct"/>
            <w:tcBorders>
              <w:tl2br w:val="nil"/>
              <w:tr2bl w:val="nil"/>
            </w:tcBorders>
            <w:shd w:val="clear" w:color="auto" w:fill="auto"/>
            <w:vAlign w:val="center"/>
          </w:tcPr>
          <w:p w14:paraId="6830855C">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533" w:type="pct"/>
            <w:tcBorders>
              <w:tl2br w:val="nil"/>
              <w:tr2bl w:val="nil"/>
            </w:tcBorders>
            <w:shd w:val="clear" w:color="auto" w:fill="auto"/>
            <w:vAlign w:val="center"/>
          </w:tcPr>
          <w:p w14:paraId="5D19952F">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eastAsia" w:ascii="宋体" w:hAnsi="宋体"/>
                <w:color w:val="000000"/>
                <w:szCs w:val="21"/>
                <w:highlight w:val="none"/>
              </w:rPr>
            </w:pPr>
            <w:r>
              <w:rPr>
                <w:rFonts w:hint="eastAsia" w:ascii="宋体" w:hAnsi="宋体"/>
                <w:color w:val="000000"/>
                <w:szCs w:val="21"/>
                <w:highlight w:val="none"/>
              </w:rPr>
              <w:t>P</w:t>
            </w:r>
          </w:p>
        </w:tc>
      </w:tr>
      <w:tr w14:paraId="7FD1D1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591" w:type="pct"/>
            <w:tcBorders>
              <w:tl2br w:val="nil"/>
              <w:tr2bl w:val="nil"/>
            </w:tcBorders>
            <w:shd w:val="clear" w:color="auto" w:fill="auto"/>
            <w:vAlign w:val="center"/>
          </w:tcPr>
          <w:p w14:paraId="0B28DC99">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eastAsia" w:ascii="宋体" w:hAnsi="宋体" w:eastAsiaTheme="minorEastAsia"/>
                <w:color w:val="000000"/>
                <w:szCs w:val="21"/>
                <w:highlight w:val="none"/>
                <w:lang w:val="en-US" w:eastAsia="zh-CN"/>
              </w:rPr>
            </w:pPr>
            <w:r>
              <w:rPr>
                <w:rFonts w:hint="eastAsia" w:ascii="宋体" w:hAnsi="宋体"/>
                <w:color w:val="000000"/>
                <w:szCs w:val="21"/>
                <w:highlight w:val="none"/>
                <w:lang w:val="en-US" w:eastAsia="zh-CN"/>
              </w:rPr>
              <w:t>8</w:t>
            </w:r>
          </w:p>
        </w:tc>
        <w:tc>
          <w:tcPr>
            <w:tcW w:w="1175" w:type="pct"/>
            <w:tcBorders>
              <w:tl2br w:val="nil"/>
              <w:tr2bl w:val="nil"/>
            </w:tcBorders>
            <w:shd w:val="clear" w:color="auto" w:fill="auto"/>
            <w:vAlign w:val="center"/>
          </w:tcPr>
          <w:p w14:paraId="7670B4C2">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732" w:type="pct"/>
            <w:tcBorders>
              <w:tl2br w:val="nil"/>
              <w:tr2bl w:val="nil"/>
            </w:tcBorders>
            <w:shd w:val="clear" w:color="auto" w:fill="auto"/>
            <w:vAlign w:val="center"/>
          </w:tcPr>
          <w:p w14:paraId="0F8C3EE7">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808" w:type="pct"/>
            <w:tcBorders>
              <w:tl2br w:val="nil"/>
              <w:tr2bl w:val="nil"/>
            </w:tcBorders>
            <w:shd w:val="clear" w:color="auto" w:fill="auto"/>
            <w:vAlign w:val="center"/>
          </w:tcPr>
          <w:p w14:paraId="7E18EF1E">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1158" w:type="pct"/>
            <w:tcBorders>
              <w:tl2br w:val="nil"/>
              <w:tr2bl w:val="nil"/>
            </w:tcBorders>
            <w:shd w:val="clear" w:color="auto" w:fill="auto"/>
            <w:vAlign w:val="center"/>
          </w:tcPr>
          <w:p w14:paraId="2F188345">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533" w:type="pct"/>
            <w:tcBorders>
              <w:tl2br w:val="nil"/>
              <w:tr2bl w:val="nil"/>
            </w:tcBorders>
            <w:shd w:val="clear" w:color="auto" w:fill="auto"/>
            <w:vAlign w:val="center"/>
          </w:tcPr>
          <w:p w14:paraId="3AD2D0E3">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eastAsia" w:ascii="宋体" w:hAnsi="宋体"/>
                <w:color w:val="000000"/>
                <w:szCs w:val="21"/>
                <w:highlight w:val="none"/>
              </w:rPr>
            </w:pPr>
            <w:r>
              <w:rPr>
                <w:rFonts w:hint="eastAsia" w:ascii="宋体" w:hAnsi="宋体"/>
                <w:color w:val="000000"/>
                <w:szCs w:val="21"/>
                <w:highlight w:val="none"/>
              </w:rPr>
              <w:t>P</w:t>
            </w:r>
          </w:p>
        </w:tc>
      </w:tr>
      <w:tr w14:paraId="513F67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591" w:type="pct"/>
            <w:tcBorders>
              <w:tl2br w:val="nil"/>
              <w:tr2bl w:val="nil"/>
            </w:tcBorders>
            <w:shd w:val="clear" w:color="auto" w:fill="auto"/>
            <w:vAlign w:val="center"/>
          </w:tcPr>
          <w:p w14:paraId="2A3BF7E5">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default" w:ascii="宋体" w:hAnsi="宋体" w:eastAsiaTheme="minorEastAsia"/>
                <w:color w:val="000000"/>
                <w:szCs w:val="21"/>
                <w:highlight w:val="none"/>
                <w:lang w:val="en-US" w:eastAsia="zh-CN"/>
              </w:rPr>
            </w:pPr>
            <w:r>
              <w:rPr>
                <w:rFonts w:hint="eastAsia" w:ascii="宋体" w:hAnsi="宋体"/>
                <w:color w:val="000000"/>
                <w:szCs w:val="21"/>
                <w:highlight w:val="none"/>
                <w:lang w:val="en-US" w:eastAsia="zh-CN"/>
              </w:rPr>
              <w:t>9</w:t>
            </w:r>
          </w:p>
        </w:tc>
        <w:tc>
          <w:tcPr>
            <w:tcW w:w="1175" w:type="pct"/>
            <w:tcBorders>
              <w:tl2br w:val="nil"/>
              <w:tr2bl w:val="nil"/>
            </w:tcBorders>
            <w:shd w:val="clear" w:color="auto" w:fill="auto"/>
            <w:vAlign w:val="center"/>
          </w:tcPr>
          <w:p w14:paraId="428D51C8">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732" w:type="pct"/>
            <w:tcBorders>
              <w:tl2br w:val="nil"/>
              <w:tr2bl w:val="nil"/>
            </w:tcBorders>
            <w:shd w:val="clear" w:color="auto" w:fill="auto"/>
            <w:vAlign w:val="center"/>
          </w:tcPr>
          <w:p w14:paraId="7C9C74C7">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808" w:type="pct"/>
            <w:tcBorders>
              <w:tl2br w:val="nil"/>
              <w:tr2bl w:val="nil"/>
            </w:tcBorders>
            <w:shd w:val="clear" w:color="auto" w:fill="auto"/>
            <w:vAlign w:val="center"/>
          </w:tcPr>
          <w:p w14:paraId="639C04BD">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1158" w:type="pct"/>
            <w:tcBorders>
              <w:tl2br w:val="nil"/>
              <w:tr2bl w:val="nil"/>
            </w:tcBorders>
            <w:shd w:val="clear" w:color="auto" w:fill="auto"/>
            <w:vAlign w:val="center"/>
          </w:tcPr>
          <w:p w14:paraId="1F087700">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533" w:type="pct"/>
            <w:tcBorders>
              <w:tl2br w:val="nil"/>
              <w:tr2bl w:val="nil"/>
            </w:tcBorders>
            <w:shd w:val="clear" w:color="auto" w:fill="auto"/>
            <w:vAlign w:val="center"/>
          </w:tcPr>
          <w:p w14:paraId="6FEDBDB1">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eastAsia" w:ascii="宋体" w:hAnsi="宋体"/>
                <w:color w:val="000000"/>
                <w:szCs w:val="21"/>
                <w:highlight w:val="none"/>
              </w:rPr>
            </w:pPr>
            <w:r>
              <w:rPr>
                <w:rFonts w:hint="eastAsia" w:ascii="宋体" w:hAnsi="宋体"/>
                <w:color w:val="000000"/>
                <w:szCs w:val="21"/>
                <w:highlight w:val="none"/>
              </w:rPr>
              <w:t>P</w:t>
            </w:r>
          </w:p>
        </w:tc>
      </w:tr>
      <w:tr w14:paraId="251861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591" w:type="pct"/>
            <w:tcBorders>
              <w:tl2br w:val="nil"/>
              <w:tr2bl w:val="nil"/>
            </w:tcBorders>
            <w:shd w:val="clear" w:color="auto" w:fill="auto"/>
            <w:vAlign w:val="center"/>
          </w:tcPr>
          <w:p w14:paraId="07AEAED7">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default" w:ascii="宋体" w:hAnsi="宋体" w:eastAsiaTheme="minorEastAsia"/>
                <w:color w:val="000000"/>
                <w:szCs w:val="21"/>
                <w:highlight w:val="none"/>
                <w:lang w:val="en-US" w:eastAsia="zh-CN"/>
              </w:rPr>
            </w:pPr>
            <w:r>
              <w:rPr>
                <w:rFonts w:hint="eastAsia" w:ascii="宋体" w:hAnsi="宋体"/>
                <w:color w:val="000000"/>
                <w:szCs w:val="21"/>
                <w:highlight w:val="none"/>
                <w:lang w:val="en-US" w:eastAsia="zh-CN"/>
              </w:rPr>
              <w:t>10</w:t>
            </w:r>
          </w:p>
        </w:tc>
        <w:tc>
          <w:tcPr>
            <w:tcW w:w="1175" w:type="pct"/>
            <w:tcBorders>
              <w:tl2br w:val="nil"/>
              <w:tr2bl w:val="nil"/>
            </w:tcBorders>
            <w:shd w:val="clear" w:color="auto" w:fill="auto"/>
            <w:vAlign w:val="center"/>
          </w:tcPr>
          <w:p w14:paraId="68AD834A">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732" w:type="pct"/>
            <w:tcBorders>
              <w:tl2br w:val="nil"/>
              <w:tr2bl w:val="nil"/>
            </w:tcBorders>
            <w:shd w:val="clear" w:color="auto" w:fill="auto"/>
            <w:vAlign w:val="center"/>
          </w:tcPr>
          <w:p w14:paraId="6F9589DF">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808" w:type="pct"/>
            <w:tcBorders>
              <w:tl2br w:val="nil"/>
              <w:tr2bl w:val="nil"/>
            </w:tcBorders>
            <w:shd w:val="clear" w:color="auto" w:fill="auto"/>
            <w:vAlign w:val="center"/>
          </w:tcPr>
          <w:p w14:paraId="00270AA3">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1158" w:type="pct"/>
            <w:tcBorders>
              <w:tl2br w:val="nil"/>
              <w:tr2bl w:val="nil"/>
            </w:tcBorders>
            <w:shd w:val="clear" w:color="auto" w:fill="auto"/>
            <w:vAlign w:val="center"/>
          </w:tcPr>
          <w:p w14:paraId="26C240D6">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533" w:type="pct"/>
            <w:tcBorders>
              <w:tl2br w:val="nil"/>
              <w:tr2bl w:val="nil"/>
            </w:tcBorders>
            <w:shd w:val="clear" w:color="auto" w:fill="auto"/>
            <w:vAlign w:val="center"/>
          </w:tcPr>
          <w:p w14:paraId="74A00098">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eastAsia" w:ascii="宋体" w:hAnsi="宋体"/>
                <w:color w:val="000000"/>
                <w:szCs w:val="21"/>
                <w:highlight w:val="none"/>
              </w:rPr>
            </w:pPr>
            <w:r>
              <w:rPr>
                <w:rFonts w:hint="eastAsia" w:ascii="宋体" w:hAnsi="宋体"/>
                <w:color w:val="000000"/>
                <w:szCs w:val="21"/>
                <w:highlight w:val="none"/>
              </w:rPr>
              <w:t>P</w:t>
            </w:r>
          </w:p>
        </w:tc>
      </w:tr>
      <w:tr w14:paraId="1A2394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591" w:type="pct"/>
            <w:tcBorders>
              <w:tl2br w:val="nil"/>
              <w:tr2bl w:val="nil"/>
            </w:tcBorders>
            <w:shd w:val="clear" w:color="auto" w:fill="auto"/>
            <w:vAlign w:val="center"/>
          </w:tcPr>
          <w:p w14:paraId="1ED01322">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default" w:ascii="宋体" w:hAnsi="宋体" w:eastAsiaTheme="minorEastAsia"/>
                <w:color w:val="000000"/>
                <w:szCs w:val="21"/>
                <w:highlight w:val="none"/>
                <w:lang w:val="en-US" w:eastAsia="zh-CN"/>
              </w:rPr>
            </w:pPr>
            <w:r>
              <w:rPr>
                <w:rFonts w:hint="eastAsia" w:ascii="宋体" w:hAnsi="宋体"/>
                <w:color w:val="000000"/>
                <w:szCs w:val="21"/>
                <w:highlight w:val="none"/>
                <w:lang w:val="en-US" w:eastAsia="zh-CN"/>
              </w:rPr>
              <w:t>....</w:t>
            </w:r>
          </w:p>
        </w:tc>
        <w:tc>
          <w:tcPr>
            <w:tcW w:w="1175" w:type="pct"/>
            <w:tcBorders>
              <w:tl2br w:val="nil"/>
              <w:tr2bl w:val="nil"/>
            </w:tcBorders>
            <w:shd w:val="clear" w:color="auto" w:fill="auto"/>
            <w:vAlign w:val="center"/>
          </w:tcPr>
          <w:p w14:paraId="64D4300C">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732" w:type="pct"/>
            <w:tcBorders>
              <w:tl2br w:val="nil"/>
              <w:tr2bl w:val="nil"/>
            </w:tcBorders>
            <w:shd w:val="clear" w:color="auto" w:fill="auto"/>
            <w:vAlign w:val="center"/>
          </w:tcPr>
          <w:p w14:paraId="25A84195">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808" w:type="pct"/>
            <w:tcBorders>
              <w:tl2br w:val="nil"/>
              <w:tr2bl w:val="nil"/>
            </w:tcBorders>
            <w:shd w:val="clear" w:color="auto" w:fill="auto"/>
            <w:vAlign w:val="center"/>
          </w:tcPr>
          <w:p w14:paraId="74EBBF00">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1158" w:type="pct"/>
            <w:tcBorders>
              <w:tl2br w:val="nil"/>
              <w:tr2bl w:val="nil"/>
            </w:tcBorders>
            <w:shd w:val="clear" w:color="auto" w:fill="auto"/>
            <w:vAlign w:val="center"/>
          </w:tcPr>
          <w:p w14:paraId="26BAADBC">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ascii="宋体" w:hAnsi="宋体"/>
                <w:color w:val="000000"/>
                <w:szCs w:val="21"/>
                <w:highlight w:val="none"/>
              </w:rPr>
            </w:pPr>
          </w:p>
        </w:tc>
        <w:tc>
          <w:tcPr>
            <w:tcW w:w="533" w:type="pct"/>
            <w:tcBorders>
              <w:tl2br w:val="nil"/>
              <w:tr2bl w:val="nil"/>
            </w:tcBorders>
            <w:shd w:val="clear" w:color="auto" w:fill="auto"/>
            <w:vAlign w:val="center"/>
          </w:tcPr>
          <w:p w14:paraId="5E7113A9">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eastAsia" w:ascii="宋体" w:hAnsi="宋体"/>
                <w:color w:val="000000"/>
                <w:szCs w:val="21"/>
                <w:highlight w:val="none"/>
              </w:rPr>
            </w:pPr>
          </w:p>
        </w:tc>
      </w:tr>
    </w:tbl>
    <w:p w14:paraId="350B845E">
      <w:pPr>
        <w:keepNext w:val="0"/>
        <w:keepLines w:val="0"/>
        <w:pageBreakBefore w:val="0"/>
        <w:widowControl w:val="0"/>
        <w:kinsoku/>
        <w:wordWrap/>
        <w:overflowPunct/>
        <w:topLinePunct w:val="0"/>
        <w:autoSpaceDE w:val="0"/>
        <w:autoSpaceDN w:val="0"/>
        <w:bidi w:val="0"/>
        <w:adjustRightInd w:val="0"/>
        <w:snapToGrid w:val="0"/>
        <w:spacing w:line="280" w:lineRule="exact"/>
        <w:ind w:firstLine="482" w:firstLineChars="200"/>
        <w:textAlignment w:val="auto"/>
        <w:rPr>
          <w:rFonts w:hint="eastAsia" w:ascii="仿宋_GB2312" w:hAnsi="仿宋_GB2312" w:eastAsia="仿宋_GB2312" w:cs="仿宋_GB2312"/>
          <w:b/>
          <w:color w:val="000000"/>
          <w:sz w:val="24"/>
          <w:szCs w:val="24"/>
          <w:highlight w:val="none"/>
        </w:rPr>
      </w:pPr>
      <w:r>
        <w:rPr>
          <w:rFonts w:hint="eastAsia" w:ascii="仿宋_GB2312" w:hAnsi="仿宋_GB2312" w:eastAsia="仿宋_GB2312" w:cs="仿宋_GB2312"/>
          <w:b/>
          <w:color w:val="000000"/>
          <w:sz w:val="24"/>
          <w:szCs w:val="24"/>
          <w:highlight w:val="none"/>
          <w:lang w:val="en-US" w:eastAsia="zh-CN"/>
        </w:rPr>
        <w:t>说明</w:t>
      </w:r>
      <w:r>
        <w:rPr>
          <w:rFonts w:hint="eastAsia" w:ascii="仿宋_GB2312" w:hAnsi="仿宋_GB2312" w:eastAsia="仿宋_GB2312" w:cs="仿宋_GB2312"/>
          <w:b/>
          <w:color w:val="000000"/>
          <w:sz w:val="24"/>
          <w:szCs w:val="24"/>
          <w:highlight w:val="none"/>
        </w:rPr>
        <w:t>：</w:t>
      </w:r>
    </w:p>
    <w:p w14:paraId="57C1F753">
      <w:pPr>
        <w:keepNext w:val="0"/>
        <w:keepLines w:val="0"/>
        <w:pageBreakBefore w:val="0"/>
        <w:widowControl w:val="0"/>
        <w:kinsoku/>
        <w:wordWrap/>
        <w:overflowPunct/>
        <w:topLinePunct w:val="0"/>
        <w:autoSpaceDE w:val="0"/>
        <w:autoSpaceDN w:val="0"/>
        <w:bidi w:val="0"/>
        <w:adjustRightInd w:val="0"/>
        <w:snapToGrid w:val="0"/>
        <w:spacing w:line="280" w:lineRule="exact"/>
        <w:ind w:firstLine="480" w:firstLineChars="200"/>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b w:val="0"/>
          <w:bCs w:val="0"/>
          <w:color w:val="000000"/>
          <w:sz w:val="24"/>
          <w:szCs w:val="24"/>
          <w:highlight w:val="none"/>
        </w:rPr>
        <w:t>1.投</w:t>
      </w:r>
      <w:r>
        <w:rPr>
          <w:rFonts w:hint="eastAsia" w:ascii="仿宋_GB2312" w:hAnsi="仿宋_GB2312" w:eastAsia="仿宋_GB2312" w:cs="仿宋_GB2312"/>
          <w:color w:val="000000"/>
          <w:sz w:val="24"/>
          <w:szCs w:val="24"/>
          <w:highlight w:val="none"/>
        </w:rPr>
        <w:t>标人根据招标文件业绩部分评分标准仔细填写，并填写页码，已供评标</w:t>
      </w:r>
      <w:r>
        <w:rPr>
          <w:rFonts w:hint="eastAsia" w:ascii="仿宋_GB2312" w:hAnsi="仿宋_GB2312" w:eastAsia="仿宋_GB2312" w:cs="仿宋_GB2312"/>
          <w:color w:val="000000"/>
          <w:sz w:val="24"/>
          <w:szCs w:val="24"/>
          <w:highlight w:val="none"/>
          <w:lang w:val="en-US" w:eastAsia="zh-CN"/>
        </w:rPr>
        <w:t>专家</w:t>
      </w:r>
      <w:r>
        <w:rPr>
          <w:rFonts w:hint="eastAsia" w:ascii="仿宋_GB2312" w:hAnsi="仿宋_GB2312" w:eastAsia="仿宋_GB2312" w:cs="仿宋_GB2312"/>
          <w:color w:val="000000"/>
          <w:sz w:val="24"/>
          <w:szCs w:val="24"/>
          <w:highlight w:val="none"/>
        </w:rPr>
        <w:t>查验</w:t>
      </w:r>
      <w:r>
        <w:rPr>
          <w:rFonts w:hint="eastAsia" w:ascii="仿宋_GB2312" w:hAnsi="仿宋_GB2312" w:eastAsia="仿宋_GB2312" w:cs="仿宋_GB2312"/>
          <w:color w:val="000000"/>
          <w:sz w:val="24"/>
          <w:szCs w:val="24"/>
          <w:highlight w:val="none"/>
          <w:lang w:eastAsia="zh-CN"/>
        </w:rPr>
        <w:t>。</w:t>
      </w:r>
    </w:p>
    <w:p w14:paraId="6EE47848">
      <w:pPr>
        <w:keepNext w:val="0"/>
        <w:keepLines w:val="0"/>
        <w:pageBreakBefore w:val="0"/>
        <w:widowControl w:val="0"/>
        <w:kinsoku/>
        <w:wordWrap/>
        <w:overflowPunct/>
        <w:topLinePunct w:val="0"/>
        <w:autoSpaceDE w:val="0"/>
        <w:autoSpaceDN w:val="0"/>
        <w:bidi w:val="0"/>
        <w:adjustRightInd w:val="0"/>
        <w:snapToGrid w:val="0"/>
        <w:spacing w:line="280" w:lineRule="exact"/>
        <w:ind w:firstLine="480" w:firstLineChars="200"/>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2.上述业绩必须为真实有效，如发现业绩不符，投标人3年内不得参与招标人的其他采购项目，本次投标作废标处理</w:t>
      </w:r>
      <w:r>
        <w:rPr>
          <w:rFonts w:hint="eastAsia" w:ascii="仿宋_GB2312" w:hAnsi="仿宋_GB2312" w:eastAsia="仿宋_GB2312" w:cs="仿宋_GB2312"/>
          <w:color w:val="000000"/>
          <w:sz w:val="24"/>
          <w:szCs w:val="24"/>
          <w:highlight w:val="none"/>
          <w:lang w:eastAsia="zh-CN"/>
        </w:rPr>
        <w:t>。</w:t>
      </w:r>
    </w:p>
    <w:p w14:paraId="348018BF">
      <w:pPr>
        <w:keepNext w:val="0"/>
        <w:keepLines w:val="0"/>
        <w:pageBreakBefore w:val="0"/>
        <w:widowControl w:val="0"/>
        <w:kinsoku/>
        <w:wordWrap/>
        <w:overflowPunct/>
        <w:topLinePunct w:val="0"/>
        <w:autoSpaceDE w:val="0"/>
        <w:autoSpaceDN w:val="0"/>
        <w:bidi w:val="0"/>
        <w:adjustRightInd w:val="0"/>
        <w:snapToGrid w:val="0"/>
        <w:spacing w:line="280" w:lineRule="exact"/>
        <w:ind w:firstLine="480" w:firstLineChars="200"/>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sz w:val="24"/>
          <w:szCs w:val="28"/>
          <w:highlight w:val="none"/>
        </w:rPr>
        <w:t>3</w:t>
      </w:r>
      <w:r>
        <w:rPr>
          <w:rFonts w:hint="eastAsia" w:ascii="仿宋_GB2312" w:hAnsi="仿宋_GB2312" w:eastAsia="仿宋_GB2312" w:cs="仿宋_GB2312"/>
          <w:color w:val="000000"/>
          <w:sz w:val="24"/>
          <w:szCs w:val="24"/>
          <w:highlight w:val="none"/>
        </w:rPr>
        <w:t>.证明材料附在本表后即可。</w:t>
      </w:r>
    </w:p>
    <w:p w14:paraId="060FB6B1">
      <w:pPr>
        <w:keepNext w:val="0"/>
        <w:keepLines w:val="0"/>
        <w:pageBreakBefore w:val="0"/>
        <w:widowControl w:val="0"/>
        <w:kinsoku/>
        <w:wordWrap/>
        <w:overflowPunct/>
        <w:topLinePunct w:val="0"/>
        <w:autoSpaceDE w:val="0"/>
        <w:autoSpaceDN w:val="0"/>
        <w:bidi w:val="0"/>
        <w:adjustRightInd w:val="0"/>
        <w:snapToGrid w:val="0"/>
        <w:ind w:firstLine="420" w:firstLineChars="200"/>
        <w:textAlignment w:val="auto"/>
        <w:rPr>
          <w:rFonts w:hint="eastAsia" w:ascii="宋体" w:hAnsi="宋体"/>
          <w:color w:val="000000"/>
          <w:szCs w:val="21"/>
          <w:highlight w:val="none"/>
        </w:rPr>
      </w:pPr>
    </w:p>
    <w:p w14:paraId="5BB22801">
      <w:pPr>
        <w:keepNext w:val="0"/>
        <w:keepLines w:val="0"/>
        <w:pageBreakBefore w:val="0"/>
        <w:widowControl w:val="0"/>
        <w:kinsoku/>
        <w:wordWrap/>
        <w:overflowPunct/>
        <w:topLinePunct w:val="0"/>
        <w:autoSpaceDE w:val="0"/>
        <w:autoSpaceDN w:val="0"/>
        <w:bidi w:val="0"/>
        <w:adjustRightInd w:val="0"/>
        <w:snapToGrid w:val="0"/>
        <w:ind w:firstLine="420" w:firstLineChars="200"/>
        <w:textAlignment w:val="auto"/>
        <w:rPr>
          <w:rFonts w:hint="eastAsia" w:ascii="宋体" w:hAnsi="宋体"/>
          <w:color w:val="000000"/>
          <w:szCs w:val="21"/>
          <w:highlight w:val="none"/>
        </w:rPr>
      </w:pPr>
    </w:p>
    <w:p w14:paraId="149CA4A4">
      <w:pPr>
        <w:keepNext w:val="0"/>
        <w:keepLines w:val="0"/>
        <w:pageBreakBefore w:val="0"/>
        <w:widowControl w:val="0"/>
        <w:kinsoku/>
        <w:wordWrap/>
        <w:overflowPunct/>
        <w:topLinePunct w:val="0"/>
        <w:autoSpaceDE w:val="0"/>
        <w:autoSpaceDN w:val="0"/>
        <w:bidi w:val="0"/>
        <w:adjustRightInd w:val="0"/>
        <w:snapToGrid w:val="0"/>
        <w:ind w:firstLine="420" w:firstLineChars="200"/>
        <w:textAlignment w:val="auto"/>
        <w:rPr>
          <w:rFonts w:hint="eastAsia" w:ascii="宋体" w:hAnsi="宋体"/>
          <w:color w:val="000000"/>
          <w:szCs w:val="21"/>
          <w:highlight w:val="none"/>
        </w:rPr>
      </w:pPr>
    </w:p>
    <w:p w14:paraId="583021EB">
      <w:pPr>
        <w:keepNext w:val="0"/>
        <w:keepLines w:val="0"/>
        <w:pageBreakBefore w:val="0"/>
        <w:widowControl w:val="0"/>
        <w:kinsoku/>
        <w:wordWrap/>
        <w:overflowPunct/>
        <w:topLinePunct w:val="0"/>
        <w:autoSpaceDE w:val="0"/>
        <w:autoSpaceDN w:val="0"/>
        <w:bidi w:val="0"/>
        <w:adjustRightInd w:val="0"/>
        <w:snapToGrid w:val="0"/>
        <w:ind w:firstLine="420" w:firstLineChars="200"/>
        <w:textAlignment w:val="auto"/>
        <w:rPr>
          <w:rFonts w:hint="eastAsia" w:ascii="宋体" w:hAnsi="宋体"/>
          <w:color w:val="000000"/>
          <w:szCs w:val="21"/>
          <w:highlight w:val="none"/>
        </w:rPr>
      </w:pPr>
    </w:p>
    <w:p w14:paraId="16378B76">
      <w:pPr>
        <w:keepNext w:val="0"/>
        <w:keepLines w:val="0"/>
        <w:pageBreakBefore w:val="0"/>
        <w:widowControl w:val="0"/>
        <w:kinsoku/>
        <w:wordWrap/>
        <w:overflowPunct/>
        <w:topLinePunct w:val="0"/>
        <w:autoSpaceDE w:val="0"/>
        <w:autoSpaceDN w:val="0"/>
        <w:bidi w:val="0"/>
        <w:adjustRightInd w:val="0"/>
        <w:snapToGrid w:val="0"/>
        <w:ind w:firstLine="420" w:firstLineChars="200"/>
        <w:textAlignment w:val="auto"/>
        <w:rPr>
          <w:rFonts w:hint="eastAsia" w:ascii="宋体" w:hAnsi="宋体"/>
          <w:color w:val="000000"/>
          <w:szCs w:val="21"/>
          <w:highlight w:val="none"/>
        </w:rPr>
      </w:pPr>
    </w:p>
    <w:p w14:paraId="797DD865">
      <w:pPr>
        <w:keepNext w:val="0"/>
        <w:keepLines w:val="0"/>
        <w:pageBreakBefore w:val="0"/>
        <w:widowControl w:val="0"/>
        <w:kinsoku/>
        <w:wordWrap/>
        <w:overflowPunct/>
        <w:topLinePunct w:val="0"/>
        <w:autoSpaceDE w:val="0"/>
        <w:autoSpaceDN w:val="0"/>
        <w:bidi w:val="0"/>
        <w:adjustRightInd w:val="0"/>
        <w:snapToGrid w:val="0"/>
        <w:ind w:firstLine="420" w:firstLineChars="200"/>
        <w:textAlignment w:val="auto"/>
        <w:rPr>
          <w:rFonts w:hint="eastAsia" w:ascii="宋体" w:hAnsi="宋体"/>
          <w:color w:val="000000"/>
          <w:szCs w:val="21"/>
          <w:highlight w:val="none"/>
        </w:rPr>
      </w:pPr>
    </w:p>
    <w:p w14:paraId="2BACE59D">
      <w:pPr>
        <w:keepNext w:val="0"/>
        <w:keepLines w:val="0"/>
        <w:pageBreakBefore w:val="0"/>
        <w:widowControl w:val="0"/>
        <w:kinsoku/>
        <w:wordWrap/>
        <w:overflowPunct/>
        <w:topLinePunct w:val="0"/>
        <w:autoSpaceDE w:val="0"/>
        <w:autoSpaceDN w:val="0"/>
        <w:bidi w:val="0"/>
        <w:adjustRightInd w:val="0"/>
        <w:snapToGrid w:val="0"/>
        <w:ind w:firstLine="420" w:firstLineChars="200"/>
        <w:textAlignment w:val="auto"/>
        <w:rPr>
          <w:rFonts w:hint="eastAsia" w:ascii="宋体" w:hAnsi="宋体"/>
          <w:color w:val="000000"/>
          <w:szCs w:val="21"/>
          <w:highlight w:val="none"/>
        </w:rPr>
      </w:pPr>
    </w:p>
    <w:p w14:paraId="5AEBDDB7">
      <w:pPr>
        <w:keepNext w:val="0"/>
        <w:keepLines w:val="0"/>
        <w:pageBreakBefore w:val="0"/>
        <w:widowControl w:val="0"/>
        <w:kinsoku/>
        <w:wordWrap/>
        <w:overflowPunct/>
        <w:topLinePunct w:val="0"/>
        <w:autoSpaceDE w:val="0"/>
        <w:autoSpaceDN w:val="0"/>
        <w:bidi w:val="0"/>
        <w:adjustRightInd w:val="0"/>
        <w:snapToGrid w:val="0"/>
        <w:ind w:firstLine="420" w:firstLineChars="200"/>
        <w:textAlignment w:val="auto"/>
        <w:rPr>
          <w:rFonts w:hint="eastAsia" w:ascii="宋体" w:hAnsi="宋体"/>
          <w:color w:val="000000"/>
          <w:szCs w:val="21"/>
          <w:highlight w:val="none"/>
        </w:rPr>
      </w:pPr>
    </w:p>
    <w:p w14:paraId="2112B56F">
      <w:pPr>
        <w:keepNext w:val="0"/>
        <w:keepLines w:val="0"/>
        <w:pageBreakBefore w:val="0"/>
        <w:widowControl w:val="0"/>
        <w:kinsoku/>
        <w:wordWrap/>
        <w:overflowPunct/>
        <w:topLinePunct w:val="0"/>
        <w:autoSpaceDE w:val="0"/>
        <w:autoSpaceDN w:val="0"/>
        <w:bidi w:val="0"/>
        <w:adjustRightInd w:val="0"/>
        <w:snapToGrid w:val="0"/>
        <w:ind w:firstLine="420" w:firstLineChars="200"/>
        <w:textAlignment w:val="auto"/>
        <w:rPr>
          <w:rFonts w:hint="eastAsia" w:ascii="宋体" w:hAnsi="宋体"/>
          <w:color w:val="000000"/>
          <w:szCs w:val="21"/>
          <w:highlight w:val="none"/>
        </w:rPr>
      </w:pPr>
    </w:p>
    <w:p w14:paraId="12FAD6E8">
      <w:pPr>
        <w:keepNext w:val="0"/>
        <w:keepLines w:val="0"/>
        <w:pageBreakBefore w:val="0"/>
        <w:widowControl w:val="0"/>
        <w:kinsoku/>
        <w:wordWrap/>
        <w:overflowPunct/>
        <w:topLinePunct w:val="0"/>
        <w:autoSpaceDE w:val="0"/>
        <w:autoSpaceDN w:val="0"/>
        <w:bidi w:val="0"/>
        <w:adjustRightInd w:val="0"/>
        <w:snapToGrid w:val="0"/>
        <w:ind w:firstLine="420" w:firstLineChars="200"/>
        <w:textAlignment w:val="auto"/>
        <w:rPr>
          <w:rFonts w:hint="eastAsia" w:ascii="宋体" w:hAnsi="宋体"/>
          <w:color w:val="000000"/>
          <w:szCs w:val="21"/>
          <w:highlight w:val="none"/>
        </w:rPr>
      </w:pPr>
    </w:p>
    <w:p w14:paraId="65E36C7C">
      <w:pPr>
        <w:keepNext w:val="0"/>
        <w:keepLines w:val="0"/>
        <w:pageBreakBefore w:val="0"/>
        <w:widowControl w:val="0"/>
        <w:kinsoku/>
        <w:wordWrap/>
        <w:overflowPunct/>
        <w:topLinePunct w:val="0"/>
        <w:autoSpaceDE w:val="0"/>
        <w:autoSpaceDN w:val="0"/>
        <w:bidi w:val="0"/>
        <w:adjustRightInd w:val="0"/>
        <w:snapToGrid w:val="0"/>
        <w:ind w:firstLine="420" w:firstLineChars="200"/>
        <w:textAlignment w:val="auto"/>
        <w:rPr>
          <w:rFonts w:hint="eastAsia" w:ascii="宋体" w:hAnsi="宋体"/>
          <w:color w:val="000000"/>
          <w:szCs w:val="21"/>
          <w:highlight w:val="none"/>
        </w:rPr>
      </w:pPr>
    </w:p>
    <w:p w14:paraId="7FC9DD8C">
      <w:pPr>
        <w:keepNext w:val="0"/>
        <w:keepLines w:val="0"/>
        <w:pageBreakBefore w:val="0"/>
        <w:widowControl w:val="0"/>
        <w:kinsoku/>
        <w:wordWrap/>
        <w:overflowPunct/>
        <w:topLinePunct w:val="0"/>
        <w:autoSpaceDE w:val="0"/>
        <w:autoSpaceDN w:val="0"/>
        <w:bidi w:val="0"/>
        <w:adjustRightInd w:val="0"/>
        <w:snapToGrid w:val="0"/>
        <w:ind w:firstLine="420" w:firstLineChars="200"/>
        <w:textAlignment w:val="auto"/>
        <w:rPr>
          <w:rFonts w:hint="eastAsia" w:ascii="宋体" w:hAnsi="宋体"/>
          <w:color w:val="000000"/>
          <w:szCs w:val="21"/>
          <w:highlight w:val="none"/>
        </w:rPr>
      </w:pPr>
    </w:p>
    <w:p w14:paraId="2B70F1CA">
      <w:pPr>
        <w:keepNext w:val="0"/>
        <w:keepLines w:val="0"/>
        <w:pageBreakBefore w:val="0"/>
        <w:widowControl w:val="0"/>
        <w:kinsoku/>
        <w:wordWrap/>
        <w:overflowPunct/>
        <w:topLinePunct w:val="0"/>
        <w:autoSpaceDE w:val="0"/>
        <w:autoSpaceDN w:val="0"/>
        <w:bidi w:val="0"/>
        <w:adjustRightInd w:val="0"/>
        <w:snapToGrid w:val="0"/>
        <w:ind w:firstLine="420" w:firstLineChars="200"/>
        <w:textAlignment w:val="auto"/>
        <w:rPr>
          <w:rFonts w:hint="eastAsia" w:ascii="宋体" w:hAnsi="宋体"/>
          <w:color w:val="000000"/>
          <w:szCs w:val="21"/>
          <w:highlight w:val="none"/>
        </w:rPr>
      </w:pPr>
    </w:p>
    <w:p w14:paraId="0D046694">
      <w:pPr>
        <w:keepNext w:val="0"/>
        <w:keepLines w:val="0"/>
        <w:pageBreakBefore w:val="0"/>
        <w:widowControl w:val="0"/>
        <w:kinsoku/>
        <w:wordWrap/>
        <w:overflowPunct/>
        <w:topLinePunct w:val="0"/>
        <w:autoSpaceDE w:val="0"/>
        <w:autoSpaceDN w:val="0"/>
        <w:bidi w:val="0"/>
        <w:adjustRightInd w:val="0"/>
        <w:snapToGrid w:val="0"/>
        <w:ind w:firstLine="420" w:firstLineChars="200"/>
        <w:textAlignment w:val="auto"/>
        <w:rPr>
          <w:rFonts w:hint="eastAsia" w:ascii="宋体" w:hAnsi="宋体"/>
          <w:color w:val="000000"/>
          <w:szCs w:val="21"/>
          <w:highlight w:val="none"/>
        </w:rPr>
      </w:pPr>
    </w:p>
    <w:p w14:paraId="2534BC40">
      <w:pPr>
        <w:rPr>
          <w:rFonts w:hint="eastAsia"/>
          <w:highlight w:val="none"/>
        </w:rPr>
      </w:pPr>
    </w:p>
    <w:p w14:paraId="31D092CF">
      <w:pPr>
        <w:pStyle w:val="5"/>
        <w:ind w:firstLine="0" w:firstLineChars="0"/>
        <w:jc w:val="left"/>
        <w:rPr>
          <w:rFonts w:hint="eastAsia" w:ascii="Times New Roman" w:hAnsi="Times New Roman" w:eastAsia="黑体" w:cs="黑体"/>
          <w:b w:val="0"/>
          <w:bCs/>
          <w:sz w:val="24"/>
          <w:szCs w:val="28"/>
          <w:highlight w:val="none"/>
        </w:rPr>
      </w:pPr>
      <w:bookmarkStart w:id="80" w:name="_Toc18690"/>
      <w:r>
        <w:rPr>
          <w:rFonts w:hint="eastAsia" w:ascii="Times New Roman" w:hAnsi="Times New Roman" w:eastAsia="黑体" w:cs="黑体"/>
          <w:b w:val="0"/>
          <w:bCs/>
          <w:sz w:val="24"/>
          <w:szCs w:val="28"/>
          <w:highlight w:val="none"/>
        </w:rPr>
        <w:t>格式</w:t>
      </w:r>
      <w:r>
        <w:rPr>
          <w:rFonts w:hint="eastAsia" w:ascii="Times New Roman" w:hAnsi="Times New Roman" w:eastAsia="黑体" w:cs="黑体"/>
          <w:b w:val="0"/>
          <w:bCs/>
          <w:sz w:val="24"/>
          <w:szCs w:val="28"/>
          <w:highlight w:val="none"/>
          <w:lang w:val="en-US" w:eastAsia="zh-CN"/>
        </w:rPr>
        <w:t>4</w:t>
      </w:r>
      <w:r>
        <w:rPr>
          <w:rFonts w:hint="eastAsia" w:ascii="Times New Roman" w:hAnsi="Times New Roman" w:eastAsia="黑体" w:cs="黑体"/>
          <w:b w:val="0"/>
          <w:bCs/>
          <w:sz w:val="24"/>
          <w:szCs w:val="28"/>
          <w:highlight w:val="none"/>
        </w:rPr>
        <w:t>: 体检套餐及项目清单</w:t>
      </w:r>
      <w:bookmarkEnd w:id="80"/>
    </w:p>
    <w:p w14:paraId="370E29B0">
      <w:pPr>
        <w:keepNext w:val="0"/>
        <w:keepLines w:val="0"/>
        <w:pageBreakBefore w:val="0"/>
        <w:widowControl w:val="0"/>
        <w:kinsoku/>
        <w:wordWrap/>
        <w:overflowPunct/>
        <w:topLinePunct w:val="0"/>
        <w:autoSpaceDE/>
        <w:autoSpaceDN/>
        <w:bidi w:val="0"/>
        <w:adjustRightInd/>
        <w:snapToGrid/>
        <w:spacing w:line="280" w:lineRule="exact"/>
        <w:ind w:firstLine="480" w:firstLineChars="200"/>
        <w:textAlignment w:val="auto"/>
        <w:rPr>
          <w:rFonts w:hint="eastAsia" w:ascii="仿宋_GB2312" w:hAnsi="仿宋_GB2312" w:eastAsia="仿宋_GB2312" w:cs="仿宋_GB2312"/>
          <w:b w:val="0"/>
          <w:bCs/>
          <w:sz w:val="24"/>
          <w:szCs w:val="24"/>
          <w:highlight w:val="none"/>
        </w:rPr>
      </w:pPr>
      <w:r>
        <w:rPr>
          <w:rFonts w:hint="eastAsia" w:ascii="仿宋_GB2312" w:hAnsi="仿宋_GB2312" w:eastAsia="仿宋_GB2312" w:cs="仿宋_GB2312"/>
          <w:b w:val="0"/>
          <w:bCs/>
          <w:sz w:val="24"/>
          <w:szCs w:val="24"/>
          <w:highlight w:val="none"/>
        </w:rPr>
        <w:t>说明：</w:t>
      </w:r>
    </w:p>
    <w:p w14:paraId="7B9D3572">
      <w:pPr>
        <w:keepNext w:val="0"/>
        <w:keepLines w:val="0"/>
        <w:pageBreakBefore w:val="0"/>
        <w:widowControl w:val="0"/>
        <w:kinsoku/>
        <w:wordWrap/>
        <w:overflowPunct/>
        <w:topLinePunct w:val="0"/>
        <w:autoSpaceDE/>
        <w:autoSpaceDN/>
        <w:bidi w:val="0"/>
        <w:adjustRightInd/>
        <w:snapToGrid/>
        <w:spacing w:line="280" w:lineRule="exact"/>
        <w:ind w:firstLine="482" w:firstLineChars="200"/>
        <w:textAlignment w:val="auto"/>
        <w:rPr>
          <w:rFonts w:hint="eastAsia" w:ascii="仿宋_GB2312" w:hAnsi="仿宋_GB2312" w:eastAsia="仿宋_GB2312" w:cs="仿宋_GB2312"/>
          <w:b/>
          <w:bCs/>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1.投标人可根据本表所示基准项目上自行增加或提出更优方案，不得擅自减少、变更本表基准项目内容或降低标准，投标人仅接受优于项目表的项目清单，否则将导致投标无效</w:t>
      </w:r>
      <w:r>
        <w:rPr>
          <w:rFonts w:hint="eastAsia" w:ascii="仿宋_GB2312" w:hAnsi="仿宋_GB2312" w:eastAsia="仿宋_GB2312" w:cs="仿宋_GB2312"/>
          <w:b/>
          <w:bCs/>
          <w:color w:val="000000"/>
          <w:kern w:val="0"/>
          <w:sz w:val="24"/>
          <w:szCs w:val="24"/>
          <w:highlight w:val="none"/>
        </w:rPr>
        <w:t>；</w:t>
      </w:r>
    </w:p>
    <w:p w14:paraId="0D7DD279">
      <w:pPr>
        <w:keepNext w:val="0"/>
        <w:keepLines w:val="0"/>
        <w:pageBreakBefore w:val="0"/>
        <w:widowControl w:val="0"/>
        <w:kinsoku/>
        <w:wordWrap/>
        <w:overflowPunct/>
        <w:topLinePunct w:val="0"/>
        <w:autoSpaceDE/>
        <w:autoSpaceDN/>
        <w:bidi w:val="0"/>
        <w:adjustRightInd/>
        <w:snapToGrid/>
        <w:spacing w:line="280" w:lineRule="exact"/>
        <w:ind w:firstLine="482" w:firstLineChars="200"/>
        <w:textAlignment w:val="auto"/>
        <w:rPr>
          <w:rFonts w:hint="eastAsia" w:ascii="仿宋_GB2312" w:hAnsi="仿宋_GB2312" w:eastAsia="仿宋_GB2312" w:cs="仿宋_GB2312"/>
          <w:b/>
          <w:bCs/>
          <w:color w:val="000000"/>
          <w:kern w:val="0"/>
          <w:sz w:val="24"/>
          <w:szCs w:val="24"/>
          <w:highlight w:val="none"/>
          <w:lang w:eastAsia="zh-CN"/>
        </w:rPr>
      </w:pPr>
      <w:r>
        <w:rPr>
          <w:rFonts w:hint="eastAsia" w:ascii="仿宋_GB2312" w:hAnsi="仿宋_GB2312" w:eastAsia="仿宋_GB2312" w:cs="仿宋_GB2312"/>
          <w:b/>
          <w:bCs/>
          <w:color w:val="000000"/>
          <w:kern w:val="0"/>
          <w:sz w:val="24"/>
          <w:szCs w:val="24"/>
          <w:highlight w:val="none"/>
          <w:lang w:val="en-US" w:eastAsia="zh-CN"/>
        </w:rPr>
        <w:t>2.</w:t>
      </w:r>
      <w:r>
        <w:rPr>
          <w:rFonts w:hint="eastAsia" w:ascii="仿宋_GB2312" w:hAnsi="仿宋_GB2312" w:eastAsia="仿宋_GB2312" w:cs="仿宋_GB2312"/>
          <w:b/>
          <w:bCs/>
          <w:color w:val="000000"/>
          <w:kern w:val="0"/>
          <w:sz w:val="24"/>
          <w:szCs w:val="24"/>
          <w:highlight w:val="none"/>
        </w:rPr>
        <w:t>招标人认可报价文件与本表所承诺的服务（包括服务优化承诺）一致，如内容不一致的，按有利于招标人及招标人外派员工利益的理解执行</w:t>
      </w:r>
      <w:r>
        <w:rPr>
          <w:rFonts w:hint="eastAsia" w:ascii="仿宋_GB2312" w:hAnsi="仿宋_GB2312" w:eastAsia="仿宋_GB2312" w:cs="仿宋_GB2312"/>
          <w:b/>
          <w:bCs/>
          <w:color w:val="000000"/>
          <w:kern w:val="0"/>
          <w:sz w:val="24"/>
          <w:szCs w:val="24"/>
          <w:highlight w:val="none"/>
          <w:lang w:eastAsia="zh-CN"/>
        </w:rPr>
        <w:t>；</w:t>
      </w:r>
    </w:p>
    <w:p w14:paraId="2BBE7E04">
      <w:pPr>
        <w:keepNext w:val="0"/>
        <w:keepLines w:val="0"/>
        <w:pageBreakBefore w:val="0"/>
        <w:widowControl w:val="0"/>
        <w:kinsoku/>
        <w:wordWrap/>
        <w:overflowPunct/>
        <w:topLinePunct w:val="0"/>
        <w:autoSpaceDE/>
        <w:autoSpaceDN/>
        <w:bidi w:val="0"/>
        <w:adjustRightInd/>
        <w:snapToGrid/>
        <w:spacing w:line="280" w:lineRule="exact"/>
        <w:ind w:firstLine="480" w:firstLineChars="200"/>
        <w:textAlignment w:val="auto"/>
        <w:rPr>
          <w:rFonts w:hint="eastAsia" w:ascii="仿宋_GB2312" w:hAnsi="仿宋_GB2312" w:eastAsia="仿宋_GB2312" w:cs="仿宋_GB2312"/>
          <w:color w:val="000000"/>
          <w:kern w:val="0"/>
          <w:sz w:val="24"/>
          <w:szCs w:val="24"/>
          <w:highlight w:val="none"/>
          <w:lang w:eastAsia="zh-CN"/>
        </w:rPr>
      </w:pPr>
      <w:r>
        <w:rPr>
          <w:rFonts w:hint="eastAsia" w:ascii="仿宋_GB2312" w:hAnsi="仿宋_GB2312" w:eastAsia="仿宋_GB2312" w:cs="仿宋_GB2312"/>
          <w:color w:val="000000"/>
          <w:kern w:val="0"/>
          <w:sz w:val="24"/>
          <w:szCs w:val="24"/>
          <w:highlight w:val="none"/>
          <w:lang w:val="en-US" w:eastAsia="zh-CN"/>
        </w:rPr>
        <w:t>4</w:t>
      </w:r>
      <w:r>
        <w:rPr>
          <w:rFonts w:hint="eastAsia" w:ascii="仿宋_GB2312" w:hAnsi="仿宋_GB2312" w:eastAsia="仿宋_GB2312" w:cs="仿宋_GB2312"/>
          <w:color w:val="000000"/>
          <w:kern w:val="0"/>
          <w:sz w:val="24"/>
          <w:szCs w:val="24"/>
          <w:highlight w:val="none"/>
        </w:rPr>
        <w:t>.</w:t>
      </w:r>
      <w:r>
        <w:rPr>
          <w:rFonts w:hint="eastAsia" w:ascii="仿宋_GB2312" w:hAnsi="仿宋_GB2312" w:eastAsia="仿宋_GB2312" w:cs="仿宋_GB2312"/>
          <w:color w:val="000000"/>
          <w:kern w:val="0"/>
          <w:sz w:val="24"/>
          <w:szCs w:val="24"/>
          <w:highlight w:val="none"/>
          <w:lang w:val="en-US" w:eastAsia="zh-CN"/>
        </w:rPr>
        <w:t>投</w:t>
      </w:r>
      <w:r>
        <w:rPr>
          <w:rFonts w:hint="eastAsia" w:ascii="仿宋_GB2312" w:hAnsi="仿宋_GB2312" w:eastAsia="仿宋_GB2312" w:cs="仿宋_GB2312"/>
          <w:color w:val="000000"/>
          <w:kern w:val="0"/>
          <w:sz w:val="24"/>
          <w:szCs w:val="24"/>
          <w:highlight w:val="none"/>
        </w:rPr>
        <w:t>标人在基准项目要求外</w:t>
      </w:r>
      <w:r>
        <w:rPr>
          <w:rFonts w:hint="eastAsia" w:ascii="仿宋_GB2312" w:hAnsi="仿宋_GB2312" w:eastAsia="仿宋_GB2312" w:cs="仿宋_GB2312"/>
          <w:color w:val="000000"/>
          <w:kern w:val="0"/>
          <w:sz w:val="24"/>
          <w:szCs w:val="24"/>
          <w:highlight w:val="none"/>
          <w:lang w:val="en-US" w:eastAsia="zh-CN"/>
        </w:rPr>
        <w:t>可以</w:t>
      </w:r>
      <w:r>
        <w:rPr>
          <w:rFonts w:hint="eastAsia" w:ascii="仿宋_GB2312" w:hAnsi="仿宋_GB2312" w:eastAsia="仿宋_GB2312" w:cs="仿宋_GB2312"/>
          <w:color w:val="000000"/>
          <w:kern w:val="0"/>
          <w:sz w:val="24"/>
          <w:szCs w:val="24"/>
          <w:highlight w:val="none"/>
        </w:rPr>
        <w:t>增加体检项目的，按本表格式于“增加项目”后</w:t>
      </w:r>
      <w:r>
        <w:rPr>
          <w:rFonts w:hint="eastAsia" w:ascii="仿宋_GB2312" w:hAnsi="仿宋_GB2312" w:eastAsia="仿宋_GB2312" w:cs="仿宋_GB2312"/>
          <w:color w:val="000000"/>
          <w:kern w:val="0"/>
          <w:sz w:val="24"/>
          <w:szCs w:val="24"/>
          <w:highlight w:val="none"/>
          <w:lang w:val="en-US" w:eastAsia="zh-CN"/>
        </w:rPr>
        <w:t>自行</w:t>
      </w:r>
      <w:r>
        <w:rPr>
          <w:rFonts w:hint="eastAsia" w:ascii="仿宋_GB2312" w:hAnsi="仿宋_GB2312" w:eastAsia="仿宋_GB2312" w:cs="仿宋_GB2312"/>
          <w:color w:val="000000"/>
          <w:kern w:val="0"/>
          <w:sz w:val="24"/>
          <w:szCs w:val="24"/>
          <w:highlight w:val="none"/>
        </w:rPr>
        <w:t>按序列示</w:t>
      </w:r>
      <w:r>
        <w:rPr>
          <w:rFonts w:hint="eastAsia" w:ascii="仿宋_GB2312" w:hAnsi="仿宋_GB2312" w:eastAsia="仿宋_GB2312" w:cs="仿宋_GB2312"/>
          <w:color w:val="000000"/>
          <w:kern w:val="0"/>
          <w:sz w:val="24"/>
          <w:szCs w:val="24"/>
          <w:highlight w:val="none"/>
          <w:lang w:eastAsia="zh-CN"/>
        </w:rPr>
        <w:t>；</w:t>
      </w:r>
    </w:p>
    <w:p w14:paraId="4CB53B5A">
      <w:pPr>
        <w:keepNext w:val="0"/>
        <w:keepLines w:val="0"/>
        <w:pageBreakBefore w:val="0"/>
        <w:widowControl w:val="0"/>
        <w:kinsoku/>
        <w:wordWrap/>
        <w:overflowPunct/>
        <w:topLinePunct w:val="0"/>
        <w:autoSpaceDE/>
        <w:autoSpaceDN/>
        <w:bidi w:val="0"/>
        <w:adjustRightInd/>
        <w:snapToGrid/>
        <w:spacing w:line="280" w:lineRule="exact"/>
        <w:ind w:firstLine="480" w:firstLineChars="200"/>
        <w:textAlignment w:val="auto"/>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lang w:val="en-US" w:eastAsia="zh-CN"/>
        </w:rPr>
        <w:t>5</w:t>
      </w:r>
      <w:r>
        <w:rPr>
          <w:rFonts w:hint="eastAsia" w:ascii="仿宋_GB2312" w:hAnsi="仿宋_GB2312" w:eastAsia="仿宋_GB2312" w:cs="仿宋_GB2312"/>
          <w:color w:val="000000"/>
          <w:kern w:val="0"/>
          <w:sz w:val="24"/>
          <w:szCs w:val="24"/>
          <w:highlight w:val="none"/>
        </w:rPr>
        <w:t>.</w:t>
      </w:r>
      <w:r>
        <w:rPr>
          <w:rFonts w:hint="eastAsia" w:ascii="仿宋_GB2312" w:hAnsi="仿宋_GB2312" w:eastAsia="仿宋_GB2312" w:cs="仿宋_GB2312"/>
          <w:color w:val="000000"/>
          <w:kern w:val="0"/>
          <w:sz w:val="24"/>
          <w:szCs w:val="24"/>
          <w:highlight w:val="none"/>
          <w:lang w:val="en-US" w:eastAsia="zh-CN"/>
        </w:rPr>
        <w:t>投</w:t>
      </w:r>
      <w:r>
        <w:rPr>
          <w:rFonts w:hint="eastAsia" w:ascii="仿宋_GB2312" w:hAnsi="仿宋_GB2312" w:eastAsia="仿宋_GB2312" w:cs="仿宋_GB2312"/>
          <w:color w:val="000000"/>
          <w:kern w:val="0"/>
          <w:sz w:val="24"/>
          <w:szCs w:val="24"/>
          <w:highlight w:val="none"/>
        </w:rPr>
        <w:t>标人在检查方式、设备、手段上提供优于基准项目要求的，</w:t>
      </w:r>
      <w:r>
        <w:rPr>
          <w:rFonts w:hint="eastAsia" w:ascii="仿宋_GB2312" w:hAnsi="仿宋_GB2312" w:eastAsia="仿宋_GB2312" w:cs="仿宋_GB2312"/>
          <w:color w:val="000000"/>
          <w:kern w:val="0"/>
          <w:sz w:val="24"/>
          <w:szCs w:val="24"/>
          <w:highlight w:val="none"/>
          <w:lang w:val="en-US" w:eastAsia="zh-CN"/>
        </w:rPr>
        <w:t>投标人可</w:t>
      </w:r>
      <w:r>
        <w:rPr>
          <w:rFonts w:hint="eastAsia" w:ascii="仿宋_GB2312" w:hAnsi="仿宋_GB2312" w:eastAsia="仿宋_GB2312" w:cs="仿宋_GB2312"/>
          <w:color w:val="000000"/>
          <w:kern w:val="0"/>
          <w:sz w:val="24"/>
          <w:szCs w:val="24"/>
          <w:highlight w:val="none"/>
        </w:rPr>
        <w:t>在“基准项目提升优化说明”栏</w:t>
      </w:r>
      <w:r>
        <w:rPr>
          <w:rFonts w:hint="eastAsia" w:ascii="仿宋_GB2312" w:hAnsi="仿宋_GB2312" w:eastAsia="仿宋_GB2312" w:cs="仿宋_GB2312"/>
          <w:color w:val="000000"/>
          <w:kern w:val="0"/>
          <w:sz w:val="24"/>
          <w:szCs w:val="24"/>
          <w:highlight w:val="none"/>
          <w:lang w:val="en-US" w:eastAsia="zh-CN"/>
        </w:rPr>
        <w:t>中以简洁通俗的语言进行</w:t>
      </w:r>
      <w:r>
        <w:rPr>
          <w:rFonts w:hint="eastAsia" w:ascii="仿宋_GB2312" w:hAnsi="仿宋_GB2312" w:eastAsia="仿宋_GB2312" w:cs="仿宋_GB2312"/>
          <w:color w:val="000000"/>
          <w:kern w:val="0"/>
          <w:sz w:val="24"/>
          <w:szCs w:val="24"/>
          <w:highlight w:val="none"/>
        </w:rPr>
        <w:t>列示说明</w:t>
      </w: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rPr>
        <w:t>以便招标人了解对该项优化的具体内容</w:t>
      </w:r>
      <w:r>
        <w:rPr>
          <w:rFonts w:hint="eastAsia" w:ascii="仿宋_GB2312" w:hAnsi="仿宋_GB2312" w:eastAsia="仿宋_GB2312" w:cs="仿宋_GB2312"/>
          <w:color w:val="000000"/>
          <w:kern w:val="0"/>
          <w:sz w:val="24"/>
          <w:szCs w:val="24"/>
          <w:highlight w:val="none"/>
        </w:rPr>
        <w:t>；</w:t>
      </w:r>
    </w:p>
    <w:p w14:paraId="2ED044EC">
      <w:pPr>
        <w:keepNext w:val="0"/>
        <w:keepLines w:val="0"/>
        <w:pageBreakBefore w:val="0"/>
        <w:widowControl w:val="0"/>
        <w:kinsoku/>
        <w:wordWrap/>
        <w:overflowPunct/>
        <w:topLinePunct w:val="0"/>
        <w:autoSpaceDE/>
        <w:autoSpaceDN/>
        <w:bidi w:val="0"/>
        <w:adjustRightInd/>
        <w:snapToGrid/>
        <w:spacing w:line="280" w:lineRule="exact"/>
        <w:ind w:firstLine="480" w:firstLineChars="200"/>
        <w:textAlignment w:val="auto"/>
        <w:rPr>
          <w:rFonts w:hint="eastAsia" w:ascii="仿宋_GB2312" w:hAnsi="仿宋_GB2312" w:eastAsia="仿宋_GB2312" w:cs="仿宋_GB2312"/>
          <w:b/>
          <w:bCs/>
          <w:color w:val="000000"/>
          <w:kern w:val="0"/>
          <w:sz w:val="24"/>
          <w:szCs w:val="24"/>
          <w:highlight w:val="none"/>
        </w:rPr>
      </w:pPr>
      <w:r>
        <w:rPr>
          <w:rFonts w:hint="eastAsia" w:ascii="仿宋_GB2312" w:hAnsi="仿宋_GB2312" w:eastAsia="仿宋_GB2312" w:cs="仿宋_GB2312"/>
          <w:color w:val="000000"/>
          <w:kern w:val="0"/>
          <w:sz w:val="24"/>
          <w:szCs w:val="24"/>
          <w:highlight w:val="none"/>
          <w:lang w:val="en-US" w:eastAsia="zh-CN"/>
        </w:rPr>
        <w:t>6</w:t>
      </w:r>
      <w:r>
        <w:rPr>
          <w:rFonts w:hint="eastAsia" w:ascii="仿宋_GB2312" w:hAnsi="仿宋_GB2312" w:eastAsia="仿宋_GB2312" w:cs="仿宋_GB2312"/>
          <w:color w:val="000000"/>
          <w:kern w:val="0"/>
          <w:sz w:val="24"/>
          <w:szCs w:val="24"/>
          <w:highlight w:val="none"/>
        </w:rPr>
        <w:t>.</w:t>
      </w:r>
      <w:r>
        <w:rPr>
          <w:rFonts w:hint="eastAsia" w:ascii="仿宋_GB2312" w:hAnsi="仿宋_GB2312" w:eastAsia="仿宋_GB2312" w:cs="仿宋_GB2312"/>
          <w:color w:val="000000"/>
          <w:kern w:val="0"/>
          <w:sz w:val="24"/>
          <w:szCs w:val="24"/>
          <w:highlight w:val="none"/>
          <w:lang w:val="en-US" w:eastAsia="zh-CN"/>
        </w:rPr>
        <w:t>投</w:t>
      </w:r>
      <w:r>
        <w:rPr>
          <w:rFonts w:hint="eastAsia" w:ascii="仿宋_GB2312" w:hAnsi="仿宋_GB2312" w:eastAsia="仿宋_GB2312" w:cs="仿宋_GB2312"/>
          <w:color w:val="000000"/>
          <w:kern w:val="0"/>
          <w:sz w:val="24"/>
          <w:szCs w:val="24"/>
          <w:highlight w:val="none"/>
        </w:rPr>
        <w:t>标人应于投标文件服务方案内提交本表</w:t>
      </w:r>
      <w:r>
        <w:rPr>
          <w:rFonts w:hint="eastAsia" w:ascii="仿宋_GB2312" w:hAnsi="仿宋_GB2312" w:eastAsia="仿宋_GB2312" w:cs="仿宋_GB2312"/>
          <w:color w:val="000000"/>
          <w:kern w:val="0"/>
          <w:sz w:val="24"/>
          <w:szCs w:val="24"/>
          <w:highlight w:val="none"/>
          <w:lang w:eastAsia="zh-CN"/>
        </w:rPr>
        <w:t>。</w:t>
      </w:r>
    </w:p>
    <w:p w14:paraId="4DA48182">
      <w:pPr>
        <w:keepNext w:val="0"/>
        <w:keepLines w:val="0"/>
        <w:pageBreakBefore w:val="0"/>
        <w:widowControl w:val="0"/>
        <w:kinsoku/>
        <w:wordWrap/>
        <w:overflowPunct/>
        <w:topLinePunct w:val="0"/>
        <w:autoSpaceDE/>
        <w:autoSpaceDN/>
        <w:bidi w:val="0"/>
        <w:adjustRightInd/>
        <w:snapToGrid/>
        <w:spacing w:before="157" w:beforeLines="50" w:line="560" w:lineRule="exact"/>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val="en-US" w:eastAsia="zh-CN"/>
        </w:rPr>
        <w:t>一</w:t>
      </w:r>
      <w:r>
        <w:rPr>
          <w:rFonts w:hint="eastAsia" w:ascii="Times New Roman" w:hAnsi="Times New Roman" w:eastAsia="黑体" w:cs="黑体"/>
          <w:b w:val="0"/>
          <w:bCs/>
          <w:sz w:val="32"/>
          <w:szCs w:val="32"/>
          <w:highlight w:val="none"/>
          <w:lang w:val="en-US" w:eastAsia="zh-CN"/>
        </w:rPr>
        <w:t>、体检</w:t>
      </w:r>
      <w:r>
        <w:rPr>
          <w:rFonts w:hint="eastAsia" w:ascii="Times New Roman" w:hAnsi="Times New Roman" w:eastAsia="黑体" w:cs="黑体"/>
          <w:b w:val="0"/>
          <w:bCs/>
          <w:sz w:val="32"/>
          <w:szCs w:val="32"/>
          <w:highlight w:val="none"/>
        </w:rPr>
        <w:t>套餐（限价不超过390元/人）</w:t>
      </w:r>
    </w:p>
    <w:bookmarkEnd w:id="76"/>
    <w:bookmarkEnd w:id="77"/>
    <w:bookmarkEnd w:id="78"/>
    <w:bookmarkEnd w:id="79"/>
    <w:tbl>
      <w:tblPr>
        <w:tblStyle w:val="15"/>
        <w:tblW w:w="983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20"/>
        <w:gridCol w:w="1846"/>
        <w:gridCol w:w="2332"/>
        <w:gridCol w:w="3317"/>
        <w:gridCol w:w="1419"/>
      </w:tblGrid>
      <w:tr w14:paraId="3CA84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920" w:type="dxa"/>
            <w:tcBorders>
              <w:top w:val="single" w:color="000000" w:sz="12" w:space="0"/>
              <w:left w:val="single" w:color="000000" w:sz="4" w:space="0"/>
              <w:bottom w:val="single" w:color="000000" w:sz="4" w:space="0"/>
              <w:right w:val="single" w:color="000000" w:sz="12" w:space="0"/>
            </w:tcBorders>
            <w:shd w:val="clear" w:color="auto" w:fill="auto"/>
            <w:vAlign w:val="center"/>
          </w:tcPr>
          <w:p w14:paraId="5751F2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宋体"/>
                <w:b/>
                <w:bCs/>
                <w:i w:val="0"/>
                <w:iCs w:val="0"/>
                <w:color w:val="000000"/>
                <w:sz w:val="21"/>
                <w:szCs w:val="21"/>
                <w:highlight w:val="none"/>
                <w:u w:val="none"/>
              </w:rPr>
            </w:pPr>
            <w:r>
              <w:rPr>
                <w:rFonts w:hint="eastAsia" w:ascii="Times New Roman" w:hAnsi="Times New Roman" w:eastAsia="宋体" w:cs="宋体"/>
                <w:b/>
                <w:bCs/>
                <w:i w:val="0"/>
                <w:iCs w:val="0"/>
                <w:color w:val="000000"/>
                <w:kern w:val="0"/>
                <w:sz w:val="21"/>
                <w:szCs w:val="21"/>
                <w:highlight w:val="none"/>
                <w:u w:val="none"/>
                <w:lang w:val="en-US" w:eastAsia="zh-CN" w:bidi="ar"/>
              </w:rPr>
              <w:t>序号</w:t>
            </w:r>
          </w:p>
        </w:tc>
        <w:tc>
          <w:tcPr>
            <w:tcW w:w="1846" w:type="dxa"/>
            <w:tcBorders>
              <w:top w:val="single" w:color="000000" w:sz="12" w:space="0"/>
              <w:left w:val="single" w:color="000000" w:sz="4" w:space="0"/>
              <w:bottom w:val="single" w:color="000000" w:sz="4" w:space="0"/>
              <w:right w:val="single" w:color="000000" w:sz="12" w:space="0"/>
            </w:tcBorders>
            <w:shd w:val="clear" w:color="auto" w:fill="auto"/>
            <w:vAlign w:val="center"/>
          </w:tcPr>
          <w:p w14:paraId="5EBB13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宋体"/>
                <w:b/>
                <w:bCs/>
                <w:i w:val="0"/>
                <w:iCs w:val="0"/>
                <w:color w:val="000000"/>
                <w:sz w:val="21"/>
                <w:szCs w:val="21"/>
                <w:highlight w:val="none"/>
                <w:u w:val="none"/>
              </w:rPr>
            </w:pPr>
            <w:r>
              <w:rPr>
                <w:rFonts w:hint="eastAsia" w:ascii="Times New Roman" w:hAnsi="Times New Roman" w:eastAsia="宋体" w:cs="宋体"/>
                <w:b/>
                <w:bCs/>
                <w:i w:val="0"/>
                <w:iCs w:val="0"/>
                <w:color w:val="000000"/>
                <w:kern w:val="0"/>
                <w:sz w:val="21"/>
                <w:szCs w:val="21"/>
                <w:highlight w:val="none"/>
                <w:u w:val="none"/>
                <w:lang w:val="en-US" w:eastAsia="zh-CN" w:bidi="ar"/>
              </w:rPr>
              <w:t>检查大类</w:t>
            </w:r>
          </w:p>
        </w:tc>
        <w:tc>
          <w:tcPr>
            <w:tcW w:w="2332" w:type="dxa"/>
            <w:tcBorders>
              <w:top w:val="single" w:color="000000" w:sz="12" w:space="0"/>
              <w:left w:val="single" w:color="000000" w:sz="4" w:space="0"/>
              <w:bottom w:val="single" w:color="000000" w:sz="4" w:space="0"/>
              <w:right w:val="single" w:color="000000" w:sz="12" w:space="0"/>
            </w:tcBorders>
            <w:shd w:val="clear" w:color="auto" w:fill="auto"/>
            <w:vAlign w:val="center"/>
          </w:tcPr>
          <w:p w14:paraId="77DFE6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宋体"/>
                <w:b/>
                <w:bCs/>
                <w:i w:val="0"/>
                <w:iCs w:val="0"/>
                <w:color w:val="000000"/>
                <w:sz w:val="21"/>
                <w:szCs w:val="21"/>
                <w:highlight w:val="none"/>
                <w:u w:val="none"/>
              </w:rPr>
            </w:pPr>
            <w:r>
              <w:rPr>
                <w:rFonts w:hint="eastAsia" w:ascii="Times New Roman" w:hAnsi="Times New Roman" w:eastAsia="宋体" w:cs="宋体"/>
                <w:b/>
                <w:bCs/>
                <w:i w:val="0"/>
                <w:iCs w:val="0"/>
                <w:color w:val="000000"/>
                <w:kern w:val="0"/>
                <w:sz w:val="21"/>
                <w:szCs w:val="21"/>
                <w:highlight w:val="none"/>
                <w:u w:val="none"/>
                <w:lang w:val="en-US" w:eastAsia="zh-CN" w:bidi="ar"/>
              </w:rPr>
              <w:t>基准项目</w:t>
            </w:r>
          </w:p>
        </w:tc>
        <w:tc>
          <w:tcPr>
            <w:tcW w:w="3317" w:type="dxa"/>
            <w:tcBorders>
              <w:top w:val="single" w:color="000000" w:sz="12" w:space="0"/>
              <w:left w:val="single" w:color="000000" w:sz="4" w:space="0"/>
              <w:bottom w:val="single" w:color="000000" w:sz="4" w:space="0"/>
              <w:right w:val="single" w:color="000000" w:sz="12" w:space="0"/>
            </w:tcBorders>
            <w:shd w:val="clear" w:color="auto" w:fill="auto"/>
            <w:vAlign w:val="center"/>
          </w:tcPr>
          <w:p w14:paraId="0835B7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宋体"/>
                <w:b/>
                <w:bCs/>
                <w:i w:val="0"/>
                <w:iCs w:val="0"/>
                <w:color w:val="000000"/>
                <w:sz w:val="21"/>
                <w:szCs w:val="21"/>
                <w:highlight w:val="none"/>
                <w:u w:val="none"/>
              </w:rPr>
            </w:pPr>
            <w:r>
              <w:rPr>
                <w:rFonts w:hint="eastAsia" w:ascii="Times New Roman" w:hAnsi="Times New Roman" w:eastAsia="宋体" w:cs="宋体"/>
                <w:b/>
                <w:bCs/>
                <w:i w:val="0"/>
                <w:iCs w:val="0"/>
                <w:color w:val="000000"/>
                <w:kern w:val="0"/>
                <w:sz w:val="21"/>
                <w:szCs w:val="21"/>
                <w:highlight w:val="none"/>
                <w:u w:val="none"/>
                <w:lang w:val="en-US" w:eastAsia="zh-CN" w:bidi="ar"/>
              </w:rPr>
              <w:t>检查目的</w:t>
            </w:r>
          </w:p>
        </w:tc>
        <w:tc>
          <w:tcPr>
            <w:tcW w:w="1419" w:type="dxa"/>
            <w:tcBorders>
              <w:top w:val="single" w:color="000000" w:sz="12" w:space="0"/>
              <w:left w:val="single" w:color="000000" w:sz="4" w:space="0"/>
              <w:bottom w:val="single" w:color="000000" w:sz="4" w:space="0"/>
              <w:right w:val="single" w:color="000000" w:sz="12" w:space="0"/>
            </w:tcBorders>
            <w:shd w:val="clear" w:color="auto" w:fill="auto"/>
            <w:vAlign w:val="center"/>
          </w:tcPr>
          <w:p w14:paraId="5B1E73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宋体"/>
                <w:b/>
                <w:bCs/>
                <w:i w:val="0"/>
                <w:iCs w:val="0"/>
                <w:color w:val="000000"/>
                <w:sz w:val="21"/>
                <w:szCs w:val="21"/>
                <w:highlight w:val="none"/>
                <w:u w:val="none"/>
              </w:rPr>
            </w:pPr>
            <w:r>
              <w:rPr>
                <w:rFonts w:hint="eastAsia" w:ascii="Times New Roman" w:hAnsi="Times New Roman" w:eastAsia="宋体" w:cs="宋体"/>
                <w:b/>
                <w:bCs/>
                <w:i w:val="0"/>
                <w:iCs w:val="0"/>
                <w:color w:val="000000"/>
                <w:kern w:val="0"/>
                <w:sz w:val="21"/>
                <w:szCs w:val="21"/>
                <w:highlight w:val="none"/>
                <w:u w:val="none"/>
                <w:lang w:val="en-US" w:eastAsia="zh-CN" w:bidi="ar"/>
              </w:rPr>
              <w:t>基准项目提升优化说明</w:t>
            </w:r>
          </w:p>
        </w:tc>
      </w:tr>
      <w:tr w14:paraId="57C0F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02F664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8E43BF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一般检查</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76166D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身高、体重</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64B797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身高 、体重、血压基本健康状态参数，了解体重是否正常，有无体重不足、超重或肥胖，为相关科室的诊断提供依据。</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6F26F5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49874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36BC64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8D1E2C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一般检查</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A9496D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血压</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674FBD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身高 、体重、血压基本健康状态参数，了解体重是否正常，有无体重不足、超重或肥胖，为相关科室的诊断提供依据。</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DB2C06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009B7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5F1FD1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3</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D21326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内科</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9463BF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内科</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DC958C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心肺有无异常、肝脾有无肿大、腹部有无包块等</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6250A6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23389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62703B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4</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5DE44F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外科</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F310EB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外科</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760F4F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淋巴结有无肿大，甲状腺、乳房、外生殖器、前列腺、肛肠有无异常、四肢脊柱有无畸形等</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3E3582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13381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01C1CD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5</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E122AC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视力 色觉</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CDFBFF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视力 色觉</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E75B7B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主要检查测视力/色觉，提示色弱、色盲，提示视力异常。</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511925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11AB0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C537A4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6</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2EB59E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耳鼻咽喉科</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F48F5F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耳鼻咽喉科</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0369EA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耳、鼻、咽、喉有无异常，如中耳炎、鼓膜穿孔、扁桃体肿大等</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CD6095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02C9C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2F03DB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7</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427418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口腔科</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CD243C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口腔常规检查，全面了解口腔健康状况，及时发现口腔科常见疾病。</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5618A0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通过检查可对龋齿、牙龈炎、牙周炎进行早期检查，同时提供口腔保健指导</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5AE468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24894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1E8152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8</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D7458B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肝功能七项</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C7500E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丙氨酸氨基转移酶(ALT) \ 天门冬氨酸氨基转移酶(AST) \ 谷氨酰转肽酶(GGT)</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1C0E57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结合其他肝功能检测，可提示肝胆系统疾病：急性传染性肝炎，中毒性肝炎，脂肪肝，胆管炎，胆囊炎，药物中毒性肝炎，酒精性肝炎和黄疸等。</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E67B0E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0660C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B77A0A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9</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00F1DC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肝功能七项</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3651D1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血清蛋白四项</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7A7873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结合其他肝功能检测，可提示肝胆系统疾病：急性传染性肝炎，中毒性肝炎，脂肪肝，胆管炎，胆囊炎，药物中毒性肝炎，酒精性肝炎和黄疸等。</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00A3EE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6CCD7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E92AD7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10</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528669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肾功能三项</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D3A990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尿素氮(BUN)、肌酐(CR)、尿酸</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061194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用于肾脏功能检测，评估肾脏疾病风险。</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41EDAD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37F0F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4DE5C0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11</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275365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血脂两项</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E582B1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总胆固醇、甘油三脂</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34A100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结合其他血脂检测，了解血脂代谢情况。</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9D71D7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0C735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CC081A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12</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854616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甲功三项A</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30D591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甲功三项A</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2F6D5C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有助于对甲状腺疾病或甲状腺功能障碍的诊断，是目前最常用的内分泌测定项目。</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6DA2DA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5A00A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09E384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13</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436BDE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血糖</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1A4E2B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空腹血糖</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E34D6F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评估机体糖代谢状态、诊断糖代谢紊乱相关疾病，指导临床医师制定并适时调整治疗方案等方面具有重要价值。</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07BCA5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5F5FE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353A74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14</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7601C3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肿瘤筛查七项</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432B30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癌胚抗原CEA(定量)</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B76691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可提示有无原发性肝癌，生殖腺胚胎性肿瘤，肝硬化等</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55C8F7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3D2E4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D6C080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15</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9950E5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肿瘤筛查七项</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09A2BA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甲胎蛋白AFP（定量）</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498C67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为广谱肿瘤标志物，可提示直肠癌、结肠癌、肺癌、乳腺癌、胰腺癌等</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1EBD2E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4E998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CB343D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16</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0FFAC0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肿瘤筛查七项</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A2B377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糖类抗原242</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A544C0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胰腺癌、结肠、胃、卵巢、子宫、肺癌应用时建议结合其他肿瘤标志物。</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3A8626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15EAD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7CCB46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17</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D10D06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肿瘤筛查七项</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ACD0B7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糖类抗原125</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0C5CBC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主要用于辅助诊断恶性浆液性卵巢癌，上皮性卵巢癌，同时也是卵巢癌手术和化疗后疗效观察的指标。应用时建议结合其他肿瘤标志物。</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F91FC3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7EE19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28CBD5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18</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AAD1BB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肿瘤筛查七项</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65BB63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神经元特异性烯醇化酶</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DA3BA6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对小细胞肺癌、神经母细胞瘤的早期诊断及评估预后应用时建议结合其他肿瘤标志物。</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DDFB1D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1660E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8C04A5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19</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A8A7BC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肿瘤筛查七项</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DEE90C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人绒毛膜促性腺激素游离β亚基</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C7AABD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单项检测常用于妊娠试验，结合其他肿瘤标志物可用于肿瘤得辅助诊断、高危人群随访观察等。</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483FB0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3048B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3A910C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20</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342825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肿瘤筛查七项</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F6ED9E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细胞角蛋白</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BB06AA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非小细胞肺癌（NSCLC）的鉴别诊断，疗效监测和预后判断的重要指标</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B0D2AC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3F56E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0026FF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21</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217616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血常规</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B53C98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红细胞计数 （RBC）、红细胞压积（HCT）、平均血红蛋白浓度（MCHC）等19项。</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E1B3C2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是临床最常用的初筛项目之一，可为医生诊断血液系统疾病等提供线索和依据。</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EBEB41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07CF5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CF9F39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22</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648261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尿常规</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4B71AF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尿蛋白 、尿糖 、尿比重 、尿酮体 、尿胆红质 、尿胆元等10项</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B43C66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可提示有无泌尿系统疾患：如急、慢性肾炎，肾盂肾炎，膀胱炎，尿道炎，肾病综合征，狼疮性肾炎，血红蛋白尿，肾梗塞、肾小管重金属盐及药物导致急性肾小管坏死，肾或膀胱肿瘤以及有无尿糖等</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E8606C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458B7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8CFF09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23</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B03120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彩超检查</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50A5FA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肝胆脾胰双肾，甲状腺彩超</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45F418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更清晰的观察各脏器有无炎症、囊肿、肿瘤、结石、积水等;检查甲状腺的结构及形态，发现甲状腺异常病变。</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D6A373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066A6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128003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24</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5E1998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彩超检查</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DB8F00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甲状腺彩超</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221ED4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检查甲状腺的结构及形态，发现甲状腺异常病变。</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2548C1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04126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9EFC62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25</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5EDAC2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心电图</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6E79A5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心电图</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1BC781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用于心肌梗死、心律失常、心肌缺血等心脏疾病的检查。</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DC9DA3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6F3A7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A3EABF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26</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29F322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放射科拍片</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A31033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胸部正位片</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7364B5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适用于肺部疾病及心脏、主动脉、纵隔、横膈疾病等的检查。</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A07A8F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00B4D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A342B5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27</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CCB863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放射科拍片</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ABC41D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颈椎侧位片</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74D6FD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可提示颈椎曲度是否改变，椎间隙是否变窄，有无骨质增生或韧带钙化。</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4A636B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62A8D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350D1D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28</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3705B5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男性员工彩超检查</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3B3FCD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前列腺彩超（彩超机）</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0A4A6B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检查能较好的显示前列腺的形态、大小，对于前列腺增生、肥大、钙化等疾病具有诊断意义。提供高清晰度的动态彩色超声断层图像诊断。</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977873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72BF4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DD3CD7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29</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1D26B4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女性员工彩超检查</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8A2C52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彩超检查双侧乳腺（彩超机）</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4BF2AB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可提示有否乳腺肿块或乳腺占位性病变等。</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9FA120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3A6A0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7C09D8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30</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0C3871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女性已婚员工彩超检查</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592F2E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阴式彩超（阴彩有侵入性，不适合未婚的女士做此项目，未婚做子宫附件彩超）</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B0A0D2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能直接与盆腔器官接近，更好地显示子宫、卵巢、盆腔是否有病变发生。</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538DA7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650F5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375644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31</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E8D7A0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女性未婚员工彩超检查</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F21704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子宫附件彩超</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E6DA55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更清晰的观察子宫、卵巢、盆腔等生殖器是否有病变发生。</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93472C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5F8CF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B7E88A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32</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A58CE4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妇科检查</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096EF9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妇检</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BAF348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检查女性生殖器有无异常改变、有无宫颈及阴道异常病变。</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BF42B9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4B837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31CA7A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33</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05E9BF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白带常规</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2B343D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白带常规</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F3BBB5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是妇科检查的常规项目，对于女性生殖系统炎症、肿瘤等疾病的诊断，是临床诊断阴道疾病的重要依据。</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DEA66B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4988F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7E0290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34</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31FF97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宫颈刮片</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B89037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宫颈疾病检查</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1B953C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宫颈癌筛查</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2F5254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22AE6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322B02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rPr>
              <w:t>序号</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83DF05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rPr>
              <w:t>检查大类</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78CE51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rPr>
              <w:t>增加项目（投标人自行按序添加）</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310EE1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rPr>
              <w:t>检查目的</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73A864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rPr>
              <w:t>备注</w:t>
            </w:r>
          </w:p>
        </w:tc>
      </w:tr>
      <w:tr w14:paraId="3067B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4896E1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60F9CA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244701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BDFD08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2D316F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r>
      <w:tr w14:paraId="52610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A21032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c>
          <w:tcPr>
            <w:tcW w:w="1846"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F9EF5A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c>
          <w:tcPr>
            <w:tcW w:w="2332"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55552A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c>
          <w:tcPr>
            <w:tcW w:w="331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867657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c>
          <w:tcPr>
            <w:tcW w:w="141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5BE513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r>
      <w:tr w14:paraId="38209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2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844362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cs="宋体" w:eastAsiaTheme="minorEastAsia"/>
                <w:i w:val="0"/>
                <w:iCs w:val="0"/>
                <w:color w:val="000000"/>
                <w:sz w:val="21"/>
                <w:szCs w:val="21"/>
                <w:highlight w:val="none"/>
                <w:u w:val="none"/>
                <w:lang w:eastAsia="zh-CN"/>
              </w:rPr>
            </w:pPr>
            <w:r>
              <w:rPr>
                <w:b/>
                <w:color w:val="000000"/>
              </w:rPr>
              <w:t>套餐</w:t>
            </w:r>
            <w:r>
              <w:rPr>
                <w:rFonts w:hint="eastAsia"/>
                <w:b/>
                <w:color w:val="000000"/>
                <w:lang w:val="en-US" w:eastAsia="zh-CN"/>
              </w:rPr>
              <w:t>单价限价</w:t>
            </w:r>
          </w:p>
        </w:tc>
        <w:tc>
          <w:tcPr>
            <w:tcW w:w="8914" w:type="dxa"/>
            <w:gridSpan w:val="4"/>
            <w:tcBorders>
              <w:top w:val="single" w:color="000000" w:sz="4" w:space="0"/>
              <w:left w:val="single" w:color="000000" w:sz="4" w:space="0"/>
              <w:bottom w:val="single" w:color="000000" w:sz="4" w:space="0"/>
              <w:right w:val="single" w:color="000000" w:sz="12" w:space="0"/>
            </w:tcBorders>
            <w:shd w:val="clear" w:color="auto" w:fill="auto"/>
            <w:vAlign w:val="center"/>
          </w:tcPr>
          <w:p w14:paraId="7FFAFEF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rFonts w:hint="eastAsia" w:ascii="Times New Roman Regular" w:hAnsi="Times New Roman Regular" w:cs="Times New Roman Regular"/>
                <w:b/>
                <w:color w:val="000000"/>
                <w:lang w:val="en-US" w:eastAsia="zh-CN"/>
              </w:rPr>
              <w:t xml:space="preserve"> 不超过390</w:t>
            </w:r>
            <w:r>
              <w:rPr>
                <w:rFonts w:hint="default" w:ascii="Times New Roman Regular" w:hAnsi="Times New Roman Regular" w:cs="Times New Roman Regular"/>
                <w:b/>
                <w:color w:val="000000"/>
              </w:rPr>
              <w:t>元/人</w:t>
            </w:r>
          </w:p>
        </w:tc>
      </w:tr>
    </w:tbl>
    <w:p w14:paraId="00179DC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sz w:val="32"/>
          <w:szCs w:val="32"/>
          <w:highlight w:val="none"/>
          <w:lang w:val="zh-CN"/>
        </w:rPr>
      </w:pPr>
      <w:r>
        <w:rPr>
          <w:rFonts w:hint="eastAsia" w:ascii="黑体" w:hAnsi="黑体" w:eastAsia="黑体" w:cs="黑体"/>
          <w:b w:val="0"/>
          <w:bCs/>
          <w:sz w:val="32"/>
          <w:szCs w:val="32"/>
          <w:highlight w:val="none"/>
          <w:lang w:val="en-US" w:eastAsia="zh-CN"/>
        </w:rPr>
        <w:t>二、体检</w:t>
      </w:r>
      <w:r>
        <w:rPr>
          <w:rFonts w:hint="eastAsia" w:ascii="黑体" w:hAnsi="黑体" w:eastAsia="黑体" w:cs="黑体"/>
          <w:b w:val="0"/>
          <w:bCs/>
          <w:sz w:val="32"/>
          <w:szCs w:val="32"/>
          <w:highlight w:val="none"/>
        </w:rPr>
        <w:t>套餐（限价不超过</w:t>
      </w:r>
      <w:r>
        <w:rPr>
          <w:rFonts w:hint="eastAsia" w:ascii="黑体" w:hAnsi="黑体" w:eastAsia="黑体" w:cs="黑体"/>
          <w:b w:val="0"/>
          <w:bCs/>
          <w:sz w:val="32"/>
          <w:szCs w:val="32"/>
          <w:highlight w:val="none"/>
          <w:lang w:val="en-US" w:eastAsia="zh-CN"/>
        </w:rPr>
        <w:t>50</w:t>
      </w:r>
      <w:r>
        <w:rPr>
          <w:rFonts w:hint="eastAsia" w:ascii="黑体" w:hAnsi="黑体" w:eastAsia="黑体" w:cs="黑体"/>
          <w:b w:val="0"/>
          <w:bCs/>
          <w:sz w:val="32"/>
          <w:szCs w:val="32"/>
          <w:highlight w:val="none"/>
        </w:rPr>
        <w:t>0元/人）</w:t>
      </w:r>
    </w:p>
    <w:tbl>
      <w:tblPr>
        <w:tblStyle w:val="15"/>
        <w:tblW w:w="9696"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117"/>
        <w:gridCol w:w="1665"/>
        <w:gridCol w:w="2042"/>
        <w:gridCol w:w="3547"/>
        <w:gridCol w:w="1325"/>
      </w:tblGrid>
      <w:tr w14:paraId="5D7D55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jc w:val="center"/>
        </w:trPr>
        <w:tc>
          <w:tcPr>
            <w:tcW w:w="1117" w:type="dxa"/>
            <w:tcBorders>
              <w:tl2br w:val="nil"/>
              <w:tr2bl w:val="nil"/>
            </w:tcBorders>
            <w:shd w:val="clear" w:color="auto" w:fill="auto"/>
            <w:vAlign w:val="center"/>
          </w:tcPr>
          <w:p w14:paraId="3116DCDF">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序号</w:t>
            </w:r>
          </w:p>
        </w:tc>
        <w:tc>
          <w:tcPr>
            <w:tcW w:w="1665" w:type="dxa"/>
            <w:tcBorders>
              <w:tl2br w:val="nil"/>
              <w:tr2bl w:val="nil"/>
            </w:tcBorders>
            <w:shd w:val="clear" w:color="auto" w:fill="auto"/>
            <w:vAlign w:val="center"/>
          </w:tcPr>
          <w:p w14:paraId="20AC548E">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检查大类</w:t>
            </w:r>
          </w:p>
        </w:tc>
        <w:tc>
          <w:tcPr>
            <w:tcW w:w="2042" w:type="dxa"/>
            <w:tcBorders>
              <w:tl2br w:val="nil"/>
              <w:tr2bl w:val="nil"/>
            </w:tcBorders>
            <w:shd w:val="clear" w:color="auto" w:fill="auto"/>
            <w:vAlign w:val="center"/>
          </w:tcPr>
          <w:p w14:paraId="2A0662B2">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基准项目</w:t>
            </w:r>
          </w:p>
        </w:tc>
        <w:tc>
          <w:tcPr>
            <w:tcW w:w="3547" w:type="dxa"/>
            <w:tcBorders>
              <w:tl2br w:val="nil"/>
              <w:tr2bl w:val="nil"/>
            </w:tcBorders>
            <w:shd w:val="clear" w:color="auto" w:fill="auto"/>
            <w:vAlign w:val="center"/>
          </w:tcPr>
          <w:p w14:paraId="41FD76A4">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检查目的</w:t>
            </w:r>
          </w:p>
        </w:tc>
        <w:tc>
          <w:tcPr>
            <w:tcW w:w="1325" w:type="dxa"/>
            <w:tcBorders>
              <w:tl2br w:val="nil"/>
              <w:tr2bl w:val="nil"/>
            </w:tcBorders>
            <w:shd w:val="clear" w:color="auto" w:fill="auto"/>
            <w:vAlign w:val="center"/>
          </w:tcPr>
          <w:p w14:paraId="55088C7C">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基准项目提升优化说明</w:t>
            </w:r>
          </w:p>
        </w:tc>
      </w:tr>
      <w:tr w14:paraId="7ADA1B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3A03BF03">
            <w:pPr>
              <w:jc w:val="center"/>
              <w:rPr>
                <w:rFonts w:hint="eastAsia" w:ascii="宋体" w:hAnsi="宋体" w:eastAsia="宋体" w:cs="宋体"/>
                <w:i w:val="0"/>
                <w:iCs w:val="0"/>
                <w:color w:val="000000"/>
                <w:sz w:val="21"/>
                <w:szCs w:val="21"/>
                <w:highlight w:val="none"/>
                <w:u w:val="none"/>
              </w:rPr>
            </w:pPr>
            <w:r>
              <w:rPr>
                <w:color w:val="000000"/>
              </w:rPr>
              <w:t>1</w:t>
            </w:r>
          </w:p>
        </w:tc>
        <w:tc>
          <w:tcPr>
            <w:tcW w:w="1665" w:type="dxa"/>
            <w:tcBorders>
              <w:tl2br w:val="nil"/>
              <w:tr2bl w:val="nil"/>
            </w:tcBorders>
            <w:shd w:val="clear" w:color="auto" w:fill="auto"/>
            <w:vAlign w:val="center"/>
          </w:tcPr>
          <w:p w14:paraId="691EFDDC">
            <w:pPr>
              <w:jc w:val="center"/>
              <w:rPr>
                <w:rFonts w:hint="eastAsia" w:ascii="宋体" w:hAnsi="宋体" w:eastAsia="宋体" w:cs="宋体"/>
                <w:i w:val="0"/>
                <w:iCs w:val="0"/>
                <w:color w:val="000000"/>
                <w:sz w:val="21"/>
                <w:szCs w:val="21"/>
                <w:highlight w:val="none"/>
                <w:u w:val="none"/>
              </w:rPr>
            </w:pPr>
            <w:r>
              <w:rPr>
                <w:color w:val="000000"/>
              </w:rPr>
              <w:t>一般检查</w:t>
            </w:r>
          </w:p>
        </w:tc>
        <w:tc>
          <w:tcPr>
            <w:tcW w:w="2042" w:type="dxa"/>
            <w:tcBorders>
              <w:tl2br w:val="nil"/>
              <w:tr2bl w:val="nil"/>
            </w:tcBorders>
            <w:shd w:val="clear" w:color="auto" w:fill="auto"/>
            <w:vAlign w:val="center"/>
          </w:tcPr>
          <w:p w14:paraId="74D80256">
            <w:pPr>
              <w:jc w:val="center"/>
              <w:rPr>
                <w:rFonts w:hint="eastAsia" w:ascii="宋体" w:hAnsi="宋体" w:eastAsia="宋体" w:cs="宋体"/>
                <w:i w:val="0"/>
                <w:iCs w:val="0"/>
                <w:color w:val="000000"/>
                <w:sz w:val="21"/>
                <w:szCs w:val="21"/>
                <w:highlight w:val="none"/>
                <w:u w:val="none"/>
              </w:rPr>
            </w:pPr>
            <w:r>
              <w:rPr>
                <w:color w:val="000000"/>
              </w:rPr>
              <w:t>身高、体重</w:t>
            </w:r>
          </w:p>
        </w:tc>
        <w:tc>
          <w:tcPr>
            <w:tcW w:w="3547" w:type="dxa"/>
            <w:tcBorders>
              <w:tl2br w:val="nil"/>
              <w:tr2bl w:val="nil"/>
            </w:tcBorders>
            <w:shd w:val="clear" w:color="auto" w:fill="auto"/>
            <w:vAlign w:val="center"/>
          </w:tcPr>
          <w:p w14:paraId="3C9CD169">
            <w:pPr>
              <w:jc w:val="center"/>
              <w:rPr>
                <w:rFonts w:hint="eastAsia" w:ascii="宋体" w:hAnsi="宋体" w:eastAsia="宋体" w:cs="宋体"/>
                <w:i w:val="0"/>
                <w:iCs w:val="0"/>
                <w:color w:val="000000"/>
                <w:sz w:val="21"/>
                <w:szCs w:val="21"/>
                <w:highlight w:val="none"/>
                <w:u w:val="none"/>
              </w:rPr>
            </w:pPr>
            <w:r>
              <w:rPr>
                <w:color w:val="000000"/>
              </w:rPr>
              <w:t>身高 、体重、血压基本健康状态参数，了解体重是否正常，有无体重不足、超重或肥胖，为相关科室的诊断提供依据。</w:t>
            </w:r>
          </w:p>
        </w:tc>
        <w:tc>
          <w:tcPr>
            <w:tcW w:w="1325" w:type="dxa"/>
            <w:tcBorders>
              <w:tl2br w:val="nil"/>
              <w:tr2bl w:val="nil"/>
            </w:tcBorders>
            <w:shd w:val="clear" w:color="auto" w:fill="auto"/>
            <w:vAlign w:val="center"/>
          </w:tcPr>
          <w:p w14:paraId="53D91C8F">
            <w:pPr>
              <w:jc w:val="center"/>
              <w:rPr>
                <w:rFonts w:hint="eastAsia" w:ascii="宋体" w:hAnsi="宋体" w:eastAsia="宋体" w:cs="宋体"/>
                <w:i w:val="0"/>
                <w:iCs w:val="0"/>
                <w:color w:val="000000"/>
                <w:sz w:val="21"/>
                <w:szCs w:val="21"/>
                <w:highlight w:val="none"/>
                <w:u w:val="none"/>
              </w:rPr>
            </w:pPr>
          </w:p>
        </w:tc>
      </w:tr>
      <w:tr w14:paraId="040096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1A8D1E2A">
            <w:pPr>
              <w:jc w:val="center"/>
              <w:rPr>
                <w:rFonts w:hint="eastAsia" w:ascii="宋体" w:hAnsi="宋体" w:eastAsia="宋体" w:cs="宋体"/>
                <w:i w:val="0"/>
                <w:iCs w:val="0"/>
                <w:color w:val="000000"/>
                <w:sz w:val="21"/>
                <w:szCs w:val="21"/>
                <w:highlight w:val="none"/>
                <w:u w:val="none"/>
              </w:rPr>
            </w:pPr>
            <w:r>
              <w:rPr>
                <w:color w:val="000000"/>
              </w:rPr>
              <w:t>2</w:t>
            </w:r>
          </w:p>
        </w:tc>
        <w:tc>
          <w:tcPr>
            <w:tcW w:w="1665" w:type="dxa"/>
            <w:tcBorders>
              <w:tl2br w:val="nil"/>
              <w:tr2bl w:val="nil"/>
            </w:tcBorders>
            <w:shd w:val="clear" w:color="auto" w:fill="auto"/>
            <w:vAlign w:val="center"/>
          </w:tcPr>
          <w:p w14:paraId="0E1FF37E">
            <w:pPr>
              <w:jc w:val="center"/>
              <w:rPr>
                <w:rFonts w:hint="eastAsia" w:ascii="宋体" w:hAnsi="宋体" w:eastAsia="宋体" w:cs="宋体"/>
                <w:i w:val="0"/>
                <w:iCs w:val="0"/>
                <w:color w:val="000000"/>
                <w:sz w:val="21"/>
                <w:szCs w:val="21"/>
                <w:highlight w:val="none"/>
                <w:u w:val="none"/>
              </w:rPr>
            </w:pPr>
            <w:r>
              <w:rPr>
                <w:color w:val="000000"/>
              </w:rPr>
              <w:t>一般检查</w:t>
            </w:r>
          </w:p>
        </w:tc>
        <w:tc>
          <w:tcPr>
            <w:tcW w:w="2042" w:type="dxa"/>
            <w:tcBorders>
              <w:tl2br w:val="nil"/>
              <w:tr2bl w:val="nil"/>
            </w:tcBorders>
            <w:shd w:val="clear" w:color="auto" w:fill="auto"/>
            <w:vAlign w:val="center"/>
          </w:tcPr>
          <w:p w14:paraId="67C896D4">
            <w:pPr>
              <w:jc w:val="center"/>
              <w:rPr>
                <w:rFonts w:hint="eastAsia" w:ascii="宋体" w:hAnsi="宋体" w:eastAsia="宋体" w:cs="宋体"/>
                <w:i w:val="0"/>
                <w:iCs w:val="0"/>
                <w:color w:val="000000"/>
                <w:sz w:val="21"/>
                <w:szCs w:val="21"/>
                <w:highlight w:val="none"/>
                <w:u w:val="none"/>
              </w:rPr>
            </w:pPr>
            <w:r>
              <w:rPr>
                <w:color w:val="000000"/>
              </w:rPr>
              <w:t>血压</w:t>
            </w:r>
          </w:p>
        </w:tc>
        <w:tc>
          <w:tcPr>
            <w:tcW w:w="3547" w:type="dxa"/>
            <w:tcBorders>
              <w:tl2br w:val="nil"/>
              <w:tr2bl w:val="nil"/>
            </w:tcBorders>
            <w:shd w:val="clear" w:color="auto" w:fill="auto"/>
            <w:vAlign w:val="center"/>
          </w:tcPr>
          <w:p w14:paraId="6D0A62C7">
            <w:pPr>
              <w:jc w:val="center"/>
              <w:rPr>
                <w:rFonts w:hint="eastAsia" w:ascii="宋体" w:hAnsi="宋体" w:eastAsia="宋体" w:cs="宋体"/>
                <w:i w:val="0"/>
                <w:iCs w:val="0"/>
                <w:color w:val="000000"/>
                <w:sz w:val="21"/>
                <w:szCs w:val="21"/>
                <w:highlight w:val="none"/>
                <w:u w:val="none"/>
              </w:rPr>
            </w:pPr>
            <w:r>
              <w:rPr>
                <w:color w:val="000000"/>
              </w:rPr>
              <w:t>身高 、体重、血压基本健康状态参数，了解体重是否正常，有无体重不足、超重或肥胖，为相关科室的诊断提供依据。</w:t>
            </w:r>
          </w:p>
        </w:tc>
        <w:tc>
          <w:tcPr>
            <w:tcW w:w="1325" w:type="dxa"/>
            <w:tcBorders>
              <w:tl2br w:val="nil"/>
              <w:tr2bl w:val="nil"/>
            </w:tcBorders>
            <w:shd w:val="clear" w:color="auto" w:fill="auto"/>
            <w:vAlign w:val="center"/>
          </w:tcPr>
          <w:p w14:paraId="3E03C182">
            <w:pPr>
              <w:jc w:val="center"/>
              <w:rPr>
                <w:rFonts w:hint="eastAsia" w:ascii="宋体" w:hAnsi="宋体" w:eastAsia="宋体" w:cs="宋体"/>
                <w:i w:val="0"/>
                <w:iCs w:val="0"/>
                <w:color w:val="000000"/>
                <w:sz w:val="21"/>
                <w:szCs w:val="21"/>
                <w:highlight w:val="none"/>
                <w:u w:val="none"/>
              </w:rPr>
            </w:pPr>
          </w:p>
        </w:tc>
      </w:tr>
      <w:tr w14:paraId="342CB3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093DED18">
            <w:pPr>
              <w:jc w:val="center"/>
              <w:rPr>
                <w:rFonts w:hint="eastAsia" w:ascii="宋体" w:hAnsi="宋体" w:eastAsia="宋体" w:cs="宋体"/>
                <w:i w:val="0"/>
                <w:iCs w:val="0"/>
                <w:color w:val="000000"/>
                <w:sz w:val="21"/>
                <w:szCs w:val="21"/>
                <w:highlight w:val="none"/>
                <w:u w:val="none"/>
              </w:rPr>
            </w:pPr>
            <w:r>
              <w:rPr>
                <w:color w:val="000000"/>
              </w:rPr>
              <w:t>3</w:t>
            </w:r>
          </w:p>
        </w:tc>
        <w:tc>
          <w:tcPr>
            <w:tcW w:w="1665" w:type="dxa"/>
            <w:tcBorders>
              <w:tl2br w:val="nil"/>
              <w:tr2bl w:val="nil"/>
            </w:tcBorders>
            <w:shd w:val="clear" w:color="auto" w:fill="auto"/>
            <w:vAlign w:val="center"/>
          </w:tcPr>
          <w:p w14:paraId="20E7DFFE">
            <w:pPr>
              <w:jc w:val="center"/>
              <w:rPr>
                <w:rFonts w:hint="eastAsia" w:ascii="宋体" w:hAnsi="宋体" w:eastAsia="宋体" w:cs="宋体"/>
                <w:i w:val="0"/>
                <w:iCs w:val="0"/>
                <w:color w:val="000000"/>
                <w:sz w:val="21"/>
                <w:szCs w:val="21"/>
                <w:highlight w:val="none"/>
                <w:u w:val="none"/>
              </w:rPr>
            </w:pPr>
            <w:r>
              <w:rPr>
                <w:color w:val="000000"/>
              </w:rPr>
              <w:t>内科</w:t>
            </w:r>
          </w:p>
        </w:tc>
        <w:tc>
          <w:tcPr>
            <w:tcW w:w="2042" w:type="dxa"/>
            <w:tcBorders>
              <w:tl2br w:val="nil"/>
              <w:tr2bl w:val="nil"/>
            </w:tcBorders>
            <w:shd w:val="clear" w:color="auto" w:fill="auto"/>
            <w:vAlign w:val="center"/>
          </w:tcPr>
          <w:p w14:paraId="78819002">
            <w:pPr>
              <w:jc w:val="center"/>
              <w:rPr>
                <w:rFonts w:hint="eastAsia" w:ascii="宋体" w:hAnsi="宋体" w:eastAsia="宋体" w:cs="宋体"/>
                <w:i w:val="0"/>
                <w:iCs w:val="0"/>
                <w:color w:val="000000"/>
                <w:sz w:val="21"/>
                <w:szCs w:val="21"/>
                <w:highlight w:val="none"/>
                <w:u w:val="none"/>
              </w:rPr>
            </w:pPr>
            <w:r>
              <w:rPr>
                <w:color w:val="000000"/>
              </w:rPr>
              <w:t>内科</w:t>
            </w:r>
          </w:p>
        </w:tc>
        <w:tc>
          <w:tcPr>
            <w:tcW w:w="3547" w:type="dxa"/>
            <w:tcBorders>
              <w:tl2br w:val="nil"/>
              <w:tr2bl w:val="nil"/>
            </w:tcBorders>
            <w:shd w:val="clear" w:color="auto" w:fill="auto"/>
            <w:vAlign w:val="center"/>
          </w:tcPr>
          <w:p w14:paraId="2B654849">
            <w:pPr>
              <w:jc w:val="center"/>
              <w:rPr>
                <w:rFonts w:hint="eastAsia" w:ascii="宋体" w:hAnsi="宋体" w:eastAsia="宋体" w:cs="宋体"/>
                <w:i w:val="0"/>
                <w:iCs w:val="0"/>
                <w:color w:val="000000"/>
                <w:sz w:val="21"/>
                <w:szCs w:val="21"/>
                <w:highlight w:val="none"/>
                <w:u w:val="none"/>
              </w:rPr>
            </w:pPr>
            <w:r>
              <w:rPr>
                <w:color w:val="000000"/>
              </w:rPr>
              <w:t>心肺有无异常、肝脾有无肿大、腹部有无包块等</w:t>
            </w:r>
          </w:p>
        </w:tc>
        <w:tc>
          <w:tcPr>
            <w:tcW w:w="1325" w:type="dxa"/>
            <w:tcBorders>
              <w:tl2br w:val="nil"/>
              <w:tr2bl w:val="nil"/>
            </w:tcBorders>
            <w:shd w:val="clear" w:color="auto" w:fill="auto"/>
            <w:vAlign w:val="center"/>
          </w:tcPr>
          <w:p w14:paraId="5944F983">
            <w:pPr>
              <w:jc w:val="center"/>
              <w:rPr>
                <w:rFonts w:hint="eastAsia" w:ascii="宋体" w:hAnsi="宋体" w:eastAsia="宋体" w:cs="宋体"/>
                <w:i w:val="0"/>
                <w:iCs w:val="0"/>
                <w:color w:val="000000"/>
                <w:sz w:val="21"/>
                <w:szCs w:val="21"/>
                <w:highlight w:val="none"/>
                <w:u w:val="none"/>
              </w:rPr>
            </w:pPr>
          </w:p>
        </w:tc>
      </w:tr>
      <w:tr w14:paraId="5A921C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4F003FD6">
            <w:pPr>
              <w:jc w:val="center"/>
              <w:rPr>
                <w:rFonts w:hint="eastAsia" w:ascii="宋体" w:hAnsi="宋体" w:eastAsia="宋体" w:cs="宋体"/>
                <w:i w:val="0"/>
                <w:iCs w:val="0"/>
                <w:color w:val="000000"/>
                <w:sz w:val="21"/>
                <w:szCs w:val="21"/>
                <w:highlight w:val="none"/>
                <w:u w:val="none"/>
              </w:rPr>
            </w:pPr>
            <w:r>
              <w:rPr>
                <w:color w:val="000000"/>
              </w:rPr>
              <w:t>4</w:t>
            </w:r>
          </w:p>
        </w:tc>
        <w:tc>
          <w:tcPr>
            <w:tcW w:w="1665" w:type="dxa"/>
            <w:tcBorders>
              <w:tl2br w:val="nil"/>
              <w:tr2bl w:val="nil"/>
            </w:tcBorders>
            <w:shd w:val="clear" w:color="auto" w:fill="auto"/>
            <w:vAlign w:val="center"/>
          </w:tcPr>
          <w:p w14:paraId="7F265B90">
            <w:pPr>
              <w:jc w:val="center"/>
              <w:rPr>
                <w:rFonts w:hint="eastAsia" w:ascii="宋体" w:hAnsi="宋体" w:eastAsia="宋体" w:cs="宋体"/>
                <w:i w:val="0"/>
                <w:iCs w:val="0"/>
                <w:color w:val="000000"/>
                <w:sz w:val="21"/>
                <w:szCs w:val="21"/>
                <w:highlight w:val="none"/>
                <w:u w:val="none"/>
              </w:rPr>
            </w:pPr>
            <w:r>
              <w:rPr>
                <w:color w:val="000000"/>
              </w:rPr>
              <w:t>外科</w:t>
            </w:r>
          </w:p>
        </w:tc>
        <w:tc>
          <w:tcPr>
            <w:tcW w:w="2042" w:type="dxa"/>
            <w:tcBorders>
              <w:tl2br w:val="nil"/>
              <w:tr2bl w:val="nil"/>
            </w:tcBorders>
            <w:shd w:val="clear" w:color="auto" w:fill="auto"/>
            <w:vAlign w:val="center"/>
          </w:tcPr>
          <w:p w14:paraId="1C9D572D">
            <w:pPr>
              <w:jc w:val="center"/>
              <w:rPr>
                <w:rFonts w:hint="eastAsia" w:ascii="宋体" w:hAnsi="宋体" w:eastAsia="宋体" w:cs="宋体"/>
                <w:i w:val="0"/>
                <w:iCs w:val="0"/>
                <w:color w:val="000000"/>
                <w:sz w:val="21"/>
                <w:szCs w:val="21"/>
                <w:highlight w:val="none"/>
                <w:u w:val="none"/>
              </w:rPr>
            </w:pPr>
            <w:r>
              <w:rPr>
                <w:color w:val="000000"/>
              </w:rPr>
              <w:t>外科</w:t>
            </w:r>
          </w:p>
        </w:tc>
        <w:tc>
          <w:tcPr>
            <w:tcW w:w="3547" w:type="dxa"/>
            <w:tcBorders>
              <w:tl2br w:val="nil"/>
              <w:tr2bl w:val="nil"/>
            </w:tcBorders>
            <w:shd w:val="clear" w:color="auto" w:fill="auto"/>
            <w:vAlign w:val="center"/>
          </w:tcPr>
          <w:p w14:paraId="2EFF5A4F">
            <w:pPr>
              <w:jc w:val="center"/>
              <w:rPr>
                <w:rFonts w:hint="eastAsia" w:ascii="宋体" w:hAnsi="宋体" w:eastAsia="宋体" w:cs="宋体"/>
                <w:i w:val="0"/>
                <w:iCs w:val="0"/>
                <w:color w:val="000000"/>
                <w:sz w:val="21"/>
                <w:szCs w:val="21"/>
                <w:highlight w:val="none"/>
                <w:u w:val="none"/>
              </w:rPr>
            </w:pPr>
            <w:r>
              <w:rPr>
                <w:color w:val="000000"/>
              </w:rPr>
              <w:t>淋巴结有无肿大，甲状腺、乳房、外生殖器、前列腺、肛肠有无异常、四肢脊柱有无畸形等</w:t>
            </w:r>
          </w:p>
        </w:tc>
        <w:tc>
          <w:tcPr>
            <w:tcW w:w="1325" w:type="dxa"/>
            <w:tcBorders>
              <w:tl2br w:val="nil"/>
              <w:tr2bl w:val="nil"/>
            </w:tcBorders>
            <w:shd w:val="clear" w:color="auto" w:fill="auto"/>
            <w:vAlign w:val="center"/>
          </w:tcPr>
          <w:p w14:paraId="6B567E34">
            <w:pPr>
              <w:jc w:val="center"/>
              <w:rPr>
                <w:rFonts w:hint="eastAsia" w:ascii="宋体" w:hAnsi="宋体" w:eastAsia="宋体" w:cs="宋体"/>
                <w:i w:val="0"/>
                <w:iCs w:val="0"/>
                <w:color w:val="000000"/>
                <w:sz w:val="21"/>
                <w:szCs w:val="21"/>
                <w:highlight w:val="none"/>
                <w:u w:val="none"/>
              </w:rPr>
            </w:pPr>
          </w:p>
        </w:tc>
      </w:tr>
      <w:tr w14:paraId="1AD61B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13A125CA">
            <w:pPr>
              <w:jc w:val="center"/>
              <w:rPr>
                <w:rFonts w:hint="eastAsia" w:ascii="宋体" w:hAnsi="宋体" w:eastAsia="宋体" w:cs="宋体"/>
                <w:i w:val="0"/>
                <w:iCs w:val="0"/>
                <w:color w:val="000000"/>
                <w:sz w:val="21"/>
                <w:szCs w:val="21"/>
                <w:highlight w:val="none"/>
                <w:u w:val="none"/>
              </w:rPr>
            </w:pPr>
            <w:r>
              <w:rPr>
                <w:color w:val="000000"/>
              </w:rPr>
              <w:t>5</w:t>
            </w:r>
          </w:p>
        </w:tc>
        <w:tc>
          <w:tcPr>
            <w:tcW w:w="1665" w:type="dxa"/>
            <w:tcBorders>
              <w:tl2br w:val="nil"/>
              <w:tr2bl w:val="nil"/>
            </w:tcBorders>
            <w:shd w:val="clear" w:color="auto" w:fill="auto"/>
            <w:vAlign w:val="center"/>
          </w:tcPr>
          <w:p w14:paraId="28111FCA">
            <w:pPr>
              <w:jc w:val="center"/>
              <w:rPr>
                <w:rFonts w:hint="eastAsia" w:ascii="宋体" w:hAnsi="宋体" w:eastAsia="宋体" w:cs="宋体"/>
                <w:i w:val="0"/>
                <w:iCs w:val="0"/>
                <w:color w:val="000000"/>
                <w:sz w:val="21"/>
                <w:szCs w:val="21"/>
                <w:highlight w:val="none"/>
                <w:u w:val="none"/>
              </w:rPr>
            </w:pPr>
            <w:r>
              <w:rPr>
                <w:color w:val="000000"/>
              </w:rPr>
              <w:t>视力 色觉</w:t>
            </w:r>
          </w:p>
        </w:tc>
        <w:tc>
          <w:tcPr>
            <w:tcW w:w="2042" w:type="dxa"/>
            <w:tcBorders>
              <w:tl2br w:val="nil"/>
              <w:tr2bl w:val="nil"/>
            </w:tcBorders>
            <w:shd w:val="clear" w:color="auto" w:fill="auto"/>
            <w:vAlign w:val="center"/>
          </w:tcPr>
          <w:p w14:paraId="568F91E6">
            <w:pPr>
              <w:jc w:val="center"/>
              <w:rPr>
                <w:rFonts w:hint="eastAsia" w:ascii="宋体" w:hAnsi="宋体" w:eastAsia="宋体" w:cs="宋体"/>
                <w:i w:val="0"/>
                <w:iCs w:val="0"/>
                <w:color w:val="000000"/>
                <w:sz w:val="21"/>
                <w:szCs w:val="21"/>
                <w:highlight w:val="none"/>
                <w:u w:val="none"/>
              </w:rPr>
            </w:pPr>
            <w:r>
              <w:rPr>
                <w:color w:val="000000"/>
              </w:rPr>
              <w:t>视力 色觉</w:t>
            </w:r>
          </w:p>
        </w:tc>
        <w:tc>
          <w:tcPr>
            <w:tcW w:w="3547" w:type="dxa"/>
            <w:tcBorders>
              <w:tl2br w:val="nil"/>
              <w:tr2bl w:val="nil"/>
            </w:tcBorders>
            <w:shd w:val="clear" w:color="auto" w:fill="auto"/>
            <w:vAlign w:val="center"/>
          </w:tcPr>
          <w:p w14:paraId="7B1E1401">
            <w:pPr>
              <w:jc w:val="center"/>
              <w:rPr>
                <w:rFonts w:hint="eastAsia" w:ascii="宋体" w:hAnsi="宋体" w:eastAsia="宋体" w:cs="宋体"/>
                <w:i w:val="0"/>
                <w:iCs w:val="0"/>
                <w:color w:val="000000"/>
                <w:sz w:val="21"/>
                <w:szCs w:val="21"/>
                <w:highlight w:val="none"/>
                <w:u w:val="none"/>
              </w:rPr>
            </w:pPr>
            <w:r>
              <w:rPr>
                <w:color w:val="000000"/>
              </w:rPr>
              <w:t>主要检查测视力/色觉，提示色弱、色盲，提示视力异常。</w:t>
            </w:r>
          </w:p>
        </w:tc>
        <w:tc>
          <w:tcPr>
            <w:tcW w:w="1325" w:type="dxa"/>
            <w:tcBorders>
              <w:tl2br w:val="nil"/>
              <w:tr2bl w:val="nil"/>
            </w:tcBorders>
            <w:shd w:val="clear" w:color="auto" w:fill="auto"/>
            <w:vAlign w:val="center"/>
          </w:tcPr>
          <w:p w14:paraId="61F87509">
            <w:pPr>
              <w:jc w:val="center"/>
              <w:rPr>
                <w:rFonts w:hint="eastAsia" w:ascii="宋体" w:hAnsi="宋体" w:eastAsia="宋体" w:cs="宋体"/>
                <w:i w:val="0"/>
                <w:iCs w:val="0"/>
                <w:color w:val="000000"/>
                <w:sz w:val="21"/>
                <w:szCs w:val="21"/>
                <w:highlight w:val="none"/>
                <w:u w:val="none"/>
              </w:rPr>
            </w:pPr>
          </w:p>
        </w:tc>
      </w:tr>
      <w:tr w14:paraId="649439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170BB46A">
            <w:pPr>
              <w:jc w:val="center"/>
              <w:rPr>
                <w:rFonts w:hint="eastAsia" w:ascii="宋体" w:hAnsi="宋体" w:eastAsia="宋体" w:cs="宋体"/>
                <w:i w:val="0"/>
                <w:iCs w:val="0"/>
                <w:color w:val="000000"/>
                <w:sz w:val="21"/>
                <w:szCs w:val="21"/>
                <w:highlight w:val="none"/>
                <w:u w:val="none"/>
              </w:rPr>
            </w:pPr>
            <w:r>
              <w:rPr>
                <w:color w:val="000000"/>
              </w:rPr>
              <w:t>6</w:t>
            </w:r>
          </w:p>
        </w:tc>
        <w:tc>
          <w:tcPr>
            <w:tcW w:w="1665" w:type="dxa"/>
            <w:tcBorders>
              <w:tl2br w:val="nil"/>
              <w:tr2bl w:val="nil"/>
            </w:tcBorders>
            <w:shd w:val="clear" w:color="auto" w:fill="auto"/>
            <w:vAlign w:val="center"/>
          </w:tcPr>
          <w:p w14:paraId="5C302A11">
            <w:pPr>
              <w:jc w:val="center"/>
              <w:rPr>
                <w:rFonts w:hint="eastAsia" w:ascii="宋体" w:hAnsi="宋体" w:eastAsia="宋体" w:cs="宋体"/>
                <w:i w:val="0"/>
                <w:iCs w:val="0"/>
                <w:color w:val="000000"/>
                <w:sz w:val="21"/>
                <w:szCs w:val="21"/>
                <w:highlight w:val="none"/>
                <w:u w:val="none"/>
              </w:rPr>
            </w:pPr>
            <w:r>
              <w:rPr>
                <w:color w:val="000000"/>
              </w:rPr>
              <w:t>耳鼻咽喉科</w:t>
            </w:r>
          </w:p>
        </w:tc>
        <w:tc>
          <w:tcPr>
            <w:tcW w:w="2042" w:type="dxa"/>
            <w:tcBorders>
              <w:tl2br w:val="nil"/>
              <w:tr2bl w:val="nil"/>
            </w:tcBorders>
            <w:shd w:val="clear" w:color="auto" w:fill="auto"/>
            <w:vAlign w:val="center"/>
          </w:tcPr>
          <w:p w14:paraId="445FC628">
            <w:pPr>
              <w:jc w:val="center"/>
              <w:rPr>
                <w:rFonts w:hint="eastAsia" w:ascii="宋体" w:hAnsi="宋体" w:eastAsia="宋体" w:cs="宋体"/>
                <w:i w:val="0"/>
                <w:iCs w:val="0"/>
                <w:color w:val="000000"/>
                <w:sz w:val="21"/>
                <w:szCs w:val="21"/>
                <w:highlight w:val="none"/>
                <w:u w:val="none"/>
              </w:rPr>
            </w:pPr>
            <w:r>
              <w:rPr>
                <w:color w:val="000000"/>
              </w:rPr>
              <w:t>耳鼻咽喉科</w:t>
            </w:r>
          </w:p>
        </w:tc>
        <w:tc>
          <w:tcPr>
            <w:tcW w:w="3547" w:type="dxa"/>
            <w:tcBorders>
              <w:tl2br w:val="nil"/>
              <w:tr2bl w:val="nil"/>
            </w:tcBorders>
            <w:shd w:val="clear" w:color="auto" w:fill="auto"/>
            <w:vAlign w:val="center"/>
          </w:tcPr>
          <w:p w14:paraId="44B54B0A">
            <w:pPr>
              <w:jc w:val="center"/>
              <w:rPr>
                <w:rFonts w:hint="eastAsia" w:ascii="宋体" w:hAnsi="宋体" w:eastAsia="宋体" w:cs="宋体"/>
                <w:i w:val="0"/>
                <w:iCs w:val="0"/>
                <w:color w:val="000000"/>
                <w:sz w:val="21"/>
                <w:szCs w:val="21"/>
                <w:highlight w:val="none"/>
                <w:u w:val="none"/>
              </w:rPr>
            </w:pPr>
            <w:r>
              <w:rPr>
                <w:color w:val="000000"/>
              </w:rPr>
              <w:t>耳、鼻、咽、喉有无异常，如中耳炎、鼓膜穿孔、扁桃体肿大等</w:t>
            </w:r>
          </w:p>
        </w:tc>
        <w:tc>
          <w:tcPr>
            <w:tcW w:w="1325" w:type="dxa"/>
            <w:tcBorders>
              <w:tl2br w:val="nil"/>
              <w:tr2bl w:val="nil"/>
            </w:tcBorders>
            <w:shd w:val="clear" w:color="auto" w:fill="auto"/>
            <w:vAlign w:val="center"/>
          </w:tcPr>
          <w:p w14:paraId="78A133B2">
            <w:pPr>
              <w:jc w:val="center"/>
              <w:rPr>
                <w:rFonts w:hint="eastAsia" w:ascii="宋体" w:hAnsi="宋体" w:eastAsia="宋体" w:cs="宋体"/>
                <w:i w:val="0"/>
                <w:iCs w:val="0"/>
                <w:color w:val="000000"/>
                <w:sz w:val="21"/>
                <w:szCs w:val="21"/>
                <w:highlight w:val="none"/>
                <w:u w:val="none"/>
              </w:rPr>
            </w:pPr>
          </w:p>
        </w:tc>
      </w:tr>
      <w:tr w14:paraId="16217B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3A72C3BB">
            <w:pPr>
              <w:jc w:val="center"/>
              <w:rPr>
                <w:rFonts w:hint="eastAsia" w:ascii="宋体" w:hAnsi="宋体" w:eastAsia="宋体" w:cs="宋体"/>
                <w:i w:val="0"/>
                <w:iCs w:val="0"/>
                <w:color w:val="000000"/>
                <w:sz w:val="21"/>
                <w:szCs w:val="21"/>
                <w:highlight w:val="none"/>
                <w:u w:val="none"/>
              </w:rPr>
            </w:pPr>
            <w:r>
              <w:rPr>
                <w:color w:val="000000"/>
              </w:rPr>
              <w:t>7</w:t>
            </w:r>
          </w:p>
        </w:tc>
        <w:tc>
          <w:tcPr>
            <w:tcW w:w="1665" w:type="dxa"/>
            <w:tcBorders>
              <w:tl2br w:val="nil"/>
              <w:tr2bl w:val="nil"/>
            </w:tcBorders>
            <w:shd w:val="clear" w:color="auto" w:fill="auto"/>
            <w:vAlign w:val="center"/>
          </w:tcPr>
          <w:p w14:paraId="0A43C973">
            <w:pPr>
              <w:jc w:val="center"/>
              <w:rPr>
                <w:rFonts w:hint="eastAsia" w:ascii="宋体" w:hAnsi="宋体" w:eastAsia="宋体" w:cs="宋体"/>
                <w:i w:val="0"/>
                <w:iCs w:val="0"/>
                <w:color w:val="000000"/>
                <w:sz w:val="21"/>
                <w:szCs w:val="21"/>
                <w:highlight w:val="none"/>
                <w:u w:val="none"/>
              </w:rPr>
            </w:pPr>
            <w:r>
              <w:rPr>
                <w:color w:val="000000"/>
              </w:rPr>
              <w:t>口腔科</w:t>
            </w:r>
          </w:p>
        </w:tc>
        <w:tc>
          <w:tcPr>
            <w:tcW w:w="2042" w:type="dxa"/>
            <w:tcBorders>
              <w:tl2br w:val="nil"/>
              <w:tr2bl w:val="nil"/>
            </w:tcBorders>
            <w:shd w:val="clear" w:color="auto" w:fill="auto"/>
            <w:vAlign w:val="center"/>
          </w:tcPr>
          <w:p w14:paraId="0F87B3A5">
            <w:pPr>
              <w:jc w:val="center"/>
              <w:rPr>
                <w:rFonts w:hint="eastAsia" w:ascii="宋体" w:hAnsi="宋体" w:eastAsia="宋体" w:cs="宋体"/>
                <w:i w:val="0"/>
                <w:iCs w:val="0"/>
                <w:color w:val="000000"/>
                <w:sz w:val="21"/>
                <w:szCs w:val="21"/>
                <w:highlight w:val="none"/>
                <w:u w:val="none"/>
              </w:rPr>
            </w:pPr>
            <w:r>
              <w:rPr>
                <w:color w:val="000000"/>
              </w:rPr>
              <w:t>口腔常规检查，全面了解口腔健康状况，及时发现口腔科常见疾病。</w:t>
            </w:r>
          </w:p>
        </w:tc>
        <w:tc>
          <w:tcPr>
            <w:tcW w:w="3547" w:type="dxa"/>
            <w:tcBorders>
              <w:tl2br w:val="nil"/>
              <w:tr2bl w:val="nil"/>
            </w:tcBorders>
            <w:shd w:val="clear" w:color="auto" w:fill="auto"/>
            <w:vAlign w:val="center"/>
          </w:tcPr>
          <w:p w14:paraId="22A94036">
            <w:pPr>
              <w:jc w:val="center"/>
              <w:rPr>
                <w:rFonts w:hint="eastAsia" w:ascii="宋体" w:hAnsi="宋体" w:eastAsia="宋体" w:cs="宋体"/>
                <w:i w:val="0"/>
                <w:iCs w:val="0"/>
                <w:color w:val="000000"/>
                <w:sz w:val="21"/>
                <w:szCs w:val="21"/>
                <w:highlight w:val="none"/>
                <w:u w:val="none"/>
              </w:rPr>
            </w:pPr>
            <w:r>
              <w:rPr>
                <w:color w:val="000000"/>
              </w:rPr>
              <w:t>通过检查可对龋齿、牙龈炎、牙周炎进行早期检查，同时提供口腔保健指导</w:t>
            </w:r>
          </w:p>
        </w:tc>
        <w:tc>
          <w:tcPr>
            <w:tcW w:w="1325" w:type="dxa"/>
            <w:tcBorders>
              <w:tl2br w:val="nil"/>
              <w:tr2bl w:val="nil"/>
            </w:tcBorders>
            <w:shd w:val="clear" w:color="auto" w:fill="auto"/>
            <w:vAlign w:val="center"/>
          </w:tcPr>
          <w:p w14:paraId="6F85CE0F">
            <w:pPr>
              <w:jc w:val="center"/>
              <w:rPr>
                <w:rFonts w:hint="eastAsia" w:ascii="宋体" w:hAnsi="宋体" w:eastAsia="宋体" w:cs="宋体"/>
                <w:i w:val="0"/>
                <w:iCs w:val="0"/>
                <w:color w:val="000000"/>
                <w:sz w:val="21"/>
                <w:szCs w:val="21"/>
                <w:highlight w:val="none"/>
                <w:u w:val="none"/>
              </w:rPr>
            </w:pPr>
          </w:p>
        </w:tc>
      </w:tr>
      <w:tr w14:paraId="587864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19157E0D">
            <w:pPr>
              <w:jc w:val="center"/>
              <w:rPr>
                <w:rFonts w:hint="eastAsia" w:ascii="宋体" w:hAnsi="宋体" w:eastAsia="宋体" w:cs="宋体"/>
                <w:i w:val="0"/>
                <w:iCs w:val="0"/>
                <w:color w:val="000000"/>
                <w:sz w:val="21"/>
                <w:szCs w:val="21"/>
                <w:highlight w:val="none"/>
                <w:u w:val="none"/>
              </w:rPr>
            </w:pPr>
            <w:r>
              <w:rPr>
                <w:color w:val="000000"/>
              </w:rPr>
              <w:t>8</w:t>
            </w:r>
          </w:p>
        </w:tc>
        <w:tc>
          <w:tcPr>
            <w:tcW w:w="1665" w:type="dxa"/>
            <w:tcBorders>
              <w:tl2br w:val="nil"/>
              <w:tr2bl w:val="nil"/>
            </w:tcBorders>
            <w:shd w:val="clear" w:color="auto" w:fill="auto"/>
            <w:vAlign w:val="center"/>
          </w:tcPr>
          <w:p w14:paraId="579F2159">
            <w:pPr>
              <w:jc w:val="center"/>
              <w:rPr>
                <w:rFonts w:hint="eastAsia" w:ascii="宋体" w:hAnsi="宋体" w:eastAsia="宋体" w:cs="宋体"/>
                <w:i w:val="0"/>
                <w:iCs w:val="0"/>
                <w:color w:val="000000"/>
                <w:sz w:val="21"/>
                <w:szCs w:val="21"/>
                <w:highlight w:val="none"/>
                <w:u w:val="none"/>
              </w:rPr>
            </w:pPr>
            <w:r>
              <w:rPr>
                <w:color w:val="000000"/>
              </w:rPr>
              <w:t>肝功能七项</w:t>
            </w:r>
          </w:p>
        </w:tc>
        <w:tc>
          <w:tcPr>
            <w:tcW w:w="2042" w:type="dxa"/>
            <w:tcBorders>
              <w:tl2br w:val="nil"/>
              <w:tr2bl w:val="nil"/>
            </w:tcBorders>
            <w:shd w:val="clear" w:color="auto" w:fill="auto"/>
            <w:vAlign w:val="center"/>
          </w:tcPr>
          <w:p w14:paraId="709E7379">
            <w:pPr>
              <w:jc w:val="center"/>
              <w:rPr>
                <w:rFonts w:hint="eastAsia" w:ascii="宋体" w:hAnsi="宋体" w:eastAsia="宋体" w:cs="宋体"/>
                <w:i w:val="0"/>
                <w:iCs w:val="0"/>
                <w:color w:val="000000"/>
                <w:sz w:val="21"/>
                <w:szCs w:val="21"/>
                <w:highlight w:val="none"/>
                <w:u w:val="none"/>
              </w:rPr>
            </w:pPr>
            <w:r>
              <w:rPr>
                <w:color w:val="000000"/>
              </w:rPr>
              <w:t>丙氨酸氨基转移酶(ALT) \ 天门冬氨酸氨基转移酶(AST) \ 谷氨酰转肽酶(GGT)</w:t>
            </w:r>
          </w:p>
        </w:tc>
        <w:tc>
          <w:tcPr>
            <w:tcW w:w="3547" w:type="dxa"/>
            <w:tcBorders>
              <w:tl2br w:val="nil"/>
              <w:tr2bl w:val="nil"/>
            </w:tcBorders>
            <w:shd w:val="clear" w:color="auto" w:fill="auto"/>
            <w:vAlign w:val="center"/>
          </w:tcPr>
          <w:p w14:paraId="573505FB">
            <w:pPr>
              <w:jc w:val="center"/>
              <w:rPr>
                <w:rFonts w:hint="eastAsia" w:ascii="宋体" w:hAnsi="宋体" w:eastAsia="宋体" w:cs="宋体"/>
                <w:i w:val="0"/>
                <w:iCs w:val="0"/>
                <w:color w:val="000000"/>
                <w:sz w:val="21"/>
                <w:szCs w:val="21"/>
                <w:highlight w:val="none"/>
                <w:u w:val="none"/>
              </w:rPr>
            </w:pPr>
            <w:r>
              <w:rPr>
                <w:color w:val="000000"/>
              </w:rPr>
              <w:t>结合其他肝功能检测，可提示肝胆系统疾病：急性传染性肝炎，中毒性肝炎，脂肪肝，胆管炎，胆囊炎，药物中毒性肝炎，酒精性肝炎和黄疸等。</w:t>
            </w:r>
          </w:p>
        </w:tc>
        <w:tc>
          <w:tcPr>
            <w:tcW w:w="1325" w:type="dxa"/>
            <w:tcBorders>
              <w:tl2br w:val="nil"/>
              <w:tr2bl w:val="nil"/>
            </w:tcBorders>
            <w:shd w:val="clear" w:color="auto" w:fill="auto"/>
            <w:vAlign w:val="center"/>
          </w:tcPr>
          <w:p w14:paraId="5645969E">
            <w:pPr>
              <w:jc w:val="center"/>
              <w:rPr>
                <w:rFonts w:hint="eastAsia" w:ascii="宋体" w:hAnsi="宋体" w:eastAsia="宋体" w:cs="宋体"/>
                <w:i w:val="0"/>
                <w:iCs w:val="0"/>
                <w:color w:val="000000"/>
                <w:sz w:val="21"/>
                <w:szCs w:val="21"/>
                <w:highlight w:val="none"/>
                <w:u w:val="none"/>
              </w:rPr>
            </w:pPr>
          </w:p>
        </w:tc>
      </w:tr>
      <w:tr w14:paraId="250986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4F826207">
            <w:pPr>
              <w:jc w:val="center"/>
              <w:rPr>
                <w:rFonts w:hint="eastAsia" w:ascii="宋体" w:hAnsi="宋体" w:eastAsia="宋体" w:cs="宋体"/>
                <w:i w:val="0"/>
                <w:iCs w:val="0"/>
                <w:color w:val="000000"/>
                <w:sz w:val="21"/>
                <w:szCs w:val="21"/>
                <w:highlight w:val="none"/>
                <w:u w:val="none"/>
              </w:rPr>
            </w:pPr>
            <w:r>
              <w:rPr>
                <w:color w:val="000000"/>
              </w:rPr>
              <w:t>9</w:t>
            </w:r>
          </w:p>
        </w:tc>
        <w:tc>
          <w:tcPr>
            <w:tcW w:w="1665" w:type="dxa"/>
            <w:tcBorders>
              <w:tl2br w:val="nil"/>
              <w:tr2bl w:val="nil"/>
            </w:tcBorders>
            <w:shd w:val="clear" w:color="auto" w:fill="auto"/>
            <w:vAlign w:val="center"/>
          </w:tcPr>
          <w:p w14:paraId="7C0D3599">
            <w:pPr>
              <w:jc w:val="center"/>
              <w:rPr>
                <w:rFonts w:hint="eastAsia" w:ascii="宋体" w:hAnsi="宋体" w:eastAsia="宋体" w:cs="宋体"/>
                <w:i w:val="0"/>
                <w:iCs w:val="0"/>
                <w:color w:val="000000"/>
                <w:sz w:val="21"/>
                <w:szCs w:val="21"/>
                <w:highlight w:val="none"/>
                <w:u w:val="none"/>
              </w:rPr>
            </w:pPr>
            <w:r>
              <w:rPr>
                <w:color w:val="000000"/>
              </w:rPr>
              <w:t>肝功能七项</w:t>
            </w:r>
          </w:p>
        </w:tc>
        <w:tc>
          <w:tcPr>
            <w:tcW w:w="2042" w:type="dxa"/>
            <w:tcBorders>
              <w:tl2br w:val="nil"/>
              <w:tr2bl w:val="nil"/>
            </w:tcBorders>
            <w:shd w:val="clear" w:color="auto" w:fill="auto"/>
            <w:vAlign w:val="center"/>
          </w:tcPr>
          <w:p w14:paraId="31DBEC8C">
            <w:pPr>
              <w:jc w:val="center"/>
              <w:rPr>
                <w:rFonts w:hint="eastAsia" w:ascii="宋体" w:hAnsi="宋体" w:eastAsia="宋体" w:cs="宋体"/>
                <w:i w:val="0"/>
                <w:iCs w:val="0"/>
                <w:color w:val="000000"/>
                <w:sz w:val="21"/>
                <w:szCs w:val="21"/>
                <w:highlight w:val="none"/>
                <w:u w:val="none"/>
              </w:rPr>
            </w:pPr>
            <w:r>
              <w:rPr>
                <w:color w:val="000000"/>
              </w:rPr>
              <w:t>血清蛋白四项</w:t>
            </w:r>
          </w:p>
        </w:tc>
        <w:tc>
          <w:tcPr>
            <w:tcW w:w="3547" w:type="dxa"/>
            <w:tcBorders>
              <w:tl2br w:val="nil"/>
              <w:tr2bl w:val="nil"/>
            </w:tcBorders>
            <w:shd w:val="clear" w:color="auto" w:fill="auto"/>
            <w:vAlign w:val="center"/>
          </w:tcPr>
          <w:p w14:paraId="0DD7A753">
            <w:pPr>
              <w:jc w:val="center"/>
              <w:rPr>
                <w:rFonts w:hint="eastAsia" w:ascii="宋体" w:hAnsi="宋体" w:eastAsia="宋体" w:cs="宋体"/>
                <w:i w:val="0"/>
                <w:iCs w:val="0"/>
                <w:color w:val="000000"/>
                <w:sz w:val="21"/>
                <w:szCs w:val="21"/>
                <w:highlight w:val="none"/>
                <w:u w:val="none"/>
              </w:rPr>
            </w:pPr>
            <w:r>
              <w:rPr>
                <w:color w:val="000000"/>
              </w:rPr>
              <w:t>结合其他肝功能检测，可提示肝胆系统疾病：急性传染性肝炎，中毒性肝炎，脂肪肝，胆管炎，胆囊炎，药物中毒性肝炎，酒精性肝炎和黄疸等。</w:t>
            </w:r>
          </w:p>
        </w:tc>
        <w:tc>
          <w:tcPr>
            <w:tcW w:w="1325" w:type="dxa"/>
            <w:tcBorders>
              <w:tl2br w:val="nil"/>
              <w:tr2bl w:val="nil"/>
            </w:tcBorders>
            <w:shd w:val="clear" w:color="auto" w:fill="auto"/>
            <w:vAlign w:val="center"/>
          </w:tcPr>
          <w:p w14:paraId="5702F3D1">
            <w:pPr>
              <w:jc w:val="center"/>
              <w:rPr>
                <w:rFonts w:hint="eastAsia" w:ascii="宋体" w:hAnsi="宋体" w:eastAsia="宋体" w:cs="宋体"/>
                <w:i w:val="0"/>
                <w:iCs w:val="0"/>
                <w:color w:val="000000"/>
                <w:sz w:val="21"/>
                <w:szCs w:val="21"/>
                <w:highlight w:val="none"/>
                <w:u w:val="none"/>
              </w:rPr>
            </w:pPr>
          </w:p>
        </w:tc>
      </w:tr>
      <w:tr w14:paraId="401E4A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71109962">
            <w:pPr>
              <w:jc w:val="center"/>
              <w:rPr>
                <w:rFonts w:hint="eastAsia" w:ascii="宋体" w:hAnsi="宋体" w:eastAsia="宋体" w:cs="宋体"/>
                <w:i w:val="0"/>
                <w:iCs w:val="0"/>
                <w:color w:val="000000"/>
                <w:sz w:val="21"/>
                <w:szCs w:val="21"/>
                <w:highlight w:val="none"/>
                <w:u w:val="none"/>
              </w:rPr>
            </w:pPr>
            <w:r>
              <w:rPr>
                <w:color w:val="000000"/>
              </w:rPr>
              <w:t>10</w:t>
            </w:r>
          </w:p>
        </w:tc>
        <w:tc>
          <w:tcPr>
            <w:tcW w:w="1665" w:type="dxa"/>
            <w:tcBorders>
              <w:tl2br w:val="nil"/>
              <w:tr2bl w:val="nil"/>
            </w:tcBorders>
            <w:shd w:val="clear" w:color="auto" w:fill="auto"/>
            <w:vAlign w:val="center"/>
          </w:tcPr>
          <w:p w14:paraId="55BF7018">
            <w:pPr>
              <w:jc w:val="center"/>
              <w:rPr>
                <w:rFonts w:hint="eastAsia" w:ascii="宋体" w:hAnsi="宋体" w:eastAsia="宋体" w:cs="宋体"/>
                <w:i w:val="0"/>
                <w:iCs w:val="0"/>
                <w:color w:val="000000"/>
                <w:sz w:val="21"/>
                <w:szCs w:val="21"/>
                <w:highlight w:val="none"/>
                <w:u w:val="none"/>
              </w:rPr>
            </w:pPr>
            <w:r>
              <w:rPr>
                <w:color w:val="000000"/>
              </w:rPr>
              <w:t>肾功能三项</w:t>
            </w:r>
          </w:p>
        </w:tc>
        <w:tc>
          <w:tcPr>
            <w:tcW w:w="2042" w:type="dxa"/>
            <w:tcBorders>
              <w:tl2br w:val="nil"/>
              <w:tr2bl w:val="nil"/>
            </w:tcBorders>
            <w:shd w:val="clear" w:color="auto" w:fill="auto"/>
            <w:vAlign w:val="center"/>
          </w:tcPr>
          <w:p w14:paraId="77866DBC">
            <w:pPr>
              <w:jc w:val="center"/>
              <w:rPr>
                <w:rFonts w:hint="eastAsia" w:ascii="宋体" w:hAnsi="宋体" w:eastAsia="宋体" w:cs="宋体"/>
                <w:i w:val="0"/>
                <w:iCs w:val="0"/>
                <w:color w:val="000000"/>
                <w:sz w:val="21"/>
                <w:szCs w:val="21"/>
                <w:highlight w:val="none"/>
                <w:u w:val="none"/>
              </w:rPr>
            </w:pPr>
            <w:r>
              <w:rPr>
                <w:color w:val="000000"/>
              </w:rPr>
              <w:t>尿素氮(BUN)、肌酐(CR)、尿酸</w:t>
            </w:r>
          </w:p>
        </w:tc>
        <w:tc>
          <w:tcPr>
            <w:tcW w:w="3547" w:type="dxa"/>
            <w:tcBorders>
              <w:tl2br w:val="nil"/>
              <w:tr2bl w:val="nil"/>
            </w:tcBorders>
            <w:shd w:val="clear" w:color="auto" w:fill="auto"/>
            <w:vAlign w:val="center"/>
          </w:tcPr>
          <w:p w14:paraId="3C5B5298">
            <w:pPr>
              <w:jc w:val="center"/>
              <w:rPr>
                <w:rFonts w:hint="eastAsia" w:ascii="宋体" w:hAnsi="宋体" w:eastAsia="宋体" w:cs="宋体"/>
                <w:i w:val="0"/>
                <w:iCs w:val="0"/>
                <w:color w:val="000000"/>
                <w:sz w:val="21"/>
                <w:szCs w:val="21"/>
                <w:highlight w:val="none"/>
                <w:u w:val="none"/>
              </w:rPr>
            </w:pPr>
            <w:r>
              <w:rPr>
                <w:color w:val="000000"/>
              </w:rPr>
              <w:t>用于肾脏功能检测，评估肾脏疾病风险。</w:t>
            </w:r>
          </w:p>
        </w:tc>
        <w:tc>
          <w:tcPr>
            <w:tcW w:w="1325" w:type="dxa"/>
            <w:tcBorders>
              <w:tl2br w:val="nil"/>
              <w:tr2bl w:val="nil"/>
            </w:tcBorders>
            <w:shd w:val="clear" w:color="auto" w:fill="auto"/>
            <w:vAlign w:val="center"/>
          </w:tcPr>
          <w:p w14:paraId="4253C921">
            <w:pPr>
              <w:jc w:val="center"/>
              <w:rPr>
                <w:rFonts w:hint="eastAsia" w:ascii="宋体" w:hAnsi="宋体" w:eastAsia="宋体" w:cs="宋体"/>
                <w:i w:val="0"/>
                <w:iCs w:val="0"/>
                <w:color w:val="000000"/>
                <w:sz w:val="21"/>
                <w:szCs w:val="21"/>
                <w:highlight w:val="none"/>
                <w:u w:val="none"/>
              </w:rPr>
            </w:pPr>
          </w:p>
        </w:tc>
      </w:tr>
      <w:tr w14:paraId="5D56E7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15FB0E81">
            <w:pPr>
              <w:jc w:val="center"/>
              <w:rPr>
                <w:rFonts w:hint="eastAsia" w:ascii="宋体" w:hAnsi="宋体" w:eastAsia="宋体" w:cs="宋体"/>
                <w:i w:val="0"/>
                <w:iCs w:val="0"/>
                <w:color w:val="000000"/>
                <w:sz w:val="21"/>
                <w:szCs w:val="21"/>
                <w:highlight w:val="none"/>
                <w:u w:val="none"/>
              </w:rPr>
            </w:pPr>
            <w:r>
              <w:rPr>
                <w:color w:val="000000"/>
              </w:rPr>
              <w:t>11</w:t>
            </w:r>
          </w:p>
        </w:tc>
        <w:tc>
          <w:tcPr>
            <w:tcW w:w="1665" w:type="dxa"/>
            <w:tcBorders>
              <w:tl2br w:val="nil"/>
              <w:tr2bl w:val="nil"/>
            </w:tcBorders>
            <w:shd w:val="clear" w:color="auto" w:fill="auto"/>
            <w:vAlign w:val="center"/>
          </w:tcPr>
          <w:p w14:paraId="71DF4609">
            <w:pPr>
              <w:jc w:val="center"/>
              <w:rPr>
                <w:rFonts w:hint="eastAsia" w:ascii="宋体" w:hAnsi="宋体" w:eastAsia="宋体" w:cs="宋体"/>
                <w:i w:val="0"/>
                <w:iCs w:val="0"/>
                <w:color w:val="000000"/>
                <w:sz w:val="21"/>
                <w:szCs w:val="21"/>
                <w:highlight w:val="none"/>
                <w:u w:val="none"/>
              </w:rPr>
            </w:pPr>
            <w:r>
              <w:rPr>
                <w:color w:val="000000"/>
              </w:rPr>
              <w:t>血脂四项</w:t>
            </w:r>
          </w:p>
        </w:tc>
        <w:tc>
          <w:tcPr>
            <w:tcW w:w="2042" w:type="dxa"/>
            <w:tcBorders>
              <w:tl2br w:val="nil"/>
              <w:tr2bl w:val="nil"/>
            </w:tcBorders>
            <w:shd w:val="clear" w:color="auto" w:fill="auto"/>
            <w:vAlign w:val="center"/>
          </w:tcPr>
          <w:p w14:paraId="7AC4412C">
            <w:pPr>
              <w:jc w:val="center"/>
              <w:rPr>
                <w:rFonts w:hint="eastAsia" w:ascii="宋体" w:hAnsi="宋体" w:eastAsia="宋体" w:cs="宋体"/>
                <w:i w:val="0"/>
                <w:iCs w:val="0"/>
                <w:color w:val="000000"/>
                <w:sz w:val="21"/>
                <w:szCs w:val="21"/>
                <w:highlight w:val="none"/>
                <w:u w:val="none"/>
              </w:rPr>
            </w:pPr>
            <w:r>
              <w:rPr>
                <w:color w:val="000000"/>
              </w:rPr>
              <w:t>总胆固醇、甘油三脂、低密度脂蛋白胆固醇、高密度脂蛋白胆固醇</w:t>
            </w:r>
          </w:p>
        </w:tc>
        <w:tc>
          <w:tcPr>
            <w:tcW w:w="3547" w:type="dxa"/>
            <w:tcBorders>
              <w:tl2br w:val="nil"/>
              <w:tr2bl w:val="nil"/>
            </w:tcBorders>
            <w:shd w:val="clear" w:color="auto" w:fill="auto"/>
            <w:vAlign w:val="center"/>
          </w:tcPr>
          <w:p w14:paraId="76239A70">
            <w:pPr>
              <w:jc w:val="center"/>
              <w:rPr>
                <w:rFonts w:hint="eastAsia" w:ascii="宋体" w:hAnsi="宋体" w:eastAsia="宋体" w:cs="宋体"/>
                <w:i w:val="0"/>
                <w:iCs w:val="0"/>
                <w:color w:val="000000"/>
                <w:sz w:val="21"/>
                <w:szCs w:val="21"/>
                <w:highlight w:val="none"/>
                <w:u w:val="none"/>
              </w:rPr>
            </w:pPr>
            <w:r>
              <w:rPr>
                <w:color w:val="000000"/>
              </w:rPr>
              <w:t>结合其他血脂检测，了解血脂代谢情况。</w:t>
            </w:r>
          </w:p>
        </w:tc>
        <w:tc>
          <w:tcPr>
            <w:tcW w:w="1325" w:type="dxa"/>
            <w:tcBorders>
              <w:tl2br w:val="nil"/>
              <w:tr2bl w:val="nil"/>
            </w:tcBorders>
            <w:shd w:val="clear" w:color="auto" w:fill="auto"/>
            <w:vAlign w:val="center"/>
          </w:tcPr>
          <w:p w14:paraId="11D1B3EA">
            <w:pPr>
              <w:jc w:val="center"/>
              <w:rPr>
                <w:rFonts w:hint="eastAsia" w:ascii="宋体" w:hAnsi="宋体" w:eastAsia="宋体" w:cs="宋体"/>
                <w:i w:val="0"/>
                <w:iCs w:val="0"/>
                <w:color w:val="000000"/>
                <w:sz w:val="21"/>
                <w:szCs w:val="21"/>
                <w:highlight w:val="none"/>
                <w:u w:val="none"/>
              </w:rPr>
            </w:pPr>
          </w:p>
        </w:tc>
      </w:tr>
      <w:tr w14:paraId="10A2FF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76D11928">
            <w:pPr>
              <w:jc w:val="center"/>
              <w:rPr>
                <w:rFonts w:hint="eastAsia" w:ascii="宋体" w:hAnsi="宋体" w:eastAsia="宋体" w:cs="宋体"/>
                <w:i w:val="0"/>
                <w:iCs w:val="0"/>
                <w:color w:val="000000"/>
                <w:sz w:val="21"/>
                <w:szCs w:val="21"/>
                <w:highlight w:val="none"/>
                <w:u w:val="none"/>
              </w:rPr>
            </w:pPr>
            <w:r>
              <w:rPr>
                <w:color w:val="000000"/>
              </w:rPr>
              <w:t>12</w:t>
            </w:r>
          </w:p>
        </w:tc>
        <w:tc>
          <w:tcPr>
            <w:tcW w:w="1665" w:type="dxa"/>
            <w:tcBorders>
              <w:tl2br w:val="nil"/>
              <w:tr2bl w:val="nil"/>
            </w:tcBorders>
            <w:shd w:val="clear" w:color="auto" w:fill="auto"/>
            <w:vAlign w:val="center"/>
          </w:tcPr>
          <w:p w14:paraId="07A67155">
            <w:pPr>
              <w:jc w:val="center"/>
              <w:rPr>
                <w:rFonts w:hint="eastAsia" w:ascii="宋体" w:hAnsi="宋体" w:eastAsia="宋体" w:cs="宋体"/>
                <w:i w:val="0"/>
                <w:iCs w:val="0"/>
                <w:color w:val="000000"/>
                <w:sz w:val="21"/>
                <w:szCs w:val="21"/>
                <w:highlight w:val="none"/>
                <w:u w:val="none"/>
              </w:rPr>
            </w:pPr>
            <w:r>
              <w:rPr>
                <w:color w:val="000000"/>
              </w:rPr>
              <w:t>甲功三项A</w:t>
            </w:r>
          </w:p>
        </w:tc>
        <w:tc>
          <w:tcPr>
            <w:tcW w:w="2042" w:type="dxa"/>
            <w:tcBorders>
              <w:tl2br w:val="nil"/>
              <w:tr2bl w:val="nil"/>
            </w:tcBorders>
            <w:shd w:val="clear" w:color="auto" w:fill="auto"/>
            <w:vAlign w:val="center"/>
          </w:tcPr>
          <w:p w14:paraId="53FAF76D">
            <w:pPr>
              <w:jc w:val="center"/>
              <w:rPr>
                <w:rFonts w:hint="eastAsia" w:ascii="宋体" w:hAnsi="宋体" w:eastAsia="宋体" w:cs="宋体"/>
                <w:i w:val="0"/>
                <w:iCs w:val="0"/>
                <w:color w:val="000000"/>
                <w:sz w:val="21"/>
                <w:szCs w:val="21"/>
                <w:highlight w:val="none"/>
                <w:u w:val="none"/>
              </w:rPr>
            </w:pPr>
            <w:r>
              <w:rPr>
                <w:color w:val="000000"/>
              </w:rPr>
              <w:t>甲功三项A</w:t>
            </w:r>
          </w:p>
        </w:tc>
        <w:tc>
          <w:tcPr>
            <w:tcW w:w="3547" w:type="dxa"/>
            <w:tcBorders>
              <w:tl2br w:val="nil"/>
              <w:tr2bl w:val="nil"/>
            </w:tcBorders>
            <w:shd w:val="clear" w:color="auto" w:fill="auto"/>
            <w:vAlign w:val="center"/>
          </w:tcPr>
          <w:p w14:paraId="17F85349">
            <w:pPr>
              <w:jc w:val="center"/>
              <w:rPr>
                <w:rFonts w:hint="eastAsia" w:ascii="宋体" w:hAnsi="宋体" w:eastAsia="宋体" w:cs="宋体"/>
                <w:i w:val="0"/>
                <w:iCs w:val="0"/>
                <w:color w:val="000000"/>
                <w:sz w:val="21"/>
                <w:szCs w:val="21"/>
                <w:highlight w:val="none"/>
                <w:u w:val="none"/>
              </w:rPr>
            </w:pPr>
            <w:r>
              <w:rPr>
                <w:color w:val="000000"/>
              </w:rPr>
              <w:t>有助于对甲状腺疾病或甲状腺功能障碍的诊断，是目前最常用的内分泌测定项目。</w:t>
            </w:r>
          </w:p>
        </w:tc>
        <w:tc>
          <w:tcPr>
            <w:tcW w:w="1325" w:type="dxa"/>
            <w:tcBorders>
              <w:tl2br w:val="nil"/>
              <w:tr2bl w:val="nil"/>
            </w:tcBorders>
            <w:shd w:val="clear" w:color="auto" w:fill="auto"/>
            <w:vAlign w:val="center"/>
          </w:tcPr>
          <w:p w14:paraId="7D3FFA45">
            <w:pPr>
              <w:jc w:val="center"/>
              <w:rPr>
                <w:rFonts w:hint="eastAsia" w:ascii="宋体" w:hAnsi="宋体" w:eastAsia="宋体" w:cs="宋体"/>
                <w:i w:val="0"/>
                <w:iCs w:val="0"/>
                <w:color w:val="000000"/>
                <w:sz w:val="21"/>
                <w:szCs w:val="21"/>
                <w:highlight w:val="none"/>
                <w:u w:val="none"/>
              </w:rPr>
            </w:pPr>
          </w:p>
        </w:tc>
      </w:tr>
      <w:tr w14:paraId="273E002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6B5CE2C1">
            <w:pPr>
              <w:jc w:val="center"/>
              <w:rPr>
                <w:rFonts w:hint="eastAsia" w:ascii="宋体" w:hAnsi="宋体" w:eastAsia="宋体" w:cs="宋体"/>
                <w:i w:val="0"/>
                <w:iCs w:val="0"/>
                <w:color w:val="000000"/>
                <w:sz w:val="21"/>
                <w:szCs w:val="21"/>
                <w:highlight w:val="none"/>
                <w:u w:val="none"/>
              </w:rPr>
            </w:pPr>
            <w:r>
              <w:rPr>
                <w:color w:val="000000"/>
              </w:rPr>
              <w:t>13</w:t>
            </w:r>
          </w:p>
        </w:tc>
        <w:tc>
          <w:tcPr>
            <w:tcW w:w="1665" w:type="dxa"/>
            <w:tcBorders>
              <w:tl2br w:val="nil"/>
              <w:tr2bl w:val="nil"/>
            </w:tcBorders>
            <w:shd w:val="clear" w:color="auto" w:fill="auto"/>
            <w:vAlign w:val="center"/>
          </w:tcPr>
          <w:p w14:paraId="52E39945">
            <w:pPr>
              <w:jc w:val="center"/>
              <w:rPr>
                <w:rFonts w:hint="eastAsia" w:ascii="宋体" w:hAnsi="宋体" w:eastAsia="宋体" w:cs="宋体"/>
                <w:i w:val="0"/>
                <w:iCs w:val="0"/>
                <w:color w:val="000000"/>
                <w:sz w:val="21"/>
                <w:szCs w:val="21"/>
                <w:highlight w:val="none"/>
                <w:u w:val="none"/>
              </w:rPr>
            </w:pPr>
            <w:r>
              <w:rPr>
                <w:color w:val="000000"/>
              </w:rPr>
              <w:t>血糖</w:t>
            </w:r>
          </w:p>
        </w:tc>
        <w:tc>
          <w:tcPr>
            <w:tcW w:w="2042" w:type="dxa"/>
            <w:tcBorders>
              <w:tl2br w:val="nil"/>
              <w:tr2bl w:val="nil"/>
            </w:tcBorders>
            <w:shd w:val="clear" w:color="auto" w:fill="auto"/>
            <w:vAlign w:val="center"/>
          </w:tcPr>
          <w:p w14:paraId="2A136505">
            <w:pPr>
              <w:jc w:val="center"/>
              <w:rPr>
                <w:rFonts w:hint="eastAsia" w:ascii="宋体" w:hAnsi="宋体" w:eastAsia="宋体" w:cs="宋体"/>
                <w:i w:val="0"/>
                <w:iCs w:val="0"/>
                <w:color w:val="000000"/>
                <w:sz w:val="21"/>
                <w:szCs w:val="21"/>
                <w:highlight w:val="none"/>
                <w:u w:val="none"/>
              </w:rPr>
            </w:pPr>
            <w:r>
              <w:rPr>
                <w:color w:val="000000"/>
              </w:rPr>
              <w:t>空腹血糖</w:t>
            </w:r>
          </w:p>
        </w:tc>
        <w:tc>
          <w:tcPr>
            <w:tcW w:w="3547" w:type="dxa"/>
            <w:tcBorders>
              <w:tl2br w:val="nil"/>
              <w:tr2bl w:val="nil"/>
            </w:tcBorders>
            <w:shd w:val="clear" w:color="auto" w:fill="auto"/>
            <w:vAlign w:val="center"/>
          </w:tcPr>
          <w:p w14:paraId="62A19E42">
            <w:pPr>
              <w:jc w:val="center"/>
              <w:rPr>
                <w:rFonts w:hint="eastAsia" w:ascii="宋体" w:hAnsi="宋体" w:eastAsia="宋体" w:cs="宋体"/>
                <w:i w:val="0"/>
                <w:iCs w:val="0"/>
                <w:color w:val="000000"/>
                <w:sz w:val="21"/>
                <w:szCs w:val="21"/>
                <w:highlight w:val="none"/>
                <w:u w:val="none"/>
              </w:rPr>
            </w:pPr>
            <w:r>
              <w:rPr>
                <w:color w:val="000000"/>
              </w:rPr>
              <w:t>评估机体糖代谢状态、诊断糖代谢紊乱相关疾病，指导临床医师制定并适时调整治疗方案等方面具有重要价值。</w:t>
            </w:r>
          </w:p>
        </w:tc>
        <w:tc>
          <w:tcPr>
            <w:tcW w:w="1325" w:type="dxa"/>
            <w:tcBorders>
              <w:tl2br w:val="nil"/>
              <w:tr2bl w:val="nil"/>
            </w:tcBorders>
            <w:shd w:val="clear" w:color="auto" w:fill="auto"/>
            <w:vAlign w:val="center"/>
          </w:tcPr>
          <w:p w14:paraId="7F4EB87D">
            <w:pPr>
              <w:jc w:val="center"/>
              <w:rPr>
                <w:rFonts w:hint="eastAsia" w:ascii="宋体" w:hAnsi="宋体" w:eastAsia="宋体" w:cs="宋体"/>
                <w:i w:val="0"/>
                <w:iCs w:val="0"/>
                <w:color w:val="000000"/>
                <w:sz w:val="21"/>
                <w:szCs w:val="21"/>
                <w:highlight w:val="none"/>
                <w:u w:val="none"/>
              </w:rPr>
            </w:pPr>
          </w:p>
        </w:tc>
      </w:tr>
      <w:tr w14:paraId="6A1C3E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55ADEB30">
            <w:pPr>
              <w:jc w:val="center"/>
              <w:rPr>
                <w:rFonts w:hint="eastAsia" w:ascii="宋体" w:hAnsi="宋体" w:eastAsia="宋体" w:cs="宋体"/>
                <w:i w:val="0"/>
                <w:iCs w:val="0"/>
                <w:color w:val="000000"/>
                <w:sz w:val="21"/>
                <w:szCs w:val="21"/>
                <w:highlight w:val="none"/>
                <w:u w:val="none"/>
              </w:rPr>
            </w:pPr>
            <w:r>
              <w:rPr>
                <w:color w:val="000000"/>
              </w:rPr>
              <w:t>14</w:t>
            </w:r>
          </w:p>
        </w:tc>
        <w:tc>
          <w:tcPr>
            <w:tcW w:w="1665" w:type="dxa"/>
            <w:tcBorders>
              <w:tl2br w:val="nil"/>
              <w:tr2bl w:val="nil"/>
            </w:tcBorders>
            <w:shd w:val="clear" w:color="auto" w:fill="auto"/>
            <w:vAlign w:val="center"/>
          </w:tcPr>
          <w:p w14:paraId="7F483721">
            <w:pPr>
              <w:jc w:val="center"/>
              <w:rPr>
                <w:rFonts w:hint="eastAsia" w:ascii="宋体" w:hAnsi="宋体" w:eastAsia="宋体" w:cs="宋体"/>
                <w:i w:val="0"/>
                <w:iCs w:val="0"/>
                <w:color w:val="000000"/>
                <w:sz w:val="21"/>
                <w:szCs w:val="21"/>
                <w:highlight w:val="none"/>
                <w:u w:val="none"/>
              </w:rPr>
            </w:pPr>
            <w:r>
              <w:rPr>
                <w:color w:val="000000"/>
              </w:rPr>
              <w:t>定性糖尿病</w:t>
            </w:r>
          </w:p>
        </w:tc>
        <w:tc>
          <w:tcPr>
            <w:tcW w:w="2042" w:type="dxa"/>
            <w:tcBorders>
              <w:tl2br w:val="nil"/>
              <w:tr2bl w:val="nil"/>
            </w:tcBorders>
            <w:shd w:val="clear" w:color="auto" w:fill="auto"/>
            <w:vAlign w:val="center"/>
          </w:tcPr>
          <w:p w14:paraId="4656833E">
            <w:pPr>
              <w:jc w:val="center"/>
              <w:rPr>
                <w:rFonts w:hint="eastAsia" w:ascii="宋体" w:hAnsi="宋体" w:eastAsia="宋体" w:cs="宋体"/>
                <w:i w:val="0"/>
                <w:iCs w:val="0"/>
                <w:color w:val="000000"/>
                <w:sz w:val="21"/>
                <w:szCs w:val="21"/>
                <w:highlight w:val="none"/>
                <w:u w:val="none"/>
              </w:rPr>
            </w:pPr>
            <w:r>
              <w:rPr>
                <w:color w:val="000000"/>
              </w:rPr>
              <w:t>糖化血红蛋白(HbA1C)</w:t>
            </w:r>
          </w:p>
        </w:tc>
        <w:tc>
          <w:tcPr>
            <w:tcW w:w="3547" w:type="dxa"/>
            <w:tcBorders>
              <w:tl2br w:val="nil"/>
              <w:tr2bl w:val="nil"/>
            </w:tcBorders>
            <w:shd w:val="clear" w:color="auto" w:fill="auto"/>
            <w:vAlign w:val="center"/>
          </w:tcPr>
          <w:p w14:paraId="384664DA">
            <w:pPr>
              <w:jc w:val="center"/>
              <w:rPr>
                <w:rFonts w:hint="eastAsia" w:ascii="宋体" w:hAnsi="宋体" w:eastAsia="宋体" w:cs="宋体"/>
                <w:i w:val="0"/>
                <w:iCs w:val="0"/>
                <w:color w:val="000000"/>
                <w:sz w:val="21"/>
                <w:szCs w:val="21"/>
                <w:highlight w:val="none"/>
                <w:u w:val="none"/>
              </w:rPr>
            </w:pPr>
            <w:r>
              <w:rPr>
                <w:color w:val="000000"/>
              </w:rPr>
              <w:t>可反映检查前1-2个月的血糖水平，是糖尿病的筛查指标</w:t>
            </w:r>
          </w:p>
        </w:tc>
        <w:tc>
          <w:tcPr>
            <w:tcW w:w="1325" w:type="dxa"/>
            <w:tcBorders>
              <w:tl2br w:val="nil"/>
              <w:tr2bl w:val="nil"/>
            </w:tcBorders>
            <w:shd w:val="clear" w:color="auto" w:fill="auto"/>
            <w:vAlign w:val="center"/>
          </w:tcPr>
          <w:p w14:paraId="544ED848">
            <w:pPr>
              <w:jc w:val="center"/>
              <w:rPr>
                <w:rFonts w:hint="eastAsia" w:ascii="宋体" w:hAnsi="宋体" w:eastAsia="宋体" w:cs="宋体"/>
                <w:i w:val="0"/>
                <w:iCs w:val="0"/>
                <w:color w:val="000000"/>
                <w:sz w:val="21"/>
                <w:szCs w:val="21"/>
                <w:highlight w:val="none"/>
                <w:u w:val="none"/>
              </w:rPr>
            </w:pPr>
          </w:p>
        </w:tc>
      </w:tr>
      <w:tr w14:paraId="1D9DDD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15ACB07A">
            <w:pPr>
              <w:jc w:val="center"/>
              <w:rPr>
                <w:rFonts w:hint="eastAsia" w:ascii="宋体" w:hAnsi="宋体" w:eastAsia="宋体" w:cs="宋体"/>
                <w:i w:val="0"/>
                <w:iCs w:val="0"/>
                <w:color w:val="000000"/>
                <w:sz w:val="21"/>
                <w:szCs w:val="21"/>
                <w:highlight w:val="none"/>
                <w:u w:val="none"/>
              </w:rPr>
            </w:pPr>
            <w:r>
              <w:rPr>
                <w:color w:val="000000"/>
              </w:rPr>
              <w:t>15</w:t>
            </w:r>
          </w:p>
        </w:tc>
        <w:tc>
          <w:tcPr>
            <w:tcW w:w="1665" w:type="dxa"/>
            <w:tcBorders>
              <w:tl2br w:val="nil"/>
              <w:tr2bl w:val="nil"/>
            </w:tcBorders>
            <w:shd w:val="clear" w:color="auto" w:fill="auto"/>
            <w:vAlign w:val="center"/>
          </w:tcPr>
          <w:p w14:paraId="5BBDD869">
            <w:pPr>
              <w:jc w:val="center"/>
              <w:rPr>
                <w:rFonts w:hint="eastAsia" w:ascii="宋体" w:hAnsi="宋体" w:eastAsia="宋体" w:cs="宋体"/>
                <w:i w:val="0"/>
                <w:iCs w:val="0"/>
                <w:color w:val="000000"/>
                <w:sz w:val="21"/>
                <w:szCs w:val="21"/>
                <w:highlight w:val="none"/>
                <w:u w:val="none"/>
              </w:rPr>
            </w:pPr>
            <w:r>
              <w:rPr>
                <w:color w:val="000000"/>
              </w:rPr>
              <w:t>肿瘤筛查4项</w:t>
            </w:r>
          </w:p>
        </w:tc>
        <w:tc>
          <w:tcPr>
            <w:tcW w:w="2042" w:type="dxa"/>
            <w:tcBorders>
              <w:tl2br w:val="nil"/>
              <w:tr2bl w:val="nil"/>
            </w:tcBorders>
            <w:shd w:val="clear" w:color="auto" w:fill="auto"/>
            <w:vAlign w:val="center"/>
          </w:tcPr>
          <w:p w14:paraId="4BFAC509">
            <w:pPr>
              <w:jc w:val="center"/>
              <w:rPr>
                <w:rFonts w:hint="eastAsia" w:ascii="宋体" w:hAnsi="宋体" w:eastAsia="宋体" w:cs="宋体"/>
                <w:i w:val="0"/>
                <w:iCs w:val="0"/>
                <w:color w:val="000000"/>
                <w:sz w:val="21"/>
                <w:szCs w:val="21"/>
                <w:highlight w:val="none"/>
                <w:u w:val="none"/>
              </w:rPr>
            </w:pPr>
            <w:r>
              <w:rPr>
                <w:color w:val="000000"/>
              </w:rPr>
              <w:t>癌胚抗原CEA(定量)</w:t>
            </w:r>
          </w:p>
        </w:tc>
        <w:tc>
          <w:tcPr>
            <w:tcW w:w="3547" w:type="dxa"/>
            <w:tcBorders>
              <w:tl2br w:val="nil"/>
              <w:tr2bl w:val="nil"/>
            </w:tcBorders>
            <w:shd w:val="clear" w:color="auto" w:fill="auto"/>
            <w:vAlign w:val="center"/>
          </w:tcPr>
          <w:p w14:paraId="7B2B1FBC">
            <w:pPr>
              <w:jc w:val="center"/>
              <w:rPr>
                <w:rFonts w:hint="eastAsia" w:ascii="宋体" w:hAnsi="宋体" w:eastAsia="宋体" w:cs="宋体"/>
                <w:i w:val="0"/>
                <w:iCs w:val="0"/>
                <w:color w:val="000000"/>
                <w:sz w:val="21"/>
                <w:szCs w:val="21"/>
                <w:highlight w:val="none"/>
                <w:u w:val="none"/>
              </w:rPr>
            </w:pPr>
            <w:r>
              <w:rPr>
                <w:color w:val="000000"/>
              </w:rPr>
              <w:t>可提示有无原发性肝癌，生殖腺胚胎性肿瘤，肝硬化等</w:t>
            </w:r>
          </w:p>
        </w:tc>
        <w:tc>
          <w:tcPr>
            <w:tcW w:w="1325" w:type="dxa"/>
            <w:tcBorders>
              <w:tl2br w:val="nil"/>
              <w:tr2bl w:val="nil"/>
            </w:tcBorders>
            <w:shd w:val="clear" w:color="auto" w:fill="auto"/>
            <w:vAlign w:val="center"/>
          </w:tcPr>
          <w:p w14:paraId="672D4064">
            <w:pPr>
              <w:jc w:val="center"/>
              <w:rPr>
                <w:rFonts w:hint="eastAsia" w:ascii="宋体" w:hAnsi="宋体" w:eastAsia="宋体" w:cs="宋体"/>
                <w:i w:val="0"/>
                <w:iCs w:val="0"/>
                <w:color w:val="000000"/>
                <w:sz w:val="21"/>
                <w:szCs w:val="21"/>
                <w:highlight w:val="none"/>
                <w:u w:val="none"/>
              </w:rPr>
            </w:pPr>
          </w:p>
        </w:tc>
      </w:tr>
      <w:tr w14:paraId="6EEF65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7F1337A9">
            <w:pPr>
              <w:jc w:val="center"/>
              <w:rPr>
                <w:rFonts w:hint="eastAsia" w:ascii="宋体" w:hAnsi="宋体" w:eastAsia="宋体" w:cs="宋体"/>
                <w:i w:val="0"/>
                <w:iCs w:val="0"/>
                <w:color w:val="000000"/>
                <w:sz w:val="21"/>
                <w:szCs w:val="21"/>
                <w:highlight w:val="none"/>
                <w:u w:val="none"/>
              </w:rPr>
            </w:pPr>
            <w:r>
              <w:rPr>
                <w:color w:val="000000"/>
              </w:rPr>
              <w:t>16</w:t>
            </w:r>
          </w:p>
        </w:tc>
        <w:tc>
          <w:tcPr>
            <w:tcW w:w="1665" w:type="dxa"/>
            <w:tcBorders>
              <w:tl2br w:val="nil"/>
              <w:tr2bl w:val="nil"/>
            </w:tcBorders>
            <w:shd w:val="clear" w:color="auto" w:fill="auto"/>
            <w:vAlign w:val="center"/>
          </w:tcPr>
          <w:p w14:paraId="6C2782DD">
            <w:pPr>
              <w:jc w:val="center"/>
              <w:rPr>
                <w:rFonts w:hint="eastAsia" w:ascii="宋体" w:hAnsi="宋体" w:eastAsia="宋体" w:cs="宋体"/>
                <w:i w:val="0"/>
                <w:iCs w:val="0"/>
                <w:color w:val="000000"/>
                <w:sz w:val="21"/>
                <w:szCs w:val="21"/>
                <w:highlight w:val="none"/>
                <w:u w:val="none"/>
              </w:rPr>
            </w:pPr>
            <w:r>
              <w:rPr>
                <w:color w:val="000000"/>
              </w:rPr>
              <w:t>肿瘤筛查4项</w:t>
            </w:r>
          </w:p>
        </w:tc>
        <w:tc>
          <w:tcPr>
            <w:tcW w:w="2042" w:type="dxa"/>
            <w:tcBorders>
              <w:tl2br w:val="nil"/>
              <w:tr2bl w:val="nil"/>
            </w:tcBorders>
            <w:shd w:val="clear" w:color="auto" w:fill="auto"/>
            <w:vAlign w:val="center"/>
          </w:tcPr>
          <w:p w14:paraId="40347209">
            <w:pPr>
              <w:jc w:val="center"/>
              <w:rPr>
                <w:rFonts w:hint="eastAsia" w:ascii="宋体" w:hAnsi="宋体" w:eastAsia="宋体" w:cs="宋体"/>
                <w:i w:val="0"/>
                <w:iCs w:val="0"/>
                <w:color w:val="000000"/>
                <w:sz w:val="21"/>
                <w:szCs w:val="21"/>
                <w:highlight w:val="none"/>
                <w:u w:val="none"/>
              </w:rPr>
            </w:pPr>
            <w:r>
              <w:rPr>
                <w:color w:val="000000"/>
              </w:rPr>
              <w:t>甲胎蛋白AFP（定量）</w:t>
            </w:r>
          </w:p>
        </w:tc>
        <w:tc>
          <w:tcPr>
            <w:tcW w:w="3547" w:type="dxa"/>
            <w:tcBorders>
              <w:tl2br w:val="nil"/>
              <w:tr2bl w:val="nil"/>
            </w:tcBorders>
            <w:shd w:val="clear" w:color="auto" w:fill="auto"/>
            <w:vAlign w:val="center"/>
          </w:tcPr>
          <w:p w14:paraId="4E6A1846">
            <w:pPr>
              <w:jc w:val="center"/>
              <w:rPr>
                <w:rFonts w:hint="eastAsia" w:ascii="宋体" w:hAnsi="宋体" w:eastAsia="宋体" w:cs="宋体"/>
                <w:i w:val="0"/>
                <w:iCs w:val="0"/>
                <w:color w:val="000000"/>
                <w:sz w:val="21"/>
                <w:szCs w:val="21"/>
                <w:highlight w:val="none"/>
                <w:u w:val="none"/>
              </w:rPr>
            </w:pPr>
            <w:r>
              <w:rPr>
                <w:color w:val="000000"/>
              </w:rPr>
              <w:t>为广谱肿瘤标志物，可提示直肠癌、结肠癌、肺癌、乳腺癌、胰腺癌等</w:t>
            </w:r>
          </w:p>
        </w:tc>
        <w:tc>
          <w:tcPr>
            <w:tcW w:w="1325" w:type="dxa"/>
            <w:tcBorders>
              <w:tl2br w:val="nil"/>
              <w:tr2bl w:val="nil"/>
            </w:tcBorders>
            <w:shd w:val="clear" w:color="auto" w:fill="auto"/>
            <w:vAlign w:val="center"/>
          </w:tcPr>
          <w:p w14:paraId="509744B2">
            <w:pPr>
              <w:jc w:val="center"/>
              <w:rPr>
                <w:rFonts w:hint="eastAsia" w:ascii="宋体" w:hAnsi="宋体" w:eastAsia="宋体" w:cs="宋体"/>
                <w:i w:val="0"/>
                <w:iCs w:val="0"/>
                <w:color w:val="000000"/>
                <w:sz w:val="21"/>
                <w:szCs w:val="21"/>
                <w:highlight w:val="none"/>
                <w:u w:val="none"/>
              </w:rPr>
            </w:pPr>
          </w:p>
        </w:tc>
      </w:tr>
      <w:tr w14:paraId="657DF53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710925CC">
            <w:pPr>
              <w:jc w:val="center"/>
              <w:rPr>
                <w:rFonts w:hint="eastAsia" w:ascii="宋体" w:hAnsi="宋体" w:eastAsia="宋体" w:cs="宋体"/>
                <w:i w:val="0"/>
                <w:iCs w:val="0"/>
                <w:color w:val="000000"/>
                <w:sz w:val="21"/>
                <w:szCs w:val="21"/>
                <w:highlight w:val="none"/>
                <w:u w:val="none"/>
              </w:rPr>
            </w:pPr>
            <w:r>
              <w:rPr>
                <w:color w:val="000000"/>
              </w:rPr>
              <w:t>17</w:t>
            </w:r>
          </w:p>
        </w:tc>
        <w:tc>
          <w:tcPr>
            <w:tcW w:w="1665" w:type="dxa"/>
            <w:tcBorders>
              <w:tl2br w:val="nil"/>
              <w:tr2bl w:val="nil"/>
            </w:tcBorders>
            <w:shd w:val="clear" w:color="auto" w:fill="auto"/>
            <w:vAlign w:val="center"/>
          </w:tcPr>
          <w:p w14:paraId="06D90B9B">
            <w:pPr>
              <w:jc w:val="center"/>
              <w:rPr>
                <w:rFonts w:hint="eastAsia" w:ascii="宋体" w:hAnsi="宋体" w:eastAsia="宋体" w:cs="宋体"/>
                <w:i w:val="0"/>
                <w:iCs w:val="0"/>
                <w:color w:val="000000"/>
                <w:sz w:val="21"/>
                <w:szCs w:val="21"/>
                <w:highlight w:val="none"/>
                <w:u w:val="none"/>
              </w:rPr>
            </w:pPr>
            <w:r>
              <w:rPr>
                <w:color w:val="000000"/>
              </w:rPr>
              <w:t>肿瘤筛查4项</w:t>
            </w:r>
          </w:p>
        </w:tc>
        <w:tc>
          <w:tcPr>
            <w:tcW w:w="2042" w:type="dxa"/>
            <w:tcBorders>
              <w:tl2br w:val="nil"/>
              <w:tr2bl w:val="nil"/>
            </w:tcBorders>
            <w:shd w:val="clear" w:color="auto" w:fill="auto"/>
            <w:vAlign w:val="center"/>
          </w:tcPr>
          <w:p w14:paraId="2FC095C6">
            <w:pPr>
              <w:jc w:val="center"/>
              <w:rPr>
                <w:rFonts w:hint="eastAsia" w:ascii="宋体" w:hAnsi="宋体" w:eastAsia="宋体" w:cs="宋体"/>
                <w:i w:val="0"/>
                <w:iCs w:val="0"/>
                <w:color w:val="000000"/>
                <w:sz w:val="21"/>
                <w:szCs w:val="21"/>
                <w:highlight w:val="none"/>
                <w:u w:val="none"/>
              </w:rPr>
            </w:pPr>
            <w:r>
              <w:rPr>
                <w:color w:val="000000"/>
              </w:rPr>
              <w:t>糖类抗原125</w:t>
            </w:r>
          </w:p>
        </w:tc>
        <w:tc>
          <w:tcPr>
            <w:tcW w:w="3547" w:type="dxa"/>
            <w:tcBorders>
              <w:tl2br w:val="nil"/>
              <w:tr2bl w:val="nil"/>
            </w:tcBorders>
            <w:shd w:val="clear" w:color="auto" w:fill="auto"/>
            <w:vAlign w:val="center"/>
          </w:tcPr>
          <w:p w14:paraId="0C30E6CF">
            <w:pPr>
              <w:jc w:val="center"/>
              <w:rPr>
                <w:rFonts w:hint="eastAsia" w:ascii="宋体" w:hAnsi="宋体" w:eastAsia="宋体" w:cs="宋体"/>
                <w:i w:val="0"/>
                <w:iCs w:val="0"/>
                <w:color w:val="000000"/>
                <w:sz w:val="21"/>
                <w:szCs w:val="21"/>
                <w:highlight w:val="none"/>
                <w:u w:val="none"/>
              </w:rPr>
            </w:pPr>
            <w:r>
              <w:rPr>
                <w:color w:val="000000"/>
              </w:rPr>
              <w:t>主要用于辅助诊断恶性浆液性卵巢癌，上皮性卵巢癌，同时也是卵巢癌手术和化疗后疗效观察的指标。应用时建议结合其他肿瘤标志物。</w:t>
            </w:r>
          </w:p>
        </w:tc>
        <w:tc>
          <w:tcPr>
            <w:tcW w:w="1325" w:type="dxa"/>
            <w:tcBorders>
              <w:tl2br w:val="nil"/>
              <w:tr2bl w:val="nil"/>
            </w:tcBorders>
            <w:shd w:val="clear" w:color="auto" w:fill="auto"/>
            <w:vAlign w:val="center"/>
          </w:tcPr>
          <w:p w14:paraId="26186533">
            <w:pPr>
              <w:jc w:val="center"/>
              <w:rPr>
                <w:rFonts w:hint="eastAsia" w:ascii="宋体" w:hAnsi="宋体" w:eastAsia="宋体" w:cs="宋体"/>
                <w:i w:val="0"/>
                <w:iCs w:val="0"/>
                <w:color w:val="000000"/>
                <w:sz w:val="21"/>
                <w:szCs w:val="21"/>
                <w:highlight w:val="none"/>
                <w:u w:val="none"/>
              </w:rPr>
            </w:pPr>
          </w:p>
        </w:tc>
      </w:tr>
      <w:tr w14:paraId="25D1F7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4381A69C">
            <w:pPr>
              <w:jc w:val="center"/>
              <w:rPr>
                <w:rFonts w:hint="eastAsia" w:ascii="宋体" w:hAnsi="宋体" w:eastAsia="宋体" w:cs="宋体"/>
                <w:i w:val="0"/>
                <w:iCs w:val="0"/>
                <w:color w:val="000000"/>
                <w:sz w:val="21"/>
                <w:szCs w:val="21"/>
                <w:highlight w:val="none"/>
                <w:u w:val="none"/>
              </w:rPr>
            </w:pPr>
            <w:r>
              <w:rPr>
                <w:color w:val="000000"/>
              </w:rPr>
              <w:t>18</w:t>
            </w:r>
          </w:p>
        </w:tc>
        <w:tc>
          <w:tcPr>
            <w:tcW w:w="1665" w:type="dxa"/>
            <w:tcBorders>
              <w:tl2br w:val="nil"/>
              <w:tr2bl w:val="nil"/>
            </w:tcBorders>
            <w:shd w:val="clear" w:color="auto" w:fill="auto"/>
            <w:vAlign w:val="center"/>
          </w:tcPr>
          <w:p w14:paraId="5974FB4B">
            <w:pPr>
              <w:jc w:val="center"/>
              <w:rPr>
                <w:rFonts w:hint="eastAsia" w:ascii="宋体" w:hAnsi="宋体" w:eastAsia="宋体" w:cs="宋体"/>
                <w:i w:val="0"/>
                <w:iCs w:val="0"/>
                <w:color w:val="000000"/>
                <w:sz w:val="21"/>
                <w:szCs w:val="21"/>
                <w:highlight w:val="none"/>
                <w:u w:val="none"/>
              </w:rPr>
            </w:pPr>
            <w:r>
              <w:rPr>
                <w:color w:val="000000"/>
              </w:rPr>
              <w:t>肿瘤筛查4项</w:t>
            </w:r>
          </w:p>
        </w:tc>
        <w:tc>
          <w:tcPr>
            <w:tcW w:w="2042" w:type="dxa"/>
            <w:tcBorders>
              <w:tl2br w:val="nil"/>
              <w:tr2bl w:val="nil"/>
            </w:tcBorders>
            <w:shd w:val="clear" w:color="auto" w:fill="auto"/>
            <w:vAlign w:val="center"/>
          </w:tcPr>
          <w:p w14:paraId="794C2B38">
            <w:pPr>
              <w:jc w:val="center"/>
              <w:rPr>
                <w:rFonts w:hint="eastAsia" w:ascii="宋体" w:hAnsi="宋体" w:eastAsia="宋体" w:cs="宋体"/>
                <w:i w:val="0"/>
                <w:iCs w:val="0"/>
                <w:color w:val="000000"/>
                <w:sz w:val="21"/>
                <w:szCs w:val="21"/>
                <w:highlight w:val="none"/>
                <w:u w:val="none"/>
              </w:rPr>
            </w:pPr>
            <w:r>
              <w:rPr>
                <w:color w:val="000000"/>
              </w:rPr>
              <w:t>细胞角蛋白</w:t>
            </w:r>
          </w:p>
        </w:tc>
        <w:tc>
          <w:tcPr>
            <w:tcW w:w="3547" w:type="dxa"/>
            <w:tcBorders>
              <w:tl2br w:val="nil"/>
              <w:tr2bl w:val="nil"/>
            </w:tcBorders>
            <w:shd w:val="clear" w:color="auto" w:fill="auto"/>
            <w:vAlign w:val="center"/>
          </w:tcPr>
          <w:p w14:paraId="6367354C">
            <w:pPr>
              <w:jc w:val="center"/>
              <w:rPr>
                <w:rFonts w:hint="eastAsia" w:ascii="宋体" w:hAnsi="宋体" w:eastAsia="宋体" w:cs="宋体"/>
                <w:i w:val="0"/>
                <w:iCs w:val="0"/>
                <w:color w:val="000000"/>
                <w:sz w:val="21"/>
                <w:szCs w:val="21"/>
                <w:highlight w:val="none"/>
                <w:u w:val="none"/>
              </w:rPr>
            </w:pPr>
            <w:r>
              <w:rPr>
                <w:color w:val="000000"/>
              </w:rPr>
              <w:t>非小细胞肺癌（NSCLC）的鉴别诊断，疗效监测和预后判断的重要指标</w:t>
            </w:r>
          </w:p>
        </w:tc>
        <w:tc>
          <w:tcPr>
            <w:tcW w:w="1325" w:type="dxa"/>
            <w:tcBorders>
              <w:tl2br w:val="nil"/>
              <w:tr2bl w:val="nil"/>
            </w:tcBorders>
            <w:shd w:val="clear" w:color="auto" w:fill="auto"/>
            <w:vAlign w:val="center"/>
          </w:tcPr>
          <w:p w14:paraId="49B439BB">
            <w:pPr>
              <w:jc w:val="center"/>
              <w:rPr>
                <w:rFonts w:hint="eastAsia" w:ascii="宋体" w:hAnsi="宋体" w:eastAsia="宋体" w:cs="宋体"/>
                <w:i w:val="0"/>
                <w:iCs w:val="0"/>
                <w:color w:val="000000"/>
                <w:sz w:val="21"/>
                <w:szCs w:val="21"/>
                <w:highlight w:val="none"/>
                <w:u w:val="none"/>
              </w:rPr>
            </w:pPr>
          </w:p>
        </w:tc>
      </w:tr>
      <w:tr w14:paraId="506A0B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7CC520BD">
            <w:pPr>
              <w:jc w:val="center"/>
              <w:rPr>
                <w:rFonts w:hint="eastAsia" w:ascii="宋体" w:hAnsi="宋体" w:eastAsia="宋体" w:cs="宋体"/>
                <w:i w:val="0"/>
                <w:iCs w:val="0"/>
                <w:color w:val="000000"/>
                <w:sz w:val="21"/>
                <w:szCs w:val="21"/>
                <w:highlight w:val="none"/>
                <w:u w:val="none"/>
              </w:rPr>
            </w:pPr>
            <w:r>
              <w:rPr>
                <w:color w:val="000000"/>
              </w:rPr>
              <w:t>19</w:t>
            </w:r>
          </w:p>
        </w:tc>
        <w:tc>
          <w:tcPr>
            <w:tcW w:w="1665" w:type="dxa"/>
            <w:tcBorders>
              <w:tl2br w:val="nil"/>
              <w:tr2bl w:val="nil"/>
            </w:tcBorders>
            <w:shd w:val="clear" w:color="auto" w:fill="auto"/>
            <w:vAlign w:val="center"/>
          </w:tcPr>
          <w:p w14:paraId="6985C735">
            <w:pPr>
              <w:jc w:val="center"/>
              <w:rPr>
                <w:rFonts w:hint="eastAsia" w:ascii="宋体" w:hAnsi="宋体" w:eastAsia="宋体" w:cs="宋体"/>
                <w:i w:val="0"/>
                <w:iCs w:val="0"/>
                <w:color w:val="000000"/>
                <w:sz w:val="21"/>
                <w:szCs w:val="21"/>
                <w:highlight w:val="none"/>
                <w:u w:val="none"/>
              </w:rPr>
            </w:pPr>
            <w:r>
              <w:rPr>
                <w:color w:val="000000"/>
              </w:rPr>
              <w:t>血常规</w:t>
            </w:r>
          </w:p>
        </w:tc>
        <w:tc>
          <w:tcPr>
            <w:tcW w:w="2042" w:type="dxa"/>
            <w:tcBorders>
              <w:tl2br w:val="nil"/>
              <w:tr2bl w:val="nil"/>
            </w:tcBorders>
            <w:shd w:val="clear" w:color="auto" w:fill="auto"/>
            <w:vAlign w:val="center"/>
          </w:tcPr>
          <w:p w14:paraId="78C59502">
            <w:pPr>
              <w:jc w:val="center"/>
              <w:rPr>
                <w:rFonts w:hint="eastAsia" w:ascii="宋体" w:hAnsi="宋体" w:eastAsia="宋体" w:cs="宋体"/>
                <w:i w:val="0"/>
                <w:iCs w:val="0"/>
                <w:color w:val="000000"/>
                <w:sz w:val="21"/>
                <w:szCs w:val="21"/>
                <w:highlight w:val="none"/>
                <w:u w:val="none"/>
              </w:rPr>
            </w:pPr>
            <w:r>
              <w:rPr>
                <w:color w:val="000000"/>
              </w:rPr>
              <w:t>红细胞计数 （RBC）、红细胞压积（HCT）、平均血红蛋白浓度（MCHC）等19项。</w:t>
            </w:r>
          </w:p>
        </w:tc>
        <w:tc>
          <w:tcPr>
            <w:tcW w:w="3547" w:type="dxa"/>
            <w:tcBorders>
              <w:tl2br w:val="nil"/>
              <w:tr2bl w:val="nil"/>
            </w:tcBorders>
            <w:shd w:val="clear" w:color="auto" w:fill="auto"/>
            <w:vAlign w:val="center"/>
          </w:tcPr>
          <w:p w14:paraId="39F1319E">
            <w:pPr>
              <w:jc w:val="center"/>
              <w:rPr>
                <w:rFonts w:hint="eastAsia" w:ascii="宋体" w:hAnsi="宋体" w:eastAsia="宋体" w:cs="宋体"/>
                <w:i w:val="0"/>
                <w:iCs w:val="0"/>
                <w:color w:val="000000"/>
                <w:sz w:val="21"/>
                <w:szCs w:val="21"/>
                <w:highlight w:val="none"/>
                <w:u w:val="none"/>
              </w:rPr>
            </w:pPr>
            <w:r>
              <w:rPr>
                <w:color w:val="000000"/>
              </w:rPr>
              <w:t>是临床最常用的初筛项目之一，可为医生诊断血液系统疾病等提供线索和依据。</w:t>
            </w:r>
          </w:p>
        </w:tc>
        <w:tc>
          <w:tcPr>
            <w:tcW w:w="1325" w:type="dxa"/>
            <w:tcBorders>
              <w:tl2br w:val="nil"/>
              <w:tr2bl w:val="nil"/>
            </w:tcBorders>
            <w:shd w:val="clear" w:color="auto" w:fill="auto"/>
            <w:vAlign w:val="center"/>
          </w:tcPr>
          <w:p w14:paraId="44AE6B61">
            <w:pPr>
              <w:jc w:val="center"/>
              <w:rPr>
                <w:rFonts w:hint="eastAsia" w:ascii="宋体" w:hAnsi="宋体" w:eastAsia="宋体" w:cs="宋体"/>
                <w:i w:val="0"/>
                <w:iCs w:val="0"/>
                <w:color w:val="000000"/>
                <w:sz w:val="21"/>
                <w:szCs w:val="21"/>
                <w:highlight w:val="none"/>
                <w:u w:val="none"/>
              </w:rPr>
            </w:pPr>
          </w:p>
        </w:tc>
      </w:tr>
      <w:tr w14:paraId="1EEBC4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36D3E89B">
            <w:pPr>
              <w:jc w:val="center"/>
              <w:rPr>
                <w:rFonts w:hint="eastAsia" w:ascii="宋体" w:hAnsi="宋体" w:eastAsia="宋体" w:cs="宋体"/>
                <w:i w:val="0"/>
                <w:iCs w:val="0"/>
                <w:color w:val="000000"/>
                <w:sz w:val="21"/>
                <w:szCs w:val="21"/>
                <w:highlight w:val="none"/>
                <w:u w:val="none"/>
              </w:rPr>
            </w:pPr>
            <w:r>
              <w:rPr>
                <w:color w:val="000000"/>
              </w:rPr>
              <w:t>20</w:t>
            </w:r>
          </w:p>
        </w:tc>
        <w:tc>
          <w:tcPr>
            <w:tcW w:w="1665" w:type="dxa"/>
            <w:tcBorders>
              <w:tl2br w:val="nil"/>
              <w:tr2bl w:val="nil"/>
            </w:tcBorders>
            <w:shd w:val="clear" w:color="auto" w:fill="auto"/>
            <w:vAlign w:val="center"/>
          </w:tcPr>
          <w:p w14:paraId="7BEBB8E8">
            <w:pPr>
              <w:jc w:val="center"/>
              <w:rPr>
                <w:rFonts w:hint="eastAsia" w:ascii="宋体" w:hAnsi="宋体" w:eastAsia="宋体" w:cs="宋体"/>
                <w:i w:val="0"/>
                <w:iCs w:val="0"/>
                <w:color w:val="000000"/>
                <w:sz w:val="21"/>
                <w:szCs w:val="21"/>
                <w:highlight w:val="none"/>
                <w:u w:val="none"/>
              </w:rPr>
            </w:pPr>
            <w:r>
              <w:rPr>
                <w:color w:val="000000"/>
              </w:rPr>
              <w:t>尿常规</w:t>
            </w:r>
          </w:p>
        </w:tc>
        <w:tc>
          <w:tcPr>
            <w:tcW w:w="2042" w:type="dxa"/>
            <w:tcBorders>
              <w:tl2br w:val="nil"/>
              <w:tr2bl w:val="nil"/>
            </w:tcBorders>
            <w:shd w:val="clear" w:color="auto" w:fill="auto"/>
            <w:vAlign w:val="center"/>
          </w:tcPr>
          <w:p w14:paraId="063F0636">
            <w:pPr>
              <w:jc w:val="center"/>
              <w:rPr>
                <w:rFonts w:hint="eastAsia" w:ascii="宋体" w:hAnsi="宋体" w:eastAsia="宋体" w:cs="宋体"/>
                <w:i w:val="0"/>
                <w:iCs w:val="0"/>
                <w:color w:val="000000"/>
                <w:sz w:val="21"/>
                <w:szCs w:val="21"/>
                <w:highlight w:val="none"/>
                <w:u w:val="none"/>
              </w:rPr>
            </w:pPr>
            <w:r>
              <w:rPr>
                <w:color w:val="000000"/>
              </w:rPr>
              <w:t>尿蛋白 、尿糖 、尿比重 、尿酮体 、尿胆红质 、尿胆元等10项</w:t>
            </w:r>
          </w:p>
        </w:tc>
        <w:tc>
          <w:tcPr>
            <w:tcW w:w="3547" w:type="dxa"/>
            <w:tcBorders>
              <w:tl2br w:val="nil"/>
              <w:tr2bl w:val="nil"/>
            </w:tcBorders>
            <w:shd w:val="clear" w:color="auto" w:fill="auto"/>
            <w:vAlign w:val="center"/>
          </w:tcPr>
          <w:p w14:paraId="628BFA15">
            <w:pPr>
              <w:jc w:val="center"/>
              <w:rPr>
                <w:rFonts w:hint="eastAsia" w:ascii="宋体" w:hAnsi="宋体" w:eastAsia="宋体" w:cs="宋体"/>
                <w:i w:val="0"/>
                <w:iCs w:val="0"/>
                <w:color w:val="000000"/>
                <w:sz w:val="21"/>
                <w:szCs w:val="21"/>
                <w:highlight w:val="none"/>
                <w:u w:val="none"/>
              </w:rPr>
            </w:pPr>
            <w:r>
              <w:rPr>
                <w:color w:val="000000"/>
              </w:rPr>
              <w:t>可提示有无泌尿系统疾患：如急、慢性肾炎，肾盂肾炎，膀胱炎，尿道炎，肾病综合征，狼疮性肾炎，血红蛋白尿，肾梗塞、肾小管重金属盐及药物导致急性肾小管坏死，肾或膀胱肿瘤以及有无尿糖等</w:t>
            </w:r>
          </w:p>
        </w:tc>
        <w:tc>
          <w:tcPr>
            <w:tcW w:w="1325" w:type="dxa"/>
            <w:tcBorders>
              <w:tl2br w:val="nil"/>
              <w:tr2bl w:val="nil"/>
            </w:tcBorders>
            <w:shd w:val="clear" w:color="auto" w:fill="auto"/>
            <w:vAlign w:val="center"/>
          </w:tcPr>
          <w:p w14:paraId="7394963D">
            <w:pPr>
              <w:jc w:val="center"/>
              <w:rPr>
                <w:rFonts w:hint="eastAsia" w:ascii="宋体" w:hAnsi="宋体" w:eastAsia="宋体" w:cs="宋体"/>
                <w:i w:val="0"/>
                <w:iCs w:val="0"/>
                <w:color w:val="000000"/>
                <w:sz w:val="21"/>
                <w:szCs w:val="21"/>
                <w:highlight w:val="none"/>
                <w:u w:val="none"/>
              </w:rPr>
            </w:pPr>
          </w:p>
        </w:tc>
      </w:tr>
      <w:tr w14:paraId="022A5A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5952E536">
            <w:pPr>
              <w:jc w:val="center"/>
              <w:rPr>
                <w:rFonts w:hint="eastAsia" w:ascii="宋体" w:hAnsi="宋体" w:eastAsia="宋体" w:cs="宋体"/>
                <w:i w:val="0"/>
                <w:iCs w:val="0"/>
                <w:color w:val="000000"/>
                <w:sz w:val="21"/>
                <w:szCs w:val="21"/>
                <w:highlight w:val="none"/>
                <w:u w:val="none"/>
              </w:rPr>
            </w:pPr>
            <w:r>
              <w:rPr>
                <w:color w:val="000000"/>
              </w:rPr>
              <w:t>21</w:t>
            </w:r>
          </w:p>
        </w:tc>
        <w:tc>
          <w:tcPr>
            <w:tcW w:w="1665" w:type="dxa"/>
            <w:tcBorders>
              <w:tl2br w:val="nil"/>
              <w:tr2bl w:val="nil"/>
            </w:tcBorders>
            <w:shd w:val="clear" w:color="auto" w:fill="auto"/>
            <w:vAlign w:val="center"/>
          </w:tcPr>
          <w:p w14:paraId="0409DAEB">
            <w:pPr>
              <w:jc w:val="center"/>
              <w:rPr>
                <w:rFonts w:hint="eastAsia" w:ascii="宋体" w:hAnsi="宋体" w:eastAsia="宋体" w:cs="宋体"/>
                <w:i w:val="0"/>
                <w:iCs w:val="0"/>
                <w:color w:val="000000"/>
                <w:sz w:val="21"/>
                <w:szCs w:val="21"/>
                <w:highlight w:val="none"/>
                <w:u w:val="none"/>
              </w:rPr>
            </w:pPr>
            <w:r>
              <w:rPr>
                <w:color w:val="000000"/>
              </w:rPr>
              <w:t>彩超检查</w:t>
            </w:r>
          </w:p>
        </w:tc>
        <w:tc>
          <w:tcPr>
            <w:tcW w:w="2042" w:type="dxa"/>
            <w:tcBorders>
              <w:tl2br w:val="nil"/>
              <w:tr2bl w:val="nil"/>
            </w:tcBorders>
            <w:shd w:val="clear" w:color="auto" w:fill="auto"/>
            <w:vAlign w:val="center"/>
          </w:tcPr>
          <w:p w14:paraId="0137AC99">
            <w:pPr>
              <w:jc w:val="center"/>
              <w:rPr>
                <w:rFonts w:hint="eastAsia" w:ascii="宋体" w:hAnsi="宋体" w:eastAsia="宋体" w:cs="宋体"/>
                <w:i w:val="0"/>
                <w:iCs w:val="0"/>
                <w:color w:val="000000"/>
                <w:sz w:val="21"/>
                <w:szCs w:val="21"/>
                <w:highlight w:val="none"/>
                <w:u w:val="none"/>
              </w:rPr>
            </w:pPr>
            <w:r>
              <w:rPr>
                <w:color w:val="000000"/>
              </w:rPr>
              <w:t>肝胆脾胰双肾，甲状腺彩超</w:t>
            </w:r>
          </w:p>
        </w:tc>
        <w:tc>
          <w:tcPr>
            <w:tcW w:w="3547" w:type="dxa"/>
            <w:tcBorders>
              <w:tl2br w:val="nil"/>
              <w:tr2bl w:val="nil"/>
            </w:tcBorders>
            <w:shd w:val="clear" w:color="auto" w:fill="auto"/>
            <w:vAlign w:val="center"/>
          </w:tcPr>
          <w:p w14:paraId="45D02E0C">
            <w:pPr>
              <w:jc w:val="center"/>
              <w:rPr>
                <w:rFonts w:hint="eastAsia" w:ascii="宋体" w:hAnsi="宋体" w:eastAsia="宋体" w:cs="宋体"/>
                <w:i w:val="0"/>
                <w:iCs w:val="0"/>
                <w:color w:val="000000"/>
                <w:sz w:val="21"/>
                <w:szCs w:val="21"/>
                <w:highlight w:val="none"/>
                <w:u w:val="none"/>
              </w:rPr>
            </w:pPr>
            <w:r>
              <w:rPr>
                <w:color w:val="000000"/>
              </w:rPr>
              <w:t>更清晰的观察各脏器有无炎症、囊肿、肿瘤、结石、积水等;检查甲状腺的结构及形态，发现甲状腺异常病变。</w:t>
            </w:r>
          </w:p>
        </w:tc>
        <w:tc>
          <w:tcPr>
            <w:tcW w:w="1325" w:type="dxa"/>
            <w:tcBorders>
              <w:tl2br w:val="nil"/>
              <w:tr2bl w:val="nil"/>
            </w:tcBorders>
            <w:shd w:val="clear" w:color="auto" w:fill="auto"/>
            <w:vAlign w:val="center"/>
          </w:tcPr>
          <w:p w14:paraId="7B6957D5">
            <w:pPr>
              <w:jc w:val="center"/>
              <w:rPr>
                <w:rFonts w:hint="eastAsia" w:ascii="宋体" w:hAnsi="宋体" w:eastAsia="宋体" w:cs="宋体"/>
                <w:i w:val="0"/>
                <w:iCs w:val="0"/>
                <w:color w:val="000000"/>
                <w:sz w:val="21"/>
                <w:szCs w:val="21"/>
                <w:highlight w:val="none"/>
                <w:u w:val="none"/>
              </w:rPr>
            </w:pPr>
          </w:p>
        </w:tc>
      </w:tr>
      <w:tr w14:paraId="3D9C5C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5DC55AD6">
            <w:pPr>
              <w:jc w:val="center"/>
              <w:rPr>
                <w:rFonts w:hint="eastAsia" w:ascii="宋体" w:hAnsi="宋体" w:eastAsia="宋体" w:cs="宋体"/>
                <w:i w:val="0"/>
                <w:iCs w:val="0"/>
                <w:color w:val="000000"/>
                <w:sz w:val="21"/>
                <w:szCs w:val="21"/>
                <w:highlight w:val="none"/>
                <w:u w:val="none"/>
              </w:rPr>
            </w:pPr>
            <w:r>
              <w:rPr>
                <w:color w:val="000000"/>
              </w:rPr>
              <w:t>22</w:t>
            </w:r>
          </w:p>
        </w:tc>
        <w:tc>
          <w:tcPr>
            <w:tcW w:w="1665" w:type="dxa"/>
            <w:tcBorders>
              <w:tl2br w:val="nil"/>
              <w:tr2bl w:val="nil"/>
            </w:tcBorders>
            <w:shd w:val="clear" w:color="auto" w:fill="auto"/>
            <w:vAlign w:val="center"/>
          </w:tcPr>
          <w:p w14:paraId="23CDAE0F">
            <w:pPr>
              <w:jc w:val="center"/>
              <w:rPr>
                <w:rFonts w:hint="eastAsia" w:ascii="宋体" w:hAnsi="宋体" w:eastAsia="宋体" w:cs="宋体"/>
                <w:i w:val="0"/>
                <w:iCs w:val="0"/>
                <w:color w:val="000000"/>
                <w:sz w:val="21"/>
                <w:szCs w:val="21"/>
                <w:highlight w:val="none"/>
                <w:u w:val="none"/>
              </w:rPr>
            </w:pPr>
            <w:r>
              <w:rPr>
                <w:color w:val="000000"/>
              </w:rPr>
              <w:t>经颅多普勒</w:t>
            </w:r>
          </w:p>
        </w:tc>
        <w:tc>
          <w:tcPr>
            <w:tcW w:w="2042" w:type="dxa"/>
            <w:tcBorders>
              <w:tl2br w:val="nil"/>
              <w:tr2bl w:val="nil"/>
            </w:tcBorders>
            <w:shd w:val="clear" w:color="auto" w:fill="auto"/>
            <w:vAlign w:val="center"/>
          </w:tcPr>
          <w:p w14:paraId="34957395">
            <w:pPr>
              <w:jc w:val="center"/>
              <w:rPr>
                <w:rFonts w:hint="eastAsia" w:ascii="宋体" w:hAnsi="宋体" w:eastAsia="宋体" w:cs="宋体"/>
                <w:i w:val="0"/>
                <w:iCs w:val="0"/>
                <w:color w:val="000000"/>
                <w:sz w:val="21"/>
                <w:szCs w:val="21"/>
                <w:highlight w:val="none"/>
                <w:u w:val="none"/>
              </w:rPr>
            </w:pPr>
            <w:r>
              <w:rPr>
                <w:color w:val="000000"/>
              </w:rPr>
              <w:t>颅脑检测</w:t>
            </w:r>
          </w:p>
        </w:tc>
        <w:tc>
          <w:tcPr>
            <w:tcW w:w="3547" w:type="dxa"/>
            <w:tcBorders>
              <w:tl2br w:val="nil"/>
              <w:tr2bl w:val="nil"/>
            </w:tcBorders>
            <w:shd w:val="clear" w:color="auto" w:fill="auto"/>
            <w:vAlign w:val="center"/>
          </w:tcPr>
          <w:p w14:paraId="6DD5BF0A">
            <w:pPr>
              <w:jc w:val="center"/>
              <w:rPr>
                <w:rFonts w:hint="eastAsia" w:ascii="宋体" w:hAnsi="宋体" w:eastAsia="宋体" w:cs="宋体"/>
                <w:i w:val="0"/>
                <w:iCs w:val="0"/>
                <w:color w:val="000000"/>
                <w:sz w:val="21"/>
                <w:szCs w:val="21"/>
                <w:highlight w:val="none"/>
                <w:u w:val="none"/>
              </w:rPr>
            </w:pPr>
            <w:r>
              <w:rPr>
                <w:color w:val="000000"/>
              </w:rPr>
              <w:t>用超声多普勒效应来检测颅内脑底主要动脉的血流动力学及血流生理参数的一项无创性的脑血管疾病检查方法，对检查头疼、偏头疼、血栓、血管病变等有重要意义。</w:t>
            </w:r>
          </w:p>
        </w:tc>
        <w:tc>
          <w:tcPr>
            <w:tcW w:w="1325" w:type="dxa"/>
            <w:tcBorders>
              <w:tl2br w:val="nil"/>
              <w:tr2bl w:val="nil"/>
            </w:tcBorders>
            <w:shd w:val="clear" w:color="auto" w:fill="auto"/>
            <w:vAlign w:val="center"/>
          </w:tcPr>
          <w:p w14:paraId="2E426FDB">
            <w:pPr>
              <w:jc w:val="center"/>
              <w:rPr>
                <w:rFonts w:hint="eastAsia" w:ascii="宋体" w:hAnsi="宋体" w:eastAsia="宋体" w:cs="宋体"/>
                <w:i w:val="0"/>
                <w:iCs w:val="0"/>
                <w:color w:val="000000"/>
                <w:sz w:val="21"/>
                <w:szCs w:val="21"/>
                <w:highlight w:val="none"/>
                <w:u w:val="none"/>
              </w:rPr>
            </w:pPr>
          </w:p>
        </w:tc>
      </w:tr>
      <w:tr w14:paraId="670513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68718188">
            <w:pPr>
              <w:jc w:val="center"/>
              <w:rPr>
                <w:rFonts w:hint="eastAsia" w:ascii="宋体" w:hAnsi="宋体" w:eastAsia="宋体" w:cs="宋体"/>
                <w:i w:val="0"/>
                <w:iCs w:val="0"/>
                <w:color w:val="000000"/>
                <w:sz w:val="21"/>
                <w:szCs w:val="21"/>
                <w:highlight w:val="none"/>
                <w:u w:val="none"/>
              </w:rPr>
            </w:pPr>
            <w:r>
              <w:rPr>
                <w:color w:val="000000"/>
              </w:rPr>
              <w:t>23</w:t>
            </w:r>
          </w:p>
        </w:tc>
        <w:tc>
          <w:tcPr>
            <w:tcW w:w="1665" w:type="dxa"/>
            <w:tcBorders>
              <w:tl2br w:val="nil"/>
              <w:tr2bl w:val="nil"/>
            </w:tcBorders>
            <w:shd w:val="clear" w:color="auto" w:fill="auto"/>
            <w:vAlign w:val="center"/>
          </w:tcPr>
          <w:p w14:paraId="763D2954">
            <w:pPr>
              <w:jc w:val="center"/>
              <w:rPr>
                <w:rFonts w:hint="eastAsia" w:ascii="宋体" w:hAnsi="宋体" w:eastAsia="宋体" w:cs="宋体"/>
                <w:i w:val="0"/>
                <w:iCs w:val="0"/>
                <w:color w:val="000000"/>
                <w:sz w:val="21"/>
                <w:szCs w:val="21"/>
                <w:highlight w:val="none"/>
                <w:u w:val="none"/>
              </w:rPr>
            </w:pPr>
            <w:r>
              <w:rPr>
                <w:color w:val="000000"/>
              </w:rPr>
              <w:t>超敏c-反应蛋白</w:t>
            </w:r>
          </w:p>
        </w:tc>
        <w:tc>
          <w:tcPr>
            <w:tcW w:w="2042" w:type="dxa"/>
            <w:tcBorders>
              <w:tl2br w:val="nil"/>
              <w:tr2bl w:val="nil"/>
            </w:tcBorders>
            <w:shd w:val="clear" w:color="auto" w:fill="auto"/>
            <w:vAlign w:val="center"/>
          </w:tcPr>
          <w:p w14:paraId="71C39381">
            <w:pPr>
              <w:jc w:val="center"/>
              <w:rPr>
                <w:rFonts w:hint="eastAsia" w:ascii="宋体" w:hAnsi="宋体" w:eastAsia="宋体" w:cs="宋体"/>
                <w:i w:val="0"/>
                <w:iCs w:val="0"/>
                <w:color w:val="000000"/>
                <w:sz w:val="21"/>
                <w:szCs w:val="21"/>
                <w:highlight w:val="none"/>
                <w:u w:val="none"/>
              </w:rPr>
            </w:pPr>
            <w:r>
              <w:rPr>
                <w:color w:val="000000"/>
              </w:rPr>
              <w:t>该数值指标可明确人体炎症反应严重程度，可进行评估冠状动脉粥样硬化性心脏病。</w:t>
            </w:r>
          </w:p>
        </w:tc>
        <w:tc>
          <w:tcPr>
            <w:tcW w:w="3547" w:type="dxa"/>
            <w:tcBorders>
              <w:tl2br w:val="nil"/>
              <w:tr2bl w:val="nil"/>
            </w:tcBorders>
            <w:shd w:val="clear" w:color="auto" w:fill="auto"/>
            <w:vAlign w:val="center"/>
          </w:tcPr>
          <w:p w14:paraId="5A866B12">
            <w:pPr>
              <w:jc w:val="center"/>
              <w:rPr>
                <w:rFonts w:hint="eastAsia" w:ascii="宋体" w:hAnsi="宋体" w:eastAsia="宋体" w:cs="宋体"/>
                <w:i w:val="0"/>
                <w:iCs w:val="0"/>
                <w:color w:val="000000"/>
                <w:sz w:val="21"/>
                <w:szCs w:val="21"/>
                <w:highlight w:val="none"/>
                <w:u w:val="none"/>
              </w:rPr>
            </w:pPr>
            <w:r>
              <w:rPr>
                <w:color w:val="000000"/>
              </w:rPr>
              <w:t>对炎症、组织损伤、恶性肿瘤等疾病的诊断及疗效观察有重要意义。</w:t>
            </w:r>
          </w:p>
        </w:tc>
        <w:tc>
          <w:tcPr>
            <w:tcW w:w="1325" w:type="dxa"/>
            <w:tcBorders>
              <w:tl2br w:val="nil"/>
              <w:tr2bl w:val="nil"/>
            </w:tcBorders>
            <w:shd w:val="clear" w:color="auto" w:fill="auto"/>
            <w:vAlign w:val="center"/>
          </w:tcPr>
          <w:p w14:paraId="0263BD77">
            <w:pPr>
              <w:jc w:val="center"/>
              <w:rPr>
                <w:rFonts w:hint="eastAsia" w:ascii="宋体" w:hAnsi="宋体" w:eastAsia="宋体" w:cs="宋体"/>
                <w:i w:val="0"/>
                <w:iCs w:val="0"/>
                <w:color w:val="000000"/>
                <w:sz w:val="21"/>
                <w:szCs w:val="21"/>
                <w:highlight w:val="none"/>
                <w:u w:val="none"/>
              </w:rPr>
            </w:pPr>
          </w:p>
        </w:tc>
      </w:tr>
      <w:tr w14:paraId="057E25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635F95A4">
            <w:pPr>
              <w:jc w:val="center"/>
              <w:rPr>
                <w:rFonts w:hint="eastAsia" w:ascii="宋体" w:hAnsi="宋体" w:eastAsia="宋体" w:cs="宋体"/>
                <w:i w:val="0"/>
                <w:iCs w:val="0"/>
                <w:color w:val="000000"/>
                <w:sz w:val="21"/>
                <w:szCs w:val="21"/>
                <w:highlight w:val="none"/>
                <w:u w:val="none"/>
              </w:rPr>
            </w:pPr>
            <w:r>
              <w:rPr>
                <w:color w:val="000000"/>
              </w:rPr>
              <w:t>24</w:t>
            </w:r>
          </w:p>
        </w:tc>
        <w:tc>
          <w:tcPr>
            <w:tcW w:w="1665" w:type="dxa"/>
            <w:tcBorders>
              <w:tl2br w:val="nil"/>
              <w:tr2bl w:val="nil"/>
            </w:tcBorders>
            <w:shd w:val="clear" w:color="auto" w:fill="auto"/>
            <w:vAlign w:val="center"/>
          </w:tcPr>
          <w:p w14:paraId="12D109A0">
            <w:pPr>
              <w:jc w:val="center"/>
              <w:rPr>
                <w:rFonts w:hint="eastAsia" w:ascii="宋体" w:hAnsi="宋体" w:eastAsia="宋体" w:cs="宋体"/>
                <w:i w:val="0"/>
                <w:iCs w:val="0"/>
                <w:color w:val="000000"/>
                <w:sz w:val="21"/>
                <w:szCs w:val="21"/>
                <w:highlight w:val="none"/>
                <w:u w:val="none"/>
              </w:rPr>
            </w:pPr>
            <w:r>
              <w:rPr>
                <w:color w:val="000000"/>
              </w:rPr>
              <w:t>CT检查</w:t>
            </w:r>
          </w:p>
        </w:tc>
        <w:tc>
          <w:tcPr>
            <w:tcW w:w="2042" w:type="dxa"/>
            <w:tcBorders>
              <w:tl2br w:val="nil"/>
              <w:tr2bl w:val="nil"/>
            </w:tcBorders>
            <w:shd w:val="clear" w:color="auto" w:fill="auto"/>
            <w:vAlign w:val="center"/>
          </w:tcPr>
          <w:p w14:paraId="6BEA123F">
            <w:pPr>
              <w:jc w:val="center"/>
              <w:rPr>
                <w:rFonts w:hint="eastAsia" w:ascii="宋体" w:hAnsi="宋体" w:eastAsia="宋体" w:cs="宋体"/>
                <w:i w:val="0"/>
                <w:iCs w:val="0"/>
                <w:color w:val="000000"/>
                <w:sz w:val="21"/>
                <w:szCs w:val="21"/>
                <w:highlight w:val="none"/>
                <w:u w:val="none"/>
              </w:rPr>
            </w:pPr>
            <w:r>
              <w:rPr>
                <w:color w:val="000000"/>
              </w:rPr>
              <w:t>胸部CT</w:t>
            </w:r>
          </w:p>
        </w:tc>
        <w:tc>
          <w:tcPr>
            <w:tcW w:w="3547" w:type="dxa"/>
            <w:tcBorders>
              <w:tl2br w:val="nil"/>
              <w:tr2bl w:val="nil"/>
            </w:tcBorders>
            <w:shd w:val="clear" w:color="auto" w:fill="auto"/>
            <w:vAlign w:val="center"/>
          </w:tcPr>
          <w:p w14:paraId="3D4A155B">
            <w:pPr>
              <w:jc w:val="center"/>
              <w:rPr>
                <w:rFonts w:hint="eastAsia" w:ascii="宋体" w:hAnsi="宋体" w:eastAsia="宋体" w:cs="宋体"/>
                <w:i w:val="0"/>
                <w:iCs w:val="0"/>
                <w:color w:val="000000"/>
                <w:sz w:val="21"/>
                <w:szCs w:val="21"/>
                <w:highlight w:val="none"/>
                <w:u w:val="none"/>
              </w:rPr>
            </w:pPr>
            <w:r>
              <w:rPr>
                <w:color w:val="000000"/>
              </w:rPr>
              <w:t>适用于肺部疾病及心脏、主动脉、纵隔、横膈疾病等的检查。</w:t>
            </w:r>
          </w:p>
        </w:tc>
        <w:tc>
          <w:tcPr>
            <w:tcW w:w="1325" w:type="dxa"/>
            <w:tcBorders>
              <w:tl2br w:val="nil"/>
              <w:tr2bl w:val="nil"/>
            </w:tcBorders>
            <w:shd w:val="clear" w:color="auto" w:fill="auto"/>
            <w:vAlign w:val="center"/>
          </w:tcPr>
          <w:p w14:paraId="513A57B1">
            <w:pPr>
              <w:jc w:val="center"/>
              <w:rPr>
                <w:rFonts w:hint="eastAsia" w:ascii="宋体" w:hAnsi="宋体" w:eastAsia="宋体" w:cs="宋体"/>
                <w:i w:val="0"/>
                <w:iCs w:val="0"/>
                <w:color w:val="000000"/>
                <w:sz w:val="21"/>
                <w:szCs w:val="21"/>
                <w:highlight w:val="none"/>
                <w:u w:val="none"/>
              </w:rPr>
            </w:pPr>
            <w:r>
              <w:rPr>
                <w:color w:val="000000"/>
              </w:rPr>
              <w:t>胸部正位换CT</w:t>
            </w:r>
          </w:p>
        </w:tc>
      </w:tr>
      <w:tr w14:paraId="5D64A2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1C1728B2">
            <w:pPr>
              <w:jc w:val="center"/>
              <w:rPr>
                <w:rFonts w:hint="eastAsia" w:ascii="宋体" w:hAnsi="宋体" w:eastAsia="宋体" w:cs="宋体"/>
                <w:i w:val="0"/>
                <w:iCs w:val="0"/>
                <w:color w:val="000000"/>
                <w:sz w:val="21"/>
                <w:szCs w:val="21"/>
                <w:highlight w:val="none"/>
                <w:u w:val="none"/>
              </w:rPr>
            </w:pPr>
            <w:r>
              <w:rPr>
                <w:color w:val="000000"/>
              </w:rPr>
              <w:t>25</w:t>
            </w:r>
          </w:p>
        </w:tc>
        <w:tc>
          <w:tcPr>
            <w:tcW w:w="1665" w:type="dxa"/>
            <w:tcBorders>
              <w:tl2br w:val="nil"/>
              <w:tr2bl w:val="nil"/>
            </w:tcBorders>
            <w:shd w:val="clear" w:color="auto" w:fill="auto"/>
            <w:vAlign w:val="center"/>
          </w:tcPr>
          <w:p w14:paraId="34DDB537">
            <w:pPr>
              <w:jc w:val="center"/>
              <w:rPr>
                <w:rFonts w:hint="eastAsia" w:ascii="宋体" w:hAnsi="宋体" w:eastAsia="宋体" w:cs="宋体"/>
                <w:i w:val="0"/>
                <w:iCs w:val="0"/>
                <w:color w:val="000000"/>
                <w:sz w:val="21"/>
                <w:szCs w:val="21"/>
                <w:highlight w:val="none"/>
                <w:u w:val="none"/>
              </w:rPr>
            </w:pPr>
            <w:r>
              <w:rPr>
                <w:color w:val="000000"/>
              </w:rPr>
              <w:t>X线检查（高清DR）</w:t>
            </w:r>
          </w:p>
        </w:tc>
        <w:tc>
          <w:tcPr>
            <w:tcW w:w="2042" w:type="dxa"/>
            <w:tcBorders>
              <w:tl2br w:val="nil"/>
              <w:tr2bl w:val="nil"/>
            </w:tcBorders>
            <w:shd w:val="clear" w:color="auto" w:fill="auto"/>
            <w:vAlign w:val="center"/>
          </w:tcPr>
          <w:p w14:paraId="661CD55D">
            <w:pPr>
              <w:jc w:val="center"/>
              <w:rPr>
                <w:rFonts w:hint="eastAsia" w:ascii="宋体" w:hAnsi="宋体" w:eastAsia="宋体" w:cs="宋体"/>
                <w:i w:val="0"/>
                <w:iCs w:val="0"/>
                <w:color w:val="000000"/>
                <w:sz w:val="21"/>
                <w:szCs w:val="21"/>
                <w:highlight w:val="none"/>
                <w:u w:val="none"/>
              </w:rPr>
            </w:pPr>
            <w:r>
              <w:rPr>
                <w:color w:val="000000"/>
              </w:rPr>
              <w:t>颈椎侧位片</w:t>
            </w:r>
          </w:p>
        </w:tc>
        <w:tc>
          <w:tcPr>
            <w:tcW w:w="3547" w:type="dxa"/>
            <w:tcBorders>
              <w:tl2br w:val="nil"/>
              <w:tr2bl w:val="nil"/>
            </w:tcBorders>
            <w:shd w:val="clear" w:color="auto" w:fill="auto"/>
            <w:vAlign w:val="center"/>
          </w:tcPr>
          <w:p w14:paraId="1BE97686">
            <w:pPr>
              <w:jc w:val="center"/>
              <w:rPr>
                <w:rFonts w:hint="eastAsia" w:ascii="宋体" w:hAnsi="宋体" w:eastAsia="宋体" w:cs="宋体"/>
                <w:i w:val="0"/>
                <w:iCs w:val="0"/>
                <w:color w:val="000000"/>
                <w:sz w:val="21"/>
                <w:szCs w:val="21"/>
                <w:highlight w:val="none"/>
                <w:u w:val="none"/>
              </w:rPr>
            </w:pPr>
            <w:r>
              <w:rPr>
                <w:color w:val="000000"/>
              </w:rPr>
              <w:t>可提示颈椎曲度是否改变，椎间隙是否变窄，有无骨质增生或韧带钙化。</w:t>
            </w:r>
          </w:p>
        </w:tc>
        <w:tc>
          <w:tcPr>
            <w:tcW w:w="1325" w:type="dxa"/>
            <w:tcBorders>
              <w:tl2br w:val="nil"/>
              <w:tr2bl w:val="nil"/>
            </w:tcBorders>
            <w:shd w:val="clear" w:color="auto" w:fill="auto"/>
            <w:vAlign w:val="center"/>
          </w:tcPr>
          <w:p w14:paraId="6F16218D">
            <w:pPr>
              <w:jc w:val="center"/>
              <w:rPr>
                <w:rFonts w:hint="eastAsia" w:ascii="宋体" w:hAnsi="宋体" w:eastAsia="宋体" w:cs="宋体"/>
                <w:i w:val="0"/>
                <w:iCs w:val="0"/>
                <w:color w:val="000000"/>
                <w:sz w:val="21"/>
                <w:szCs w:val="21"/>
                <w:highlight w:val="none"/>
                <w:u w:val="none"/>
              </w:rPr>
            </w:pPr>
          </w:p>
        </w:tc>
      </w:tr>
      <w:tr w14:paraId="0DC8F9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588711B4">
            <w:pPr>
              <w:jc w:val="center"/>
              <w:rPr>
                <w:rFonts w:hint="eastAsia" w:ascii="宋体" w:hAnsi="宋体" w:eastAsia="宋体" w:cs="宋体"/>
                <w:i w:val="0"/>
                <w:iCs w:val="0"/>
                <w:color w:val="000000"/>
                <w:sz w:val="21"/>
                <w:szCs w:val="21"/>
                <w:highlight w:val="none"/>
                <w:u w:val="none"/>
              </w:rPr>
            </w:pPr>
            <w:r>
              <w:rPr>
                <w:color w:val="000000"/>
              </w:rPr>
              <w:t>26</w:t>
            </w:r>
          </w:p>
        </w:tc>
        <w:tc>
          <w:tcPr>
            <w:tcW w:w="1665" w:type="dxa"/>
            <w:tcBorders>
              <w:tl2br w:val="nil"/>
              <w:tr2bl w:val="nil"/>
            </w:tcBorders>
            <w:shd w:val="clear" w:color="auto" w:fill="auto"/>
            <w:vAlign w:val="center"/>
          </w:tcPr>
          <w:p w14:paraId="3824A430">
            <w:pPr>
              <w:jc w:val="center"/>
              <w:rPr>
                <w:rFonts w:hint="eastAsia" w:ascii="宋体" w:hAnsi="宋体" w:eastAsia="宋体" w:cs="宋体"/>
                <w:i w:val="0"/>
                <w:iCs w:val="0"/>
                <w:color w:val="000000"/>
                <w:sz w:val="21"/>
                <w:szCs w:val="21"/>
                <w:highlight w:val="none"/>
                <w:u w:val="none"/>
              </w:rPr>
            </w:pPr>
            <w:r>
              <w:rPr>
                <w:color w:val="000000"/>
              </w:rPr>
              <w:t>X线检查（高清DR）</w:t>
            </w:r>
          </w:p>
        </w:tc>
        <w:tc>
          <w:tcPr>
            <w:tcW w:w="2042" w:type="dxa"/>
            <w:tcBorders>
              <w:tl2br w:val="nil"/>
              <w:tr2bl w:val="nil"/>
            </w:tcBorders>
            <w:shd w:val="clear" w:color="auto" w:fill="auto"/>
            <w:vAlign w:val="center"/>
          </w:tcPr>
          <w:p w14:paraId="72F5DD99">
            <w:pPr>
              <w:jc w:val="center"/>
              <w:rPr>
                <w:rFonts w:hint="eastAsia" w:ascii="宋体" w:hAnsi="宋体" w:eastAsia="宋体" w:cs="宋体"/>
                <w:i w:val="0"/>
                <w:iCs w:val="0"/>
                <w:color w:val="000000"/>
                <w:sz w:val="21"/>
                <w:szCs w:val="21"/>
                <w:highlight w:val="none"/>
                <w:u w:val="none"/>
              </w:rPr>
            </w:pPr>
            <w:r>
              <w:rPr>
                <w:color w:val="000000"/>
              </w:rPr>
              <w:t>腰椎侧位片</w:t>
            </w:r>
          </w:p>
        </w:tc>
        <w:tc>
          <w:tcPr>
            <w:tcW w:w="3547" w:type="dxa"/>
            <w:tcBorders>
              <w:tl2br w:val="nil"/>
              <w:tr2bl w:val="nil"/>
            </w:tcBorders>
            <w:shd w:val="clear" w:color="auto" w:fill="auto"/>
            <w:vAlign w:val="center"/>
          </w:tcPr>
          <w:p w14:paraId="114549EA">
            <w:pPr>
              <w:jc w:val="center"/>
              <w:rPr>
                <w:rFonts w:hint="eastAsia" w:ascii="宋体" w:hAnsi="宋体" w:eastAsia="宋体" w:cs="宋体"/>
                <w:i w:val="0"/>
                <w:iCs w:val="0"/>
                <w:color w:val="000000"/>
                <w:sz w:val="21"/>
                <w:szCs w:val="21"/>
                <w:highlight w:val="none"/>
                <w:u w:val="none"/>
              </w:rPr>
            </w:pPr>
            <w:r>
              <w:rPr>
                <w:color w:val="000000"/>
              </w:rPr>
              <w:t>用于观察腰椎骨质、形态、椎间盘、棘突、关节突等的情况。</w:t>
            </w:r>
          </w:p>
        </w:tc>
        <w:tc>
          <w:tcPr>
            <w:tcW w:w="1325" w:type="dxa"/>
            <w:tcBorders>
              <w:tl2br w:val="nil"/>
              <w:tr2bl w:val="nil"/>
            </w:tcBorders>
            <w:shd w:val="clear" w:color="auto" w:fill="auto"/>
            <w:vAlign w:val="center"/>
          </w:tcPr>
          <w:p w14:paraId="7F5F42E5">
            <w:pPr>
              <w:jc w:val="center"/>
              <w:rPr>
                <w:rFonts w:hint="eastAsia" w:ascii="宋体" w:hAnsi="宋体" w:eastAsia="宋体" w:cs="宋体"/>
                <w:i w:val="0"/>
                <w:iCs w:val="0"/>
                <w:color w:val="000000"/>
                <w:sz w:val="21"/>
                <w:szCs w:val="21"/>
                <w:highlight w:val="none"/>
                <w:u w:val="none"/>
              </w:rPr>
            </w:pPr>
          </w:p>
        </w:tc>
      </w:tr>
      <w:tr w14:paraId="21A817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326A2E68">
            <w:pPr>
              <w:jc w:val="center"/>
              <w:rPr>
                <w:rFonts w:hint="eastAsia" w:ascii="宋体" w:hAnsi="宋体" w:eastAsia="宋体" w:cs="宋体"/>
                <w:i w:val="0"/>
                <w:iCs w:val="0"/>
                <w:color w:val="000000"/>
                <w:sz w:val="21"/>
                <w:szCs w:val="21"/>
                <w:highlight w:val="none"/>
                <w:u w:val="none"/>
              </w:rPr>
            </w:pPr>
            <w:r>
              <w:rPr>
                <w:color w:val="000000"/>
              </w:rPr>
              <w:t>27</w:t>
            </w:r>
          </w:p>
        </w:tc>
        <w:tc>
          <w:tcPr>
            <w:tcW w:w="1665" w:type="dxa"/>
            <w:tcBorders>
              <w:tl2br w:val="nil"/>
              <w:tr2bl w:val="nil"/>
            </w:tcBorders>
            <w:shd w:val="clear" w:color="auto" w:fill="auto"/>
            <w:vAlign w:val="center"/>
          </w:tcPr>
          <w:p w14:paraId="0C5F1359">
            <w:pPr>
              <w:jc w:val="center"/>
              <w:rPr>
                <w:rFonts w:hint="eastAsia" w:ascii="宋体" w:hAnsi="宋体" w:eastAsia="宋体" w:cs="宋体"/>
                <w:i w:val="0"/>
                <w:iCs w:val="0"/>
                <w:color w:val="000000"/>
                <w:sz w:val="21"/>
                <w:szCs w:val="21"/>
                <w:highlight w:val="none"/>
                <w:u w:val="none"/>
              </w:rPr>
            </w:pPr>
            <w:r>
              <w:rPr>
                <w:color w:val="000000"/>
              </w:rPr>
              <w:t>男性员工彩超检查</w:t>
            </w:r>
          </w:p>
        </w:tc>
        <w:tc>
          <w:tcPr>
            <w:tcW w:w="2042" w:type="dxa"/>
            <w:tcBorders>
              <w:tl2br w:val="nil"/>
              <w:tr2bl w:val="nil"/>
            </w:tcBorders>
            <w:shd w:val="clear" w:color="auto" w:fill="auto"/>
            <w:vAlign w:val="center"/>
          </w:tcPr>
          <w:p w14:paraId="09018CD4">
            <w:pPr>
              <w:jc w:val="center"/>
              <w:rPr>
                <w:rFonts w:hint="eastAsia" w:ascii="宋体" w:hAnsi="宋体" w:eastAsia="宋体" w:cs="宋体"/>
                <w:i w:val="0"/>
                <w:iCs w:val="0"/>
                <w:color w:val="000000"/>
                <w:sz w:val="21"/>
                <w:szCs w:val="21"/>
                <w:highlight w:val="none"/>
                <w:u w:val="none"/>
              </w:rPr>
            </w:pPr>
            <w:r>
              <w:rPr>
                <w:color w:val="000000"/>
              </w:rPr>
              <w:t>前列腺彩超（彩超机）</w:t>
            </w:r>
          </w:p>
        </w:tc>
        <w:tc>
          <w:tcPr>
            <w:tcW w:w="3547" w:type="dxa"/>
            <w:tcBorders>
              <w:tl2br w:val="nil"/>
              <w:tr2bl w:val="nil"/>
            </w:tcBorders>
            <w:shd w:val="clear" w:color="auto" w:fill="auto"/>
            <w:vAlign w:val="center"/>
          </w:tcPr>
          <w:p w14:paraId="1431DB38">
            <w:pPr>
              <w:jc w:val="center"/>
              <w:rPr>
                <w:rFonts w:hint="eastAsia" w:ascii="宋体" w:hAnsi="宋体" w:eastAsia="宋体" w:cs="宋体"/>
                <w:i w:val="0"/>
                <w:iCs w:val="0"/>
                <w:color w:val="000000"/>
                <w:sz w:val="21"/>
                <w:szCs w:val="21"/>
                <w:highlight w:val="none"/>
                <w:u w:val="none"/>
              </w:rPr>
            </w:pPr>
            <w:r>
              <w:rPr>
                <w:color w:val="000000"/>
              </w:rPr>
              <w:t>检查能较好的显示前列腺的形态、大小，对于前列腺增生、肥大、钙化等疾病具有诊断意义。提供高清晰度的动态彩色超声断层图像诊断。</w:t>
            </w:r>
          </w:p>
        </w:tc>
        <w:tc>
          <w:tcPr>
            <w:tcW w:w="1325" w:type="dxa"/>
            <w:tcBorders>
              <w:tl2br w:val="nil"/>
              <w:tr2bl w:val="nil"/>
            </w:tcBorders>
            <w:shd w:val="clear" w:color="auto" w:fill="auto"/>
            <w:vAlign w:val="center"/>
          </w:tcPr>
          <w:p w14:paraId="37FE28B9">
            <w:pPr>
              <w:jc w:val="center"/>
              <w:rPr>
                <w:rFonts w:hint="eastAsia" w:ascii="宋体" w:hAnsi="宋体" w:eastAsia="宋体" w:cs="宋体"/>
                <w:i w:val="0"/>
                <w:iCs w:val="0"/>
                <w:color w:val="000000"/>
                <w:sz w:val="21"/>
                <w:szCs w:val="21"/>
                <w:highlight w:val="none"/>
                <w:u w:val="none"/>
              </w:rPr>
            </w:pPr>
          </w:p>
        </w:tc>
      </w:tr>
      <w:tr w14:paraId="66C7A7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6155D199">
            <w:pPr>
              <w:jc w:val="center"/>
              <w:rPr>
                <w:rFonts w:hint="eastAsia" w:ascii="宋体" w:hAnsi="宋体" w:eastAsia="宋体" w:cs="宋体"/>
                <w:i w:val="0"/>
                <w:iCs w:val="0"/>
                <w:color w:val="000000"/>
                <w:sz w:val="21"/>
                <w:szCs w:val="21"/>
                <w:highlight w:val="none"/>
                <w:u w:val="none"/>
              </w:rPr>
            </w:pPr>
            <w:r>
              <w:rPr>
                <w:color w:val="000000"/>
              </w:rPr>
              <w:t>28</w:t>
            </w:r>
          </w:p>
        </w:tc>
        <w:tc>
          <w:tcPr>
            <w:tcW w:w="1665" w:type="dxa"/>
            <w:tcBorders>
              <w:tl2br w:val="nil"/>
              <w:tr2bl w:val="nil"/>
            </w:tcBorders>
            <w:shd w:val="clear" w:color="auto" w:fill="auto"/>
            <w:vAlign w:val="center"/>
          </w:tcPr>
          <w:p w14:paraId="2F3F1D7F">
            <w:pPr>
              <w:jc w:val="center"/>
              <w:rPr>
                <w:rFonts w:hint="eastAsia" w:ascii="宋体" w:hAnsi="宋体" w:eastAsia="宋体" w:cs="宋体"/>
                <w:i w:val="0"/>
                <w:iCs w:val="0"/>
                <w:color w:val="000000"/>
                <w:sz w:val="21"/>
                <w:szCs w:val="21"/>
                <w:highlight w:val="none"/>
                <w:u w:val="none"/>
              </w:rPr>
            </w:pPr>
            <w:r>
              <w:rPr>
                <w:color w:val="000000"/>
              </w:rPr>
              <w:t>女性员工彩超检查</w:t>
            </w:r>
          </w:p>
        </w:tc>
        <w:tc>
          <w:tcPr>
            <w:tcW w:w="2042" w:type="dxa"/>
            <w:tcBorders>
              <w:tl2br w:val="nil"/>
              <w:tr2bl w:val="nil"/>
            </w:tcBorders>
            <w:shd w:val="clear" w:color="auto" w:fill="auto"/>
            <w:vAlign w:val="center"/>
          </w:tcPr>
          <w:p w14:paraId="1C46A7BE">
            <w:pPr>
              <w:jc w:val="center"/>
              <w:rPr>
                <w:rFonts w:hint="eastAsia" w:ascii="宋体" w:hAnsi="宋体" w:eastAsia="宋体" w:cs="宋体"/>
                <w:i w:val="0"/>
                <w:iCs w:val="0"/>
                <w:color w:val="000000"/>
                <w:sz w:val="21"/>
                <w:szCs w:val="21"/>
                <w:highlight w:val="none"/>
                <w:u w:val="none"/>
              </w:rPr>
            </w:pPr>
            <w:r>
              <w:rPr>
                <w:color w:val="000000"/>
              </w:rPr>
              <w:t>彩超检查双侧乳腺（彩超机）</w:t>
            </w:r>
          </w:p>
        </w:tc>
        <w:tc>
          <w:tcPr>
            <w:tcW w:w="3547" w:type="dxa"/>
            <w:tcBorders>
              <w:tl2br w:val="nil"/>
              <w:tr2bl w:val="nil"/>
            </w:tcBorders>
            <w:shd w:val="clear" w:color="auto" w:fill="auto"/>
            <w:vAlign w:val="center"/>
          </w:tcPr>
          <w:p w14:paraId="75BD305A">
            <w:pPr>
              <w:jc w:val="center"/>
              <w:rPr>
                <w:rFonts w:hint="eastAsia" w:ascii="宋体" w:hAnsi="宋体" w:eastAsia="宋体" w:cs="宋体"/>
                <w:i w:val="0"/>
                <w:iCs w:val="0"/>
                <w:color w:val="000000"/>
                <w:sz w:val="21"/>
                <w:szCs w:val="21"/>
                <w:highlight w:val="none"/>
                <w:u w:val="none"/>
              </w:rPr>
            </w:pPr>
            <w:r>
              <w:rPr>
                <w:color w:val="000000"/>
              </w:rPr>
              <w:t>可提示有否乳腺肿块或乳腺占位性病变等。</w:t>
            </w:r>
          </w:p>
        </w:tc>
        <w:tc>
          <w:tcPr>
            <w:tcW w:w="1325" w:type="dxa"/>
            <w:tcBorders>
              <w:tl2br w:val="nil"/>
              <w:tr2bl w:val="nil"/>
            </w:tcBorders>
            <w:shd w:val="clear" w:color="auto" w:fill="auto"/>
            <w:vAlign w:val="center"/>
          </w:tcPr>
          <w:p w14:paraId="2041D3BD">
            <w:pPr>
              <w:jc w:val="center"/>
              <w:rPr>
                <w:rFonts w:hint="eastAsia" w:ascii="宋体" w:hAnsi="宋体" w:eastAsia="宋体" w:cs="宋体"/>
                <w:i w:val="0"/>
                <w:iCs w:val="0"/>
                <w:color w:val="000000"/>
                <w:sz w:val="21"/>
                <w:szCs w:val="21"/>
                <w:highlight w:val="none"/>
                <w:u w:val="none"/>
              </w:rPr>
            </w:pPr>
          </w:p>
        </w:tc>
      </w:tr>
      <w:tr w14:paraId="1080FB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5F5582EA">
            <w:pPr>
              <w:jc w:val="center"/>
              <w:rPr>
                <w:rFonts w:hint="eastAsia" w:ascii="宋体" w:hAnsi="宋体" w:eastAsia="宋体" w:cs="宋体"/>
                <w:i w:val="0"/>
                <w:iCs w:val="0"/>
                <w:color w:val="000000"/>
                <w:sz w:val="21"/>
                <w:szCs w:val="21"/>
                <w:highlight w:val="none"/>
                <w:u w:val="none"/>
              </w:rPr>
            </w:pPr>
            <w:r>
              <w:rPr>
                <w:color w:val="000000"/>
              </w:rPr>
              <w:t>29</w:t>
            </w:r>
          </w:p>
        </w:tc>
        <w:tc>
          <w:tcPr>
            <w:tcW w:w="1665" w:type="dxa"/>
            <w:tcBorders>
              <w:tl2br w:val="nil"/>
              <w:tr2bl w:val="nil"/>
            </w:tcBorders>
            <w:shd w:val="clear" w:color="auto" w:fill="auto"/>
            <w:vAlign w:val="center"/>
          </w:tcPr>
          <w:p w14:paraId="399E8AD2">
            <w:pPr>
              <w:jc w:val="center"/>
              <w:rPr>
                <w:rFonts w:hint="eastAsia" w:ascii="宋体" w:hAnsi="宋体" w:eastAsia="宋体" w:cs="宋体"/>
                <w:i w:val="0"/>
                <w:iCs w:val="0"/>
                <w:color w:val="000000"/>
                <w:sz w:val="21"/>
                <w:szCs w:val="21"/>
                <w:highlight w:val="none"/>
                <w:u w:val="none"/>
              </w:rPr>
            </w:pPr>
            <w:r>
              <w:rPr>
                <w:color w:val="000000"/>
              </w:rPr>
              <w:t>女性已婚员工彩超检查</w:t>
            </w:r>
          </w:p>
        </w:tc>
        <w:tc>
          <w:tcPr>
            <w:tcW w:w="2042" w:type="dxa"/>
            <w:tcBorders>
              <w:tl2br w:val="nil"/>
              <w:tr2bl w:val="nil"/>
            </w:tcBorders>
            <w:shd w:val="clear" w:color="auto" w:fill="auto"/>
            <w:vAlign w:val="center"/>
          </w:tcPr>
          <w:p w14:paraId="5C53659A">
            <w:pPr>
              <w:jc w:val="center"/>
              <w:rPr>
                <w:rFonts w:hint="eastAsia" w:ascii="宋体" w:hAnsi="宋体" w:eastAsia="宋体" w:cs="宋体"/>
                <w:i w:val="0"/>
                <w:iCs w:val="0"/>
                <w:color w:val="000000"/>
                <w:sz w:val="21"/>
                <w:szCs w:val="21"/>
                <w:highlight w:val="none"/>
                <w:u w:val="none"/>
              </w:rPr>
            </w:pPr>
            <w:r>
              <w:rPr>
                <w:color w:val="000000"/>
              </w:rPr>
              <w:t>阴式彩超（阴彩有侵入性，不适合未婚的女士做此项目，未婚做子宫附件彩超）</w:t>
            </w:r>
          </w:p>
        </w:tc>
        <w:tc>
          <w:tcPr>
            <w:tcW w:w="3547" w:type="dxa"/>
            <w:tcBorders>
              <w:tl2br w:val="nil"/>
              <w:tr2bl w:val="nil"/>
            </w:tcBorders>
            <w:shd w:val="clear" w:color="auto" w:fill="auto"/>
            <w:vAlign w:val="center"/>
          </w:tcPr>
          <w:p w14:paraId="391282EA">
            <w:pPr>
              <w:jc w:val="center"/>
              <w:rPr>
                <w:rFonts w:hint="eastAsia" w:ascii="宋体" w:hAnsi="宋体" w:eastAsia="宋体" w:cs="宋体"/>
                <w:i w:val="0"/>
                <w:iCs w:val="0"/>
                <w:color w:val="000000"/>
                <w:sz w:val="21"/>
                <w:szCs w:val="21"/>
                <w:highlight w:val="none"/>
                <w:u w:val="none"/>
              </w:rPr>
            </w:pPr>
            <w:r>
              <w:rPr>
                <w:color w:val="000000"/>
              </w:rPr>
              <w:t>能直接与盆腔器官接近，更好地显示子宫、卵巢、盆腔是否有病变发生。</w:t>
            </w:r>
          </w:p>
        </w:tc>
        <w:tc>
          <w:tcPr>
            <w:tcW w:w="1325" w:type="dxa"/>
            <w:tcBorders>
              <w:tl2br w:val="nil"/>
              <w:tr2bl w:val="nil"/>
            </w:tcBorders>
            <w:shd w:val="clear" w:color="auto" w:fill="auto"/>
            <w:vAlign w:val="center"/>
          </w:tcPr>
          <w:p w14:paraId="49DD1555">
            <w:pPr>
              <w:jc w:val="center"/>
              <w:rPr>
                <w:rFonts w:hint="eastAsia" w:ascii="宋体" w:hAnsi="宋体" w:eastAsia="宋体" w:cs="宋体"/>
                <w:i w:val="0"/>
                <w:iCs w:val="0"/>
                <w:color w:val="000000"/>
                <w:sz w:val="21"/>
                <w:szCs w:val="21"/>
                <w:highlight w:val="none"/>
                <w:u w:val="none"/>
              </w:rPr>
            </w:pPr>
          </w:p>
        </w:tc>
      </w:tr>
      <w:tr w14:paraId="7B7E197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4BAADB5B">
            <w:pPr>
              <w:jc w:val="center"/>
              <w:rPr>
                <w:rFonts w:hint="eastAsia" w:ascii="宋体" w:hAnsi="宋体" w:eastAsia="宋体" w:cs="宋体"/>
                <w:i w:val="0"/>
                <w:iCs w:val="0"/>
                <w:color w:val="000000"/>
                <w:sz w:val="21"/>
                <w:szCs w:val="21"/>
                <w:highlight w:val="none"/>
                <w:u w:val="none"/>
              </w:rPr>
            </w:pPr>
            <w:r>
              <w:rPr>
                <w:color w:val="000000"/>
              </w:rPr>
              <w:t>30</w:t>
            </w:r>
          </w:p>
        </w:tc>
        <w:tc>
          <w:tcPr>
            <w:tcW w:w="1665" w:type="dxa"/>
            <w:tcBorders>
              <w:tl2br w:val="nil"/>
              <w:tr2bl w:val="nil"/>
            </w:tcBorders>
            <w:shd w:val="clear" w:color="auto" w:fill="auto"/>
            <w:vAlign w:val="center"/>
          </w:tcPr>
          <w:p w14:paraId="616F60FA">
            <w:pPr>
              <w:jc w:val="center"/>
              <w:rPr>
                <w:rFonts w:hint="eastAsia" w:ascii="宋体" w:hAnsi="宋体" w:eastAsia="宋体" w:cs="宋体"/>
                <w:i w:val="0"/>
                <w:iCs w:val="0"/>
                <w:color w:val="000000"/>
                <w:sz w:val="21"/>
                <w:szCs w:val="21"/>
                <w:highlight w:val="none"/>
                <w:u w:val="none"/>
              </w:rPr>
            </w:pPr>
            <w:r>
              <w:rPr>
                <w:color w:val="000000"/>
              </w:rPr>
              <w:t>女性未婚员工彩超检查</w:t>
            </w:r>
          </w:p>
        </w:tc>
        <w:tc>
          <w:tcPr>
            <w:tcW w:w="2042" w:type="dxa"/>
            <w:tcBorders>
              <w:tl2br w:val="nil"/>
              <w:tr2bl w:val="nil"/>
            </w:tcBorders>
            <w:shd w:val="clear" w:color="auto" w:fill="auto"/>
            <w:vAlign w:val="center"/>
          </w:tcPr>
          <w:p w14:paraId="74674C02">
            <w:pPr>
              <w:jc w:val="center"/>
              <w:rPr>
                <w:rFonts w:hint="eastAsia" w:ascii="宋体" w:hAnsi="宋体" w:eastAsia="宋体" w:cs="宋体"/>
                <w:i w:val="0"/>
                <w:iCs w:val="0"/>
                <w:color w:val="000000"/>
                <w:sz w:val="21"/>
                <w:szCs w:val="21"/>
                <w:highlight w:val="none"/>
                <w:u w:val="none"/>
              </w:rPr>
            </w:pPr>
            <w:r>
              <w:rPr>
                <w:color w:val="000000"/>
              </w:rPr>
              <w:t>子宫附件彩超</w:t>
            </w:r>
          </w:p>
        </w:tc>
        <w:tc>
          <w:tcPr>
            <w:tcW w:w="3547" w:type="dxa"/>
            <w:tcBorders>
              <w:tl2br w:val="nil"/>
              <w:tr2bl w:val="nil"/>
            </w:tcBorders>
            <w:shd w:val="clear" w:color="auto" w:fill="auto"/>
            <w:vAlign w:val="center"/>
          </w:tcPr>
          <w:p w14:paraId="083C4152">
            <w:pPr>
              <w:jc w:val="center"/>
              <w:rPr>
                <w:rFonts w:hint="eastAsia" w:ascii="宋体" w:hAnsi="宋体" w:eastAsia="宋体" w:cs="宋体"/>
                <w:i w:val="0"/>
                <w:iCs w:val="0"/>
                <w:color w:val="000000"/>
                <w:sz w:val="21"/>
                <w:szCs w:val="21"/>
                <w:highlight w:val="none"/>
                <w:u w:val="none"/>
              </w:rPr>
            </w:pPr>
            <w:r>
              <w:rPr>
                <w:color w:val="000000"/>
              </w:rPr>
              <w:t>更清晰的观察子宫、卵巢、盆腔等生殖器是否有病变发生。</w:t>
            </w:r>
          </w:p>
        </w:tc>
        <w:tc>
          <w:tcPr>
            <w:tcW w:w="1325" w:type="dxa"/>
            <w:tcBorders>
              <w:tl2br w:val="nil"/>
              <w:tr2bl w:val="nil"/>
            </w:tcBorders>
            <w:shd w:val="clear" w:color="auto" w:fill="auto"/>
            <w:vAlign w:val="center"/>
          </w:tcPr>
          <w:p w14:paraId="13F0BCEE">
            <w:pPr>
              <w:jc w:val="center"/>
              <w:rPr>
                <w:rFonts w:hint="eastAsia" w:ascii="宋体" w:hAnsi="宋体" w:eastAsia="宋体" w:cs="宋体"/>
                <w:i w:val="0"/>
                <w:iCs w:val="0"/>
                <w:color w:val="000000"/>
                <w:sz w:val="21"/>
                <w:szCs w:val="21"/>
                <w:highlight w:val="none"/>
                <w:u w:val="none"/>
              </w:rPr>
            </w:pPr>
          </w:p>
        </w:tc>
      </w:tr>
      <w:tr w14:paraId="59E3D3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282F3AA1">
            <w:pPr>
              <w:jc w:val="center"/>
              <w:rPr>
                <w:rFonts w:hint="eastAsia" w:ascii="宋体" w:hAnsi="宋体" w:eastAsia="宋体" w:cs="宋体"/>
                <w:i w:val="0"/>
                <w:iCs w:val="0"/>
                <w:color w:val="000000"/>
                <w:sz w:val="21"/>
                <w:szCs w:val="21"/>
                <w:highlight w:val="none"/>
                <w:u w:val="none"/>
              </w:rPr>
            </w:pPr>
            <w:r>
              <w:rPr>
                <w:color w:val="000000"/>
              </w:rPr>
              <w:t>31</w:t>
            </w:r>
          </w:p>
        </w:tc>
        <w:tc>
          <w:tcPr>
            <w:tcW w:w="1665" w:type="dxa"/>
            <w:tcBorders>
              <w:tl2br w:val="nil"/>
              <w:tr2bl w:val="nil"/>
            </w:tcBorders>
            <w:shd w:val="clear" w:color="auto" w:fill="auto"/>
            <w:vAlign w:val="center"/>
          </w:tcPr>
          <w:p w14:paraId="3444F3D9">
            <w:pPr>
              <w:jc w:val="center"/>
              <w:rPr>
                <w:rFonts w:hint="eastAsia" w:ascii="宋体" w:hAnsi="宋体" w:eastAsia="宋体" w:cs="宋体"/>
                <w:i w:val="0"/>
                <w:iCs w:val="0"/>
                <w:color w:val="000000"/>
                <w:sz w:val="21"/>
                <w:szCs w:val="21"/>
                <w:highlight w:val="none"/>
                <w:u w:val="none"/>
              </w:rPr>
            </w:pPr>
            <w:r>
              <w:rPr>
                <w:color w:val="000000"/>
              </w:rPr>
              <w:t>妇科检查</w:t>
            </w:r>
          </w:p>
        </w:tc>
        <w:tc>
          <w:tcPr>
            <w:tcW w:w="2042" w:type="dxa"/>
            <w:tcBorders>
              <w:tl2br w:val="nil"/>
              <w:tr2bl w:val="nil"/>
            </w:tcBorders>
            <w:shd w:val="clear" w:color="auto" w:fill="auto"/>
            <w:vAlign w:val="center"/>
          </w:tcPr>
          <w:p w14:paraId="3A71CF95">
            <w:pPr>
              <w:jc w:val="center"/>
              <w:rPr>
                <w:rFonts w:hint="eastAsia" w:ascii="宋体" w:hAnsi="宋体" w:eastAsia="宋体" w:cs="宋体"/>
                <w:i w:val="0"/>
                <w:iCs w:val="0"/>
                <w:color w:val="000000"/>
                <w:sz w:val="21"/>
                <w:szCs w:val="21"/>
                <w:highlight w:val="none"/>
                <w:u w:val="none"/>
              </w:rPr>
            </w:pPr>
            <w:r>
              <w:rPr>
                <w:color w:val="000000"/>
              </w:rPr>
              <w:t>妇检</w:t>
            </w:r>
          </w:p>
        </w:tc>
        <w:tc>
          <w:tcPr>
            <w:tcW w:w="3547" w:type="dxa"/>
            <w:tcBorders>
              <w:tl2br w:val="nil"/>
              <w:tr2bl w:val="nil"/>
            </w:tcBorders>
            <w:shd w:val="clear" w:color="auto" w:fill="auto"/>
            <w:vAlign w:val="center"/>
          </w:tcPr>
          <w:p w14:paraId="5D7F64F9">
            <w:pPr>
              <w:jc w:val="center"/>
              <w:rPr>
                <w:rFonts w:hint="eastAsia" w:ascii="宋体" w:hAnsi="宋体" w:eastAsia="宋体" w:cs="宋体"/>
                <w:i w:val="0"/>
                <w:iCs w:val="0"/>
                <w:color w:val="000000"/>
                <w:sz w:val="21"/>
                <w:szCs w:val="21"/>
                <w:highlight w:val="none"/>
                <w:u w:val="none"/>
              </w:rPr>
            </w:pPr>
            <w:r>
              <w:rPr>
                <w:color w:val="000000"/>
              </w:rPr>
              <w:t>检查女性生殖器有无异常改变、有无宫颈及阴道异常病变。</w:t>
            </w:r>
          </w:p>
        </w:tc>
        <w:tc>
          <w:tcPr>
            <w:tcW w:w="1325" w:type="dxa"/>
            <w:tcBorders>
              <w:tl2br w:val="nil"/>
              <w:tr2bl w:val="nil"/>
            </w:tcBorders>
            <w:shd w:val="clear" w:color="auto" w:fill="auto"/>
            <w:vAlign w:val="center"/>
          </w:tcPr>
          <w:p w14:paraId="7677DB26">
            <w:pPr>
              <w:jc w:val="center"/>
              <w:rPr>
                <w:rFonts w:hint="eastAsia" w:ascii="宋体" w:hAnsi="宋体" w:eastAsia="宋体" w:cs="宋体"/>
                <w:i w:val="0"/>
                <w:iCs w:val="0"/>
                <w:color w:val="000000"/>
                <w:sz w:val="21"/>
                <w:szCs w:val="21"/>
                <w:highlight w:val="none"/>
                <w:u w:val="none"/>
              </w:rPr>
            </w:pPr>
          </w:p>
        </w:tc>
      </w:tr>
      <w:tr w14:paraId="129F71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7BD61AE7">
            <w:pPr>
              <w:jc w:val="center"/>
              <w:rPr>
                <w:rFonts w:hint="eastAsia" w:ascii="宋体" w:hAnsi="宋体" w:eastAsia="宋体" w:cs="宋体"/>
                <w:i w:val="0"/>
                <w:iCs w:val="0"/>
                <w:color w:val="000000"/>
                <w:sz w:val="21"/>
                <w:szCs w:val="21"/>
                <w:highlight w:val="none"/>
                <w:u w:val="none"/>
              </w:rPr>
            </w:pPr>
            <w:r>
              <w:rPr>
                <w:color w:val="000000"/>
              </w:rPr>
              <w:t>32</w:t>
            </w:r>
          </w:p>
        </w:tc>
        <w:tc>
          <w:tcPr>
            <w:tcW w:w="1665" w:type="dxa"/>
            <w:tcBorders>
              <w:tl2br w:val="nil"/>
              <w:tr2bl w:val="nil"/>
            </w:tcBorders>
            <w:shd w:val="clear" w:color="auto" w:fill="auto"/>
            <w:vAlign w:val="center"/>
          </w:tcPr>
          <w:p w14:paraId="3BA1BAC8">
            <w:pPr>
              <w:jc w:val="center"/>
              <w:rPr>
                <w:rFonts w:hint="eastAsia" w:ascii="宋体" w:hAnsi="宋体" w:eastAsia="宋体" w:cs="宋体"/>
                <w:i w:val="0"/>
                <w:iCs w:val="0"/>
                <w:color w:val="000000"/>
                <w:sz w:val="21"/>
                <w:szCs w:val="21"/>
                <w:highlight w:val="none"/>
                <w:u w:val="none"/>
              </w:rPr>
            </w:pPr>
            <w:r>
              <w:rPr>
                <w:color w:val="000000"/>
              </w:rPr>
              <w:t>白带常规</w:t>
            </w:r>
          </w:p>
        </w:tc>
        <w:tc>
          <w:tcPr>
            <w:tcW w:w="2042" w:type="dxa"/>
            <w:tcBorders>
              <w:tl2br w:val="nil"/>
              <w:tr2bl w:val="nil"/>
            </w:tcBorders>
            <w:shd w:val="clear" w:color="auto" w:fill="auto"/>
            <w:vAlign w:val="center"/>
          </w:tcPr>
          <w:p w14:paraId="03D74B4E">
            <w:pPr>
              <w:jc w:val="center"/>
              <w:rPr>
                <w:rFonts w:hint="eastAsia" w:ascii="宋体" w:hAnsi="宋体" w:eastAsia="宋体" w:cs="宋体"/>
                <w:i w:val="0"/>
                <w:iCs w:val="0"/>
                <w:color w:val="000000"/>
                <w:sz w:val="21"/>
                <w:szCs w:val="21"/>
                <w:highlight w:val="none"/>
                <w:u w:val="none"/>
              </w:rPr>
            </w:pPr>
            <w:r>
              <w:rPr>
                <w:color w:val="000000"/>
              </w:rPr>
              <w:t>白带常规</w:t>
            </w:r>
          </w:p>
        </w:tc>
        <w:tc>
          <w:tcPr>
            <w:tcW w:w="3547" w:type="dxa"/>
            <w:tcBorders>
              <w:tl2br w:val="nil"/>
              <w:tr2bl w:val="nil"/>
            </w:tcBorders>
            <w:shd w:val="clear" w:color="auto" w:fill="auto"/>
            <w:vAlign w:val="center"/>
          </w:tcPr>
          <w:p w14:paraId="4C279F48">
            <w:pPr>
              <w:jc w:val="center"/>
              <w:rPr>
                <w:rFonts w:hint="eastAsia" w:ascii="宋体" w:hAnsi="宋体" w:eastAsia="宋体" w:cs="宋体"/>
                <w:i w:val="0"/>
                <w:iCs w:val="0"/>
                <w:color w:val="000000"/>
                <w:sz w:val="21"/>
                <w:szCs w:val="21"/>
                <w:highlight w:val="none"/>
                <w:u w:val="none"/>
              </w:rPr>
            </w:pPr>
            <w:r>
              <w:rPr>
                <w:color w:val="000000"/>
              </w:rPr>
              <w:t>是妇科检查的常规项目，对于女性生殖系统炎症、肿瘤等疾病的诊断，是临床诊断阴道疾病的重要依据。</w:t>
            </w:r>
          </w:p>
        </w:tc>
        <w:tc>
          <w:tcPr>
            <w:tcW w:w="1325" w:type="dxa"/>
            <w:tcBorders>
              <w:tl2br w:val="nil"/>
              <w:tr2bl w:val="nil"/>
            </w:tcBorders>
            <w:shd w:val="clear" w:color="auto" w:fill="auto"/>
            <w:vAlign w:val="center"/>
          </w:tcPr>
          <w:p w14:paraId="7C2EF0BE">
            <w:pPr>
              <w:jc w:val="center"/>
              <w:rPr>
                <w:rFonts w:hint="eastAsia" w:ascii="宋体" w:hAnsi="宋体" w:eastAsia="宋体" w:cs="宋体"/>
                <w:i w:val="0"/>
                <w:iCs w:val="0"/>
                <w:color w:val="000000"/>
                <w:sz w:val="21"/>
                <w:szCs w:val="21"/>
                <w:highlight w:val="none"/>
                <w:u w:val="none"/>
              </w:rPr>
            </w:pPr>
          </w:p>
        </w:tc>
      </w:tr>
      <w:tr w14:paraId="0689A9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36A5C3E8">
            <w:pPr>
              <w:jc w:val="center"/>
              <w:rPr>
                <w:rFonts w:hint="eastAsia" w:ascii="宋体" w:hAnsi="宋体" w:eastAsia="宋体" w:cs="宋体"/>
                <w:i w:val="0"/>
                <w:iCs w:val="0"/>
                <w:color w:val="000000"/>
                <w:sz w:val="21"/>
                <w:szCs w:val="21"/>
                <w:highlight w:val="none"/>
                <w:u w:val="none"/>
              </w:rPr>
            </w:pPr>
            <w:r>
              <w:rPr>
                <w:color w:val="000000"/>
              </w:rPr>
              <w:t>33</w:t>
            </w:r>
          </w:p>
        </w:tc>
        <w:tc>
          <w:tcPr>
            <w:tcW w:w="1665" w:type="dxa"/>
            <w:tcBorders>
              <w:tl2br w:val="nil"/>
              <w:tr2bl w:val="nil"/>
            </w:tcBorders>
            <w:shd w:val="clear" w:color="auto" w:fill="auto"/>
            <w:vAlign w:val="center"/>
          </w:tcPr>
          <w:p w14:paraId="6B571D1F">
            <w:pPr>
              <w:jc w:val="center"/>
              <w:rPr>
                <w:rFonts w:hint="eastAsia" w:ascii="宋体" w:hAnsi="宋体" w:eastAsia="宋体" w:cs="宋体"/>
                <w:i w:val="0"/>
                <w:iCs w:val="0"/>
                <w:color w:val="000000"/>
                <w:sz w:val="21"/>
                <w:szCs w:val="21"/>
                <w:highlight w:val="none"/>
                <w:u w:val="none"/>
              </w:rPr>
            </w:pPr>
            <w:r>
              <w:rPr>
                <w:color w:val="000000"/>
              </w:rPr>
              <w:t>宫颈刮片</w:t>
            </w:r>
          </w:p>
        </w:tc>
        <w:tc>
          <w:tcPr>
            <w:tcW w:w="2042" w:type="dxa"/>
            <w:tcBorders>
              <w:tl2br w:val="nil"/>
              <w:tr2bl w:val="nil"/>
            </w:tcBorders>
            <w:shd w:val="clear" w:color="auto" w:fill="auto"/>
            <w:vAlign w:val="center"/>
          </w:tcPr>
          <w:p w14:paraId="6D4FEB9A">
            <w:pPr>
              <w:jc w:val="center"/>
              <w:rPr>
                <w:rFonts w:hint="eastAsia" w:ascii="宋体" w:hAnsi="宋体" w:eastAsia="宋体" w:cs="宋体"/>
                <w:i w:val="0"/>
                <w:iCs w:val="0"/>
                <w:color w:val="000000"/>
                <w:sz w:val="21"/>
                <w:szCs w:val="21"/>
                <w:highlight w:val="none"/>
                <w:u w:val="none"/>
              </w:rPr>
            </w:pPr>
            <w:r>
              <w:rPr>
                <w:color w:val="000000"/>
              </w:rPr>
              <w:t>宫颈疾病检查</w:t>
            </w:r>
          </w:p>
        </w:tc>
        <w:tc>
          <w:tcPr>
            <w:tcW w:w="3547" w:type="dxa"/>
            <w:tcBorders>
              <w:tl2br w:val="nil"/>
              <w:tr2bl w:val="nil"/>
            </w:tcBorders>
            <w:shd w:val="clear" w:color="auto" w:fill="auto"/>
            <w:vAlign w:val="center"/>
          </w:tcPr>
          <w:p w14:paraId="46565FB7">
            <w:pPr>
              <w:jc w:val="center"/>
              <w:rPr>
                <w:rFonts w:hint="eastAsia" w:ascii="宋体" w:hAnsi="宋体" w:eastAsia="宋体" w:cs="宋体"/>
                <w:i w:val="0"/>
                <w:iCs w:val="0"/>
                <w:color w:val="000000"/>
                <w:sz w:val="21"/>
                <w:szCs w:val="21"/>
                <w:highlight w:val="none"/>
                <w:u w:val="none"/>
              </w:rPr>
            </w:pPr>
            <w:r>
              <w:rPr>
                <w:color w:val="000000"/>
              </w:rPr>
              <w:t>宫颈癌筛查</w:t>
            </w:r>
          </w:p>
        </w:tc>
        <w:tc>
          <w:tcPr>
            <w:tcW w:w="1325" w:type="dxa"/>
            <w:tcBorders>
              <w:tl2br w:val="nil"/>
              <w:tr2bl w:val="nil"/>
            </w:tcBorders>
            <w:shd w:val="clear" w:color="auto" w:fill="auto"/>
            <w:vAlign w:val="center"/>
          </w:tcPr>
          <w:p w14:paraId="696B3C46">
            <w:pPr>
              <w:jc w:val="center"/>
              <w:rPr>
                <w:rFonts w:hint="eastAsia" w:ascii="宋体" w:hAnsi="宋体" w:eastAsia="宋体" w:cs="宋体"/>
                <w:i w:val="0"/>
                <w:iCs w:val="0"/>
                <w:color w:val="000000"/>
                <w:sz w:val="21"/>
                <w:szCs w:val="21"/>
                <w:highlight w:val="none"/>
                <w:u w:val="none"/>
              </w:rPr>
            </w:pPr>
          </w:p>
        </w:tc>
      </w:tr>
      <w:tr w14:paraId="632DD6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112C8EB5">
            <w:pPr>
              <w:jc w:val="center"/>
              <w:rPr>
                <w:rFonts w:hint="eastAsia" w:ascii="宋体" w:hAnsi="宋体" w:eastAsia="宋体" w:cs="宋体"/>
                <w:i w:val="0"/>
                <w:iCs w:val="0"/>
                <w:color w:val="000000"/>
                <w:sz w:val="21"/>
                <w:szCs w:val="21"/>
                <w:highlight w:val="none"/>
                <w:u w:val="none"/>
              </w:rPr>
            </w:pPr>
            <w:r>
              <w:rPr>
                <w:b/>
              </w:rPr>
              <w:t>序号</w:t>
            </w:r>
          </w:p>
        </w:tc>
        <w:tc>
          <w:tcPr>
            <w:tcW w:w="1665" w:type="dxa"/>
            <w:tcBorders>
              <w:tl2br w:val="nil"/>
              <w:tr2bl w:val="nil"/>
            </w:tcBorders>
            <w:shd w:val="clear" w:color="auto" w:fill="auto"/>
            <w:vAlign w:val="center"/>
          </w:tcPr>
          <w:p w14:paraId="45775A06">
            <w:pPr>
              <w:jc w:val="center"/>
              <w:rPr>
                <w:rFonts w:hint="eastAsia" w:ascii="宋体" w:hAnsi="宋体" w:eastAsia="宋体" w:cs="宋体"/>
                <w:i w:val="0"/>
                <w:iCs w:val="0"/>
                <w:color w:val="000000"/>
                <w:sz w:val="21"/>
                <w:szCs w:val="21"/>
                <w:highlight w:val="none"/>
                <w:u w:val="none"/>
              </w:rPr>
            </w:pPr>
            <w:r>
              <w:rPr>
                <w:b/>
              </w:rPr>
              <w:t>检查大类</w:t>
            </w:r>
          </w:p>
        </w:tc>
        <w:tc>
          <w:tcPr>
            <w:tcW w:w="2042" w:type="dxa"/>
            <w:tcBorders>
              <w:tl2br w:val="nil"/>
              <w:tr2bl w:val="nil"/>
            </w:tcBorders>
            <w:shd w:val="clear" w:color="auto" w:fill="auto"/>
            <w:vAlign w:val="center"/>
          </w:tcPr>
          <w:p w14:paraId="7FF3891F">
            <w:pPr>
              <w:jc w:val="center"/>
              <w:rPr>
                <w:rFonts w:hint="eastAsia" w:ascii="宋体" w:hAnsi="宋体" w:eastAsia="宋体" w:cs="宋体"/>
                <w:i w:val="0"/>
                <w:iCs w:val="0"/>
                <w:color w:val="000000"/>
                <w:sz w:val="21"/>
                <w:szCs w:val="21"/>
                <w:highlight w:val="none"/>
                <w:u w:val="none"/>
              </w:rPr>
            </w:pPr>
            <w:r>
              <w:rPr>
                <w:b/>
              </w:rPr>
              <w:t>增加项目（投标人自行按序添加）</w:t>
            </w:r>
          </w:p>
        </w:tc>
        <w:tc>
          <w:tcPr>
            <w:tcW w:w="3547" w:type="dxa"/>
            <w:tcBorders>
              <w:tl2br w:val="nil"/>
              <w:tr2bl w:val="nil"/>
            </w:tcBorders>
            <w:shd w:val="clear" w:color="auto" w:fill="auto"/>
            <w:vAlign w:val="center"/>
          </w:tcPr>
          <w:p w14:paraId="2EC2B26E">
            <w:pPr>
              <w:jc w:val="center"/>
              <w:rPr>
                <w:rFonts w:hint="eastAsia" w:ascii="宋体" w:hAnsi="宋体" w:eastAsia="宋体" w:cs="宋体"/>
                <w:i w:val="0"/>
                <w:iCs w:val="0"/>
                <w:color w:val="000000"/>
                <w:sz w:val="21"/>
                <w:szCs w:val="21"/>
                <w:highlight w:val="none"/>
                <w:u w:val="none"/>
              </w:rPr>
            </w:pPr>
            <w:r>
              <w:rPr>
                <w:b/>
              </w:rPr>
              <w:t>检查目的</w:t>
            </w:r>
          </w:p>
        </w:tc>
        <w:tc>
          <w:tcPr>
            <w:tcW w:w="1325" w:type="dxa"/>
            <w:tcBorders>
              <w:tl2br w:val="nil"/>
              <w:tr2bl w:val="nil"/>
            </w:tcBorders>
            <w:shd w:val="clear" w:color="auto" w:fill="auto"/>
            <w:vAlign w:val="center"/>
          </w:tcPr>
          <w:p w14:paraId="446E43FF">
            <w:pPr>
              <w:jc w:val="center"/>
              <w:rPr>
                <w:rFonts w:hint="eastAsia" w:ascii="宋体" w:hAnsi="宋体" w:eastAsia="宋体" w:cs="宋体"/>
                <w:i w:val="0"/>
                <w:iCs w:val="0"/>
                <w:color w:val="000000"/>
                <w:sz w:val="21"/>
                <w:szCs w:val="21"/>
                <w:highlight w:val="none"/>
                <w:u w:val="none"/>
              </w:rPr>
            </w:pPr>
            <w:r>
              <w:rPr>
                <w:b/>
              </w:rPr>
              <w:t>备注</w:t>
            </w:r>
          </w:p>
        </w:tc>
      </w:tr>
      <w:tr w14:paraId="5E06D9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7C691BA2">
            <w:pPr>
              <w:jc w:val="center"/>
              <w:rPr>
                <w:rFonts w:hint="eastAsia" w:ascii="宋体" w:hAnsi="宋体" w:eastAsia="宋体" w:cs="宋体"/>
                <w:i w:val="0"/>
                <w:iCs w:val="0"/>
                <w:color w:val="000000"/>
                <w:sz w:val="21"/>
                <w:szCs w:val="21"/>
                <w:highlight w:val="none"/>
                <w:u w:val="none"/>
              </w:rPr>
            </w:pPr>
            <w:r>
              <w:rPr>
                <w:b w:val="0"/>
              </w:rPr>
              <w:t>..</w:t>
            </w:r>
          </w:p>
        </w:tc>
        <w:tc>
          <w:tcPr>
            <w:tcW w:w="1665" w:type="dxa"/>
            <w:tcBorders>
              <w:tl2br w:val="nil"/>
              <w:tr2bl w:val="nil"/>
            </w:tcBorders>
            <w:shd w:val="clear" w:color="auto" w:fill="auto"/>
            <w:vAlign w:val="center"/>
          </w:tcPr>
          <w:p w14:paraId="6CE04266">
            <w:pPr>
              <w:jc w:val="center"/>
              <w:rPr>
                <w:rFonts w:hint="eastAsia" w:ascii="宋体" w:hAnsi="宋体" w:eastAsia="宋体" w:cs="宋体"/>
                <w:i w:val="0"/>
                <w:iCs w:val="0"/>
                <w:color w:val="000000"/>
                <w:sz w:val="21"/>
                <w:szCs w:val="21"/>
                <w:highlight w:val="none"/>
                <w:u w:val="none"/>
              </w:rPr>
            </w:pPr>
            <w:r>
              <w:rPr>
                <w:b w:val="0"/>
              </w:rPr>
              <w:t>....</w:t>
            </w:r>
          </w:p>
        </w:tc>
        <w:tc>
          <w:tcPr>
            <w:tcW w:w="2042" w:type="dxa"/>
            <w:tcBorders>
              <w:tl2br w:val="nil"/>
              <w:tr2bl w:val="nil"/>
            </w:tcBorders>
            <w:shd w:val="clear" w:color="auto" w:fill="auto"/>
            <w:vAlign w:val="center"/>
          </w:tcPr>
          <w:p w14:paraId="57298B67">
            <w:pPr>
              <w:jc w:val="center"/>
              <w:rPr>
                <w:rFonts w:hint="eastAsia" w:ascii="宋体" w:hAnsi="宋体" w:eastAsia="宋体" w:cs="宋体"/>
                <w:i w:val="0"/>
                <w:iCs w:val="0"/>
                <w:color w:val="000000"/>
                <w:sz w:val="21"/>
                <w:szCs w:val="21"/>
                <w:highlight w:val="none"/>
                <w:u w:val="none"/>
              </w:rPr>
            </w:pPr>
            <w:r>
              <w:rPr>
                <w:b w:val="0"/>
              </w:rPr>
              <w:t>...</w:t>
            </w:r>
          </w:p>
        </w:tc>
        <w:tc>
          <w:tcPr>
            <w:tcW w:w="3547" w:type="dxa"/>
            <w:tcBorders>
              <w:tl2br w:val="nil"/>
              <w:tr2bl w:val="nil"/>
            </w:tcBorders>
            <w:shd w:val="clear" w:color="auto" w:fill="auto"/>
            <w:vAlign w:val="center"/>
          </w:tcPr>
          <w:p w14:paraId="36AFE3CC">
            <w:pPr>
              <w:jc w:val="center"/>
              <w:rPr>
                <w:rFonts w:hint="eastAsia" w:ascii="宋体" w:hAnsi="宋体" w:eastAsia="宋体" w:cs="宋体"/>
                <w:i w:val="0"/>
                <w:iCs w:val="0"/>
                <w:color w:val="000000"/>
                <w:sz w:val="21"/>
                <w:szCs w:val="21"/>
                <w:highlight w:val="none"/>
                <w:u w:val="none"/>
              </w:rPr>
            </w:pPr>
            <w:r>
              <w:rPr>
                <w:b w:val="0"/>
              </w:rPr>
              <w:t>...</w:t>
            </w:r>
          </w:p>
        </w:tc>
        <w:tc>
          <w:tcPr>
            <w:tcW w:w="1325" w:type="dxa"/>
            <w:tcBorders>
              <w:tl2br w:val="nil"/>
              <w:tr2bl w:val="nil"/>
            </w:tcBorders>
            <w:shd w:val="clear" w:color="auto" w:fill="auto"/>
            <w:vAlign w:val="center"/>
          </w:tcPr>
          <w:p w14:paraId="31899B96">
            <w:pPr>
              <w:jc w:val="center"/>
              <w:rPr>
                <w:rFonts w:hint="eastAsia" w:ascii="宋体" w:hAnsi="宋体" w:eastAsia="宋体" w:cs="宋体"/>
                <w:i w:val="0"/>
                <w:iCs w:val="0"/>
                <w:color w:val="000000"/>
                <w:sz w:val="21"/>
                <w:szCs w:val="21"/>
                <w:highlight w:val="none"/>
                <w:u w:val="none"/>
              </w:rPr>
            </w:pPr>
            <w:r>
              <w:rPr>
                <w:b w:val="0"/>
              </w:rPr>
              <w:t>...</w:t>
            </w:r>
          </w:p>
        </w:tc>
      </w:tr>
      <w:tr w14:paraId="7A3D54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707DA448">
            <w:pPr>
              <w:jc w:val="center"/>
              <w:rPr>
                <w:rFonts w:hint="eastAsia" w:ascii="宋体" w:hAnsi="宋体" w:eastAsia="宋体" w:cs="宋体"/>
                <w:i w:val="0"/>
                <w:iCs w:val="0"/>
                <w:color w:val="000000"/>
                <w:sz w:val="21"/>
                <w:szCs w:val="21"/>
                <w:highlight w:val="none"/>
                <w:u w:val="none"/>
              </w:rPr>
            </w:pPr>
            <w:r>
              <w:rPr>
                <w:b w:val="0"/>
              </w:rPr>
              <w:t>..</w:t>
            </w:r>
          </w:p>
        </w:tc>
        <w:tc>
          <w:tcPr>
            <w:tcW w:w="1665" w:type="dxa"/>
            <w:tcBorders>
              <w:tl2br w:val="nil"/>
              <w:tr2bl w:val="nil"/>
            </w:tcBorders>
            <w:shd w:val="clear" w:color="auto" w:fill="auto"/>
            <w:vAlign w:val="center"/>
          </w:tcPr>
          <w:p w14:paraId="16C72587">
            <w:pPr>
              <w:jc w:val="center"/>
              <w:rPr>
                <w:rFonts w:hint="eastAsia" w:ascii="宋体" w:hAnsi="宋体" w:eastAsia="宋体" w:cs="宋体"/>
                <w:i w:val="0"/>
                <w:iCs w:val="0"/>
                <w:color w:val="000000"/>
                <w:sz w:val="21"/>
                <w:szCs w:val="21"/>
                <w:highlight w:val="none"/>
                <w:u w:val="none"/>
              </w:rPr>
            </w:pPr>
            <w:r>
              <w:rPr>
                <w:b w:val="0"/>
              </w:rPr>
              <w:t>....</w:t>
            </w:r>
          </w:p>
        </w:tc>
        <w:tc>
          <w:tcPr>
            <w:tcW w:w="2042" w:type="dxa"/>
            <w:tcBorders>
              <w:tl2br w:val="nil"/>
              <w:tr2bl w:val="nil"/>
            </w:tcBorders>
            <w:shd w:val="clear" w:color="auto" w:fill="auto"/>
            <w:vAlign w:val="center"/>
          </w:tcPr>
          <w:p w14:paraId="043182F9">
            <w:pPr>
              <w:jc w:val="center"/>
              <w:rPr>
                <w:rFonts w:hint="eastAsia" w:ascii="宋体" w:hAnsi="宋体" w:eastAsia="宋体" w:cs="宋体"/>
                <w:i w:val="0"/>
                <w:iCs w:val="0"/>
                <w:color w:val="000000"/>
                <w:sz w:val="21"/>
                <w:szCs w:val="21"/>
                <w:highlight w:val="none"/>
                <w:u w:val="none"/>
              </w:rPr>
            </w:pPr>
            <w:r>
              <w:rPr>
                <w:b w:val="0"/>
              </w:rPr>
              <w:t>...</w:t>
            </w:r>
          </w:p>
        </w:tc>
        <w:tc>
          <w:tcPr>
            <w:tcW w:w="3547" w:type="dxa"/>
            <w:tcBorders>
              <w:tl2br w:val="nil"/>
              <w:tr2bl w:val="nil"/>
            </w:tcBorders>
            <w:shd w:val="clear" w:color="auto" w:fill="auto"/>
            <w:vAlign w:val="center"/>
          </w:tcPr>
          <w:p w14:paraId="5E1FBDBF">
            <w:pPr>
              <w:jc w:val="center"/>
              <w:rPr>
                <w:rFonts w:hint="eastAsia" w:ascii="宋体" w:hAnsi="宋体" w:eastAsia="宋体" w:cs="宋体"/>
                <w:i w:val="0"/>
                <w:iCs w:val="0"/>
                <w:color w:val="000000"/>
                <w:sz w:val="21"/>
                <w:szCs w:val="21"/>
                <w:highlight w:val="none"/>
                <w:u w:val="none"/>
              </w:rPr>
            </w:pPr>
            <w:r>
              <w:rPr>
                <w:b w:val="0"/>
              </w:rPr>
              <w:t>...</w:t>
            </w:r>
          </w:p>
        </w:tc>
        <w:tc>
          <w:tcPr>
            <w:tcW w:w="1325" w:type="dxa"/>
            <w:tcBorders>
              <w:tl2br w:val="nil"/>
              <w:tr2bl w:val="nil"/>
            </w:tcBorders>
            <w:shd w:val="clear" w:color="auto" w:fill="auto"/>
            <w:vAlign w:val="center"/>
          </w:tcPr>
          <w:p w14:paraId="38C3CBA0">
            <w:pPr>
              <w:jc w:val="center"/>
              <w:rPr>
                <w:rFonts w:hint="eastAsia" w:ascii="宋体" w:hAnsi="宋体" w:eastAsia="宋体" w:cs="宋体"/>
                <w:i w:val="0"/>
                <w:iCs w:val="0"/>
                <w:color w:val="000000"/>
                <w:sz w:val="21"/>
                <w:szCs w:val="21"/>
                <w:highlight w:val="none"/>
                <w:u w:val="none"/>
              </w:rPr>
            </w:pPr>
            <w:r>
              <w:rPr>
                <w:b w:val="0"/>
              </w:rPr>
              <w:t>...</w:t>
            </w:r>
          </w:p>
        </w:tc>
      </w:tr>
      <w:tr w14:paraId="02CF56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1117" w:type="dxa"/>
            <w:tcBorders>
              <w:tl2br w:val="nil"/>
              <w:tr2bl w:val="nil"/>
            </w:tcBorders>
            <w:shd w:val="clear" w:color="auto" w:fill="auto"/>
            <w:vAlign w:val="center"/>
          </w:tcPr>
          <w:p w14:paraId="12022E56">
            <w:pPr>
              <w:jc w:val="center"/>
              <w:rPr>
                <w:rFonts w:hint="default" w:ascii="宋体" w:hAnsi="宋体" w:cs="宋体" w:eastAsiaTheme="minorEastAsia"/>
                <w:i w:val="0"/>
                <w:iCs w:val="0"/>
                <w:color w:val="000000"/>
                <w:sz w:val="21"/>
                <w:szCs w:val="21"/>
                <w:highlight w:val="none"/>
                <w:u w:val="none"/>
                <w:lang w:val="en-US" w:eastAsia="zh-CN"/>
              </w:rPr>
            </w:pPr>
            <w:r>
              <w:rPr>
                <w:b/>
                <w:color w:val="000000"/>
              </w:rPr>
              <w:t>套餐</w:t>
            </w:r>
            <w:r>
              <w:rPr>
                <w:rFonts w:hint="eastAsia"/>
                <w:b/>
                <w:color w:val="000000"/>
                <w:lang w:val="en-US" w:eastAsia="zh-CN"/>
              </w:rPr>
              <w:t>单价限价</w:t>
            </w:r>
          </w:p>
        </w:tc>
        <w:tc>
          <w:tcPr>
            <w:tcW w:w="8579" w:type="dxa"/>
            <w:gridSpan w:val="4"/>
            <w:tcBorders>
              <w:tl2br w:val="nil"/>
              <w:tr2bl w:val="nil"/>
            </w:tcBorders>
            <w:shd w:val="clear" w:color="auto" w:fill="auto"/>
            <w:vAlign w:val="center"/>
          </w:tcPr>
          <w:p w14:paraId="7C57E947">
            <w:pPr>
              <w:jc w:val="center"/>
              <w:rPr>
                <w:rFonts w:hint="eastAsia" w:ascii="宋体" w:hAnsi="宋体" w:eastAsia="宋体" w:cs="宋体"/>
                <w:i w:val="0"/>
                <w:iCs w:val="0"/>
                <w:color w:val="000000"/>
                <w:sz w:val="21"/>
                <w:szCs w:val="21"/>
                <w:highlight w:val="none"/>
                <w:u w:val="none"/>
              </w:rPr>
            </w:pPr>
            <w:r>
              <w:rPr>
                <w:rFonts w:hint="eastAsia" w:ascii="Times New Roman Regular" w:hAnsi="Times New Roman Regular" w:cs="Times New Roman Regular"/>
                <w:b/>
                <w:color w:val="000000"/>
                <w:lang w:val="en-US" w:eastAsia="zh-CN"/>
              </w:rPr>
              <w:t>不超过500</w:t>
            </w:r>
            <w:r>
              <w:rPr>
                <w:rFonts w:hint="default" w:ascii="Times New Roman Regular" w:hAnsi="Times New Roman Regular" w:cs="Times New Roman Regular"/>
                <w:b/>
                <w:color w:val="000000"/>
              </w:rPr>
              <w:t>元/人</w:t>
            </w:r>
          </w:p>
        </w:tc>
      </w:tr>
    </w:tbl>
    <w:p w14:paraId="353262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sz w:val="32"/>
          <w:szCs w:val="32"/>
          <w:highlight w:val="none"/>
          <w:lang w:val="zh-CN"/>
        </w:rPr>
      </w:pPr>
      <w:r>
        <w:rPr>
          <w:rFonts w:hint="eastAsia" w:ascii="黑体" w:hAnsi="黑体" w:eastAsia="黑体" w:cs="黑体"/>
          <w:b w:val="0"/>
          <w:bCs/>
          <w:color w:val="000000"/>
          <w:sz w:val="32"/>
          <w:szCs w:val="32"/>
          <w:highlight w:val="none"/>
          <w:lang w:val="en-US" w:eastAsia="zh-CN"/>
        </w:rPr>
        <w:t>三、体检套餐（限价不超过1000元/人）</w:t>
      </w:r>
    </w:p>
    <w:tbl>
      <w:tblPr>
        <w:tblStyle w:val="15"/>
        <w:tblW w:w="983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63"/>
        <w:gridCol w:w="1449"/>
        <w:gridCol w:w="2068"/>
        <w:gridCol w:w="3515"/>
        <w:gridCol w:w="1439"/>
      </w:tblGrid>
      <w:tr w14:paraId="57C3C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1363" w:type="dxa"/>
            <w:tcBorders>
              <w:top w:val="single" w:color="000000" w:sz="12" w:space="0"/>
              <w:left w:val="single" w:color="000000" w:sz="4" w:space="0"/>
              <w:bottom w:val="single" w:color="000000" w:sz="4" w:space="0"/>
              <w:right w:val="single" w:color="000000" w:sz="12" w:space="0"/>
            </w:tcBorders>
            <w:shd w:val="clear" w:color="auto" w:fill="auto"/>
            <w:vAlign w:val="center"/>
          </w:tcPr>
          <w:p w14:paraId="073C2A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宋体"/>
                <w:b/>
                <w:bCs/>
                <w:i w:val="0"/>
                <w:iCs w:val="0"/>
                <w:color w:val="000000"/>
                <w:sz w:val="21"/>
                <w:szCs w:val="21"/>
                <w:highlight w:val="none"/>
                <w:u w:val="none"/>
              </w:rPr>
            </w:pPr>
            <w:r>
              <w:rPr>
                <w:rFonts w:hint="eastAsia" w:ascii="Times New Roman" w:hAnsi="Times New Roman" w:eastAsia="宋体" w:cs="宋体"/>
                <w:b/>
                <w:bCs/>
                <w:i w:val="0"/>
                <w:iCs w:val="0"/>
                <w:color w:val="000000"/>
                <w:kern w:val="0"/>
                <w:sz w:val="21"/>
                <w:szCs w:val="21"/>
                <w:highlight w:val="none"/>
                <w:u w:val="none"/>
                <w:lang w:val="en-US" w:eastAsia="zh-CN" w:bidi="ar"/>
              </w:rPr>
              <w:t>序号</w:t>
            </w:r>
          </w:p>
        </w:tc>
        <w:tc>
          <w:tcPr>
            <w:tcW w:w="1449" w:type="dxa"/>
            <w:tcBorders>
              <w:top w:val="single" w:color="000000" w:sz="12" w:space="0"/>
              <w:left w:val="single" w:color="000000" w:sz="4" w:space="0"/>
              <w:bottom w:val="single" w:color="000000" w:sz="4" w:space="0"/>
              <w:right w:val="single" w:color="000000" w:sz="12" w:space="0"/>
            </w:tcBorders>
            <w:shd w:val="clear" w:color="auto" w:fill="auto"/>
            <w:vAlign w:val="center"/>
          </w:tcPr>
          <w:p w14:paraId="4CF659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宋体"/>
                <w:b/>
                <w:bCs/>
                <w:i w:val="0"/>
                <w:iCs w:val="0"/>
                <w:color w:val="000000"/>
                <w:sz w:val="21"/>
                <w:szCs w:val="21"/>
                <w:highlight w:val="none"/>
                <w:u w:val="none"/>
              </w:rPr>
            </w:pPr>
            <w:r>
              <w:rPr>
                <w:rFonts w:hint="eastAsia" w:ascii="Times New Roman" w:hAnsi="Times New Roman" w:eastAsia="宋体" w:cs="宋体"/>
                <w:b/>
                <w:bCs/>
                <w:i w:val="0"/>
                <w:iCs w:val="0"/>
                <w:color w:val="000000"/>
                <w:kern w:val="0"/>
                <w:sz w:val="21"/>
                <w:szCs w:val="21"/>
                <w:highlight w:val="none"/>
                <w:u w:val="none"/>
                <w:lang w:val="en-US" w:eastAsia="zh-CN" w:bidi="ar"/>
              </w:rPr>
              <w:t>检查大类</w:t>
            </w:r>
          </w:p>
        </w:tc>
        <w:tc>
          <w:tcPr>
            <w:tcW w:w="2068" w:type="dxa"/>
            <w:tcBorders>
              <w:top w:val="single" w:color="000000" w:sz="12" w:space="0"/>
              <w:left w:val="single" w:color="000000" w:sz="4" w:space="0"/>
              <w:bottom w:val="single" w:color="000000" w:sz="4" w:space="0"/>
              <w:right w:val="single" w:color="000000" w:sz="12" w:space="0"/>
            </w:tcBorders>
            <w:shd w:val="clear" w:color="auto" w:fill="auto"/>
            <w:vAlign w:val="center"/>
          </w:tcPr>
          <w:p w14:paraId="33D844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宋体"/>
                <w:b/>
                <w:bCs/>
                <w:i w:val="0"/>
                <w:iCs w:val="0"/>
                <w:color w:val="000000"/>
                <w:sz w:val="21"/>
                <w:szCs w:val="21"/>
                <w:highlight w:val="none"/>
                <w:u w:val="none"/>
              </w:rPr>
            </w:pPr>
            <w:r>
              <w:rPr>
                <w:rFonts w:hint="eastAsia" w:ascii="Times New Roman" w:hAnsi="Times New Roman" w:eastAsia="宋体" w:cs="宋体"/>
                <w:b/>
                <w:bCs/>
                <w:i w:val="0"/>
                <w:iCs w:val="0"/>
                <w:color w:val="000000"/>
                <w:kern w:val="0"/>
                <w:sz w:val="21"/>
                <w:szCs w:val="21"/>
                <w:highlight w:val="none"/>
                <w:u w:val="none"/>
                <w:lang w:val="en-US" w:eastAsia="zh-CN" w:bidi="ar"/>
              </w:rPr>
              <w:t>基准项目</w:t>
            </w:r>
          </w:p>
        </w:tc>
        <w:tc>
          <w:tcPr>
            <w:tcW w:w="3515" w:type="dxa"/>
            <w:tcBorders>
              <w:top w:val="single" w:color="000000" w:sz="12" w:space="0"/>
              <w:left w:val="single" w:color="000000" w:sz="4" w:space="0"/>
              <w:bottom w:val="single" w:color="000000" w:sz="4" w:space="0"/>
              <w:right w:val="single" w:color="000000" w:sz="12" w:space="0"/>
            </w:tcBorders>
            <w:shd w:val="clear" w:color="auto" w:fill="auto"/>
            <w:vAlign w:val="center"/>
          </w:tcPr>
          <w:p w14:paraId="7FBD77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宋体"/>
                <w:b/>
                <w:bCs/>
                <w:i w:val="0"/>
                <w:iCs w:val="0"/>
                <w:color w:val="000000"/>
                <w:sz w:val="21"/>
                <w:szCs w:val="21"/>
                <w:highlight w:val="none"/>
                <w:u w:val="none"/>
              </w:rPr>
            </w:pPr>
            <w:r>
              <w:rPr>
                <w:rFonts w:hint="eastAsia" w:ascii="Times New Roman" w:hAnsi="Times New Roman" w:eastAsia="宋体" w:cs="宋体"/>
                <w:b/>
                <w:bCs/>
                <w:i w:val="0"/>
                <w:iCs w:val="0"/>
                <w:color w:val="000000"/>
                <w:kern w:val="0"/>
                <w:sz w:val="21"/>
                <w:szCs w:val="21"/>
                <w:highlight w:val="none"/>
                <w:u w:val="none"/>
                <w:lang w:val="en-US" w:eastAsia="zh-CN" w:bidi="ar"/>
              </w:rPr>
              <w:t>检查目的</w:t>
            </w:r>
          </w:p>
        </w:tc>
        <w:tc>
          <w:tcPr>
            <w:tcW w:w="1439" w:type="dxa"/>
            <w:tcBorders>
              <w:top w:val="single" w:color="000000" w:sz="12" w:space="0"/>
              <w:left w:val="single" w:color="000000" w:sz="4" w:space="0"/>
              <w:bottom w:val="single" w:color="000000" w:sz="4" w:space="0"/>
              <w:right w:val="single" w:color="000000" w:sz="12" w:space="0"/>
            </w:tcBorders>
            <w:shd w:val="clear" w:color="auto" w:fill="auto"/>
            <w:vAlign w:val="center"/>
          </w:tcPr>
          <w:p w14:paraId="277654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宋体"/>
                <w:b/>
                <w:bCs/>
                <w:i w:val="0"/>
                <w:iCs w:val="0"/>
                <w:color w:val="000000"/>
                <w:sz w:val="21"/>
                <w:szCs w:val="21"/>
                <w:highlight w:val="none"/>
                <w:u w:val="none"/>
              </w:rPr>
            </w:pPr>
            <w:r>
              <w:rPr>
                <w:rFonts w:hint="eastAsia" w:ascii="Times New Roman" w:hAnsi="Times New Roman" w:eastAsia="宋体" w:cs="宋体"/>
                <w:b/>
                <w:bCs/>
                <w:i w:val="0"/>
                <w:iCs w:val="0"/>
                <w:color w:val="000000"/>
                <w:kern w:val="0"/>
                <w:sz w:val="21"/>
                <w:szCs w:val="21"/>
                <w:highlight w:val="none"/>
                <w:u w:val="none"/>
                <w:lang w:val="en-US" w:eastAsia="zh-CN" w:bidi="ar"/>
              </w:rPr>
              <w:t>基准项目提升优化说明</w:t>
            </w:r>
          </w:p>
        </w:tc>
      </w:tr>
      <w:tr w14:paraId="12DED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73195B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992CF9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一般检查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545CFB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身高、体重</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206D5E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身高 、体重、血压基本健康状态参数，了解体重是否正常，有无体重不足、超重或肥胖，为相关科室的诊断提供依据。</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948A72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69389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45094C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7A1D6B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一般检查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E9196C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血压</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BA97F2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身高 、体重、血压基本健康状态参数，了解体重是否正常，有无体重不足、超重或肥胖，为相关科室的诊断提供依据。</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0C6C4B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1C288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129420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3</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921B8F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内科</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BBDBBB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内科</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EA088A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心肺有无异常、肝脾有无肿大、腹部有无包块等</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163931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5F314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AD9749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4</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EFFB15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外科</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08CB84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外科</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87D5CA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淋巴结有无肿大，甲状腺、乳房、外生殖器、前列腺、肛肠有无异常、四肢脊柱有无畸形等</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2B3034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6F22E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C32493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5</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DC6A8A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视力 色觉</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33A667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视力 色觉</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BC281B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主要检查测视力/色觉，提示色弱、色盲，提示视力异常。</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5BC5EC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6EB25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11E4F9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6</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8FA68E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耳鼻咽喉科</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4120CE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耳鼻咽喉科</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9D11A5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耳、鼻、咽、喉有无异常，如中耳炎、鼓膜穿孔、扁桃体肿大等</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3F75FC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25D1D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6381A6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7</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B91409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口腔科</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D192B7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口腔常规检查，全面了解口腔健康状况，及时发现口腔科常见疾病。</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6E4372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通过检查可对龋齿、牙龈炎、牙周炎进行早期检查，同时提供口腔保健指导</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F37304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0BBD0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4C4E11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8</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8BB12F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肝功能11项</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F85785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白蛋白/球蛋白(计算值); 血清总蛋白 ; 血清白蛋白 ; 血清总胆红素; 血清直接胆红素(结合胆红素); 血清间接胆红素(计算值)(非结合胆红素); 血清丙氨酸氨基转移酶; 血清天门冬氨酸氨基转移酶; 血清γ-谷氨酰基转移酶; 血清球蛋白(计算值); 天门冬氨酸氨基转移酶/丙氨酸氨基转移酶(计算值)</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F1BD10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结合临床分析，主要用于肝胆疾病的实验诊断。用于反映各种急慢性肝损伤和胆囊疾病如急性传染性肝炎及药物或酒精中毒，慢性肝炎，脂肪肝及肝硬化，胆石症，肝外胆道阻塞，肝细胞损伤引起的黄疸性疾病等。</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C16986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0DC8E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A26175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9</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79C0CB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肾功能三项</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E6F4A1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尿素氮(BUN)、肌酐(CR)、尿酸</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14A696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用于肾脏功能检测，评估肾脏疾病风险。</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D86340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0E702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3D1DF4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10</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C6741F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血脂四项</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E1824B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总胆固醇、甘油三脂、低密度脂蛋白胆固醇、高密度脂蛋白胆固醇</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E510CA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结合其他血脂检测，了解血脂代谢情况。</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94F581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536F8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C90661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11</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80F78E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甲功三项A</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ACA91C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甲功三项A</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C68940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有助于对甲状腺疾病或甲状腺功能障碍的诊断，是目前最常用的内分泌测定项目。</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4C23B8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57E9F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3410FA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12</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D7D9B4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血糖</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FC1F40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空腹血糖</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58230E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评估机体糖代谢状态、诊断糖代谢紊乱相关疾病，指导临床医师制定并适时调整治疗方案等方面具有重要价值。</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05BD29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6CD31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22D9FE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13</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11963D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定性糖尿病</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9A0689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糖化血红蛋白(HbA1C)</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CC9C4A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可反映检查前1-2个月的血糖水平，是糖尿病的筛查指标</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C26A9A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2A1B3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D5A631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14</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85218E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肿瘤筛查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8D377B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癌胚抗原CEA(定量)</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CD288F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可提示有无原发性肝癌，生殖腺胚胎性肿瘤，肝硬化等</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328204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44CBD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6FBA8F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15</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8604EC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肿瘤筛查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E04E9D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甲胎蛋白AFP（定量）</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0BD3AB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为广谱肿瘤标志物，可提示直肠癌、结肠癌、肺癌、乳腺癌、胰腺癌等</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C83C7D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6C8A0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D25DE3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16</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1B349C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肿瘤筛查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1262D8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糖类抗原125（女）</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61507D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主要用于辅助诊断恶性浆液性卵巢癌，上皮性卵巢癌，同时也是卵巢癌手术和化疗后疗效观察的指标。应用时建议结合其他肿瘤标志物。</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10DEE0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062DE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D5311B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17</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3F772C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肿瘤筛查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AB7721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糖链抗原153（女）</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FA64F1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检测糖链抗原15-3，肿瘤标志物之一，对乳腺癌的诊断和术后随访监测有一定价值。应用时建议结合其他肿瘤标志物。</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1EED15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15E49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391F75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18</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6CB049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肿瘤筛查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0CB6D4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糖链抗原199测定</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A83364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检测糖链抗原19-9，胃肠道肿瘤标志物之一，应用时建议结合其他肿瘤标志物。</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1D8C2E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43F48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6F4AAC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19</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C53E24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肿瘤筛查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BECFDE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细胞角蛋白</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A6C02B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非小细胞肺癌（NSCLC）的鉴别诊断，疗效监测和预后判断的重要指标</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506EE4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09E46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0FBF27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20</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E27E47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肿瘤筛查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7B0C2B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鳞状细胞癌相关抗原测定</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65D588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是鳞状上皮癌的标志物，用于鳞癌的辅助诊断和治疗检测，特异性较高，显著增高应怀疑鳞状上皮癌</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981799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226ED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DB2500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21</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C14069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肿瘤筛查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2C5E96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总前列腺特异性抗原测定（男）</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6A7CE9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是筛查前列腺肿瘤的特异性标志物，但前列腺增生、炎症也可轻度增高</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8CE46B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6906E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A795A2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22</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101D78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肿瘤筛查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077D47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游离前列腺特异性抗原测定（男）</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7D9FEF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前列腺癌的辅助标记物，可用于前列腺癌的筛查</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7826E4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4A397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A974FE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23</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3E51F9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胃功能检测</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1B1380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胃功能3项</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219600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检测胃消化腺的分泌情况，为判断胃部疾病的风险提供依据</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0014DF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3201F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17A700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24</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28EE50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老年糖尿病定向筛查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6CE9F7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空腹C肽</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501B1F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检测C-肽，可反映胰岛β细胞的功能，还能指导治疗和评估疗效。</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208DD5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68E47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081AD6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25</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FD78A6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老年糖尿病定向筛查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3FEF38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胰岛素测定</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6D825B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胰岛素是由胰岛β细胞分泌，受内源性或外源性葡萄糖、乳糖、核糖、胰高血糖素等刺激因素影响。胰岛素是机体内唯一可降低血糖的激素。胰岛素测定能反映胰岛β细胞的功能是否正常。</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02E986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62D17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523077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26</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BC3CBA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尿素呼气试验</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E038FA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碳14尿素呼气试验</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A8C267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通过吹气了解胃内有无幽门螺旋杆菌感染，此感染与胃炎、消化性溃疡、胃癌等发病有密切关系。</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88EA3E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347E5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B5F9A2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27</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1D8EF3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血常规</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4F50DF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红细胞计数 （RBC）、红细胞压积（HCT）、平均血红蛋白浓度（MCHC）等19项。</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09DD02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是临床最常用的初筛项目之一，可为医生诊断血液系统疾病等提供线索和依据。</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AEC76C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6F288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AEB6D1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28</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8DC1F0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尿常规</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C87F9D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尿蛋白 、尿糖 、尿比重 、尿酮体 、尿胆红质 、尿胆元等10项</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E84BCF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可提示有无泌尿系统疾患：如急、慢性肾炎，肾盂肾炎，膀胱炎，尿道炎，肾病综合征，狼疮性肾炎，血红蛋白尿，肾梗塞、肾小管重金属盐及药物导致急性肾小管坏死，肾或膀胱肿瘤以及有无尿糖等</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8FEF10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60F78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14E141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29</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58C985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彩超检查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EAAABE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肝胆脾胰双肾，甲状腺彩超</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99979A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更清晰的观察各脏器有无炎症、囊肿、肿瘤、结石、积水等;检查甲状腺的结构及形态，发现甲状腺异常病变。</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24A9E6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21FAA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CA883E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30</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BC460E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彩超检查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AF0A66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甲状腺彩超</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A283F5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检查甲状腺的结构及形态，发现甲状腺异常病变。</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0DF757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3F49C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8007A6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31</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621D9F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头颅MRI</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A1D66D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头颅核磁平扫</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F64522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1、脑梗死、脑出血患者。2、血管性病变。3、病毒感染、脑脓肿、脑膜炎患者。4、脑肿瘤患者。5、新生儿大脑存在异常情况者，可进行磁共振检查。</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E8282E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1B140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91C82F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32</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FB21C1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CT检查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E0866E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胸部CT</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B84AD8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适用于肺部疾病及心脏、主动脉、纵隔、横膈疾病等的检查。</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4744BA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779C7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62FC4D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33</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7ED107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X线检查（高清DR）</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197FA1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颈椎侧位片</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0FD890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可提示颈椎曲度是否改变，椎间隙是否变窄，有无骨质增生或韧带钙化。</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AA1ACA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41D12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DE71D2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34</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2678CC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男性员工彩超检查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4B85F5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前列腺彩超（彩超机）</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A60D2E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检查能较好的显示前列腺的形态、大小，对于前列腺增生、肥大、钙化等疾病具有诊断意义。提供高清晰度的动态彩色超声断层图像诊断。</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317C17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27241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946D94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35</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492D9A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女性员工彩超检查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CC4126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彩超检查双侧乳腺（彩超机）</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A51448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可提示有否乳腺肿块或乳腺占位性病变等。</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822085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79072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7AB554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36</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0DA90B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女性已婚员工彩超检查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7AA741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阴式彩超（阴彩有侵入性，不适合未婚的女士做此项目，未婚做子宫附件彩超）</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A41FE3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能直接与盆腔器官接近，更好地显示子宫、卵巢、盆腔是否有病变发生。</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3490F6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534B6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FEA002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37</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5D8FBC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女性未婚员工彩超检查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9BAFC3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子宫附件彩超</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F3A6D8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更清晰的观察子宫、卵巢、盆腔等生殖器是否有病变发生。</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E34878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34F61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DA026B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38</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DEB6B9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妇科检查</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72AB93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妇检</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69BAC3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检查女性生殖器有无异常改变、有无宫颈及阴道异常病变。</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A4C58E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5DD8E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0671A6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39</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FCC963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白带常规</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637CDB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白带常规</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83A1DB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是妇科检查的常规项目，对于女性生殖系统炎症、肿瘤等疾病的诊断，是临床诊断阴道疾病的重要依据。</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BB8B40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2D100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D26817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40</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4E57CA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TCT检测</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FD973C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液基薄层细胞学检测</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332C0A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宫颈癌筛查</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7EFB38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26129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DA4502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rPr>
              <w:t>序号</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5A044B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rPr>
              <w:t>检查大类</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42E852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rPr>
              <w:t>增加项目（投标人自行按序添加）</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179B6A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rPr>
              <w:t>检查目的</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E06F83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rPr>
              <w:t>备注</w:t>
            </w:r>
          </w:p>
        </w:tc>
      </w:tr>
      <w:tr w14:paraId="6D92A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057562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A5BB42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EB468F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04F467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3A5B64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r>
      <w:tr w14:paraId="53DB9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4D57C6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c>
          <w:tcPr>
            <w:tcW w:w="144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A55ECB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c>
          <w:tcPr>
            <w:tcW w:w="2068"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0D77B8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c>
          <w:tcPr>
            <w:tcW w:w="351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E1B622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c>
          <w:tcPr>
            <w:tcW w:w="1439"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49ED59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r>
      <w:tr w14:paraId="101D5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36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3DA1E17">
            <w:pPr>
              <w:keepNext w:val="0"/>
              <w:keepLines w:val="0"/>
              <w:pageBreakBefore w:val="0"/>
              <w:kinsoku/>
              <w:wordWrap/>
              <w:overflowPunct/>
              <w:topLinePunct w:val="0"/>
              <w:autoSpaceDE/>
              <w:autoSpaceDN/>
              <w:bidi w:val="0"/>
              <w:adjustRightInd/>
              <w:snapToGrid/>
              <w:spacing w:line="240" w:lineRule="exact"/>
              <w:jc w:val="center"/>
              <w:rPr>
                <w:rFonts w:hint="eastAsia"/>
                <w:b/>
                <w:color w:val="000000"/>
                <w:lang w:val="en-US" w:eastAsia="zh-CN"/>
              </w:rPr>
            </w:pPr>
            <w:r>
              <w:rPr>
                <w:b/>
                <w:color w:val="000000"/>
              </w:rPr>
              <w:t>套餐</w:t>
            </w:r>
            <w:r>
              <w:rPr>
                <w:rFonts w:hint="eastAsia"/>
                <w:b/>
                <w:color w:val="000000"/>
                <w:lang w:val="en-US" w:eastAsia="zh-CN"/>
              </w:rPr>
              <w:t>单价</w:t>
            </w:r>
          </w:p>
          <w:p w14:paraId="240B8F0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cs="宋体" w:eastAsiaTheme="minorEastAsia"/>
                <w:i w:val="0"/>
                <w:iCs w:val="0"/>
                <w:color w:val="000000"/>
                <w:sz w:val="21"/>
                <w:szCs w:val="21"/>
                <w:highlight w:val="none"/>
                <w:u w:val="none"/>
                <w:lang w:val="en-US" w:eastAsia="zh-CN"/>
              </w:rPr>
            </w:pPr>
            <w:r>
              <w:rPr>
                <w:rFonts w:hint="eastAsia"/>
                <w:b/>
                <w:color w:val="000000"/>
                <w:lang w:val="en-US" w:eastAsia="zh-CN"/>
              </w:rPr>
              <w:t>限价</w:t>
            </w:r>
          </w:p>
        </w:tc>
        <w:tc>
          <w:tcPr>
            <w:tcW w:w="8471" w:type="dxa"/>
            <w:gridSpan w:val="4"/>
            <w:tcBorders>
              <w:top w:val="single" w:color="000000" w:sz="4" w:space="0"/>
              <w:left w:val="single" w:color="000000" w:sz="4" w:space="0"/>
              <w:bottom w:val="single" w:color="000000" w:sz="4" w:space="0"/>
              <w:right w:val="single" w:color="000000" w:sz="12" w:space="0"/>
            </w:tcBorders>
            <w:shd w:val="clear" w:color="auto" w:fill="auto"/>
            <w:vAlign w:val="center"/>
          </w:tcPr>
          <w:p w14:paraId="4F7942F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rFonts w:hint="default" w:ascii="Times New Roman Regular" w:hAnsi="Times New Roman Regular" w:cs="Times New Roman Regular"/>
                <w:b/>
                <w:color w:val="000000"/>
                <w:lang w:val="en-US" w:eastAsia="zh-CN"/>
              </w:rPr>
              <w:t>不超过</w:t>
            </w:r>
            <w:r>
              <w:rPr>
                <w:rFonts w:hint="default" w:ascii="Times New Roman Regular" w:hAnsi="Times New Roman Regular" w:cs="Times New Roman Regular"/>
                <w:b/>
                <w:color w:val="000000"/>
              </w:rPr>
              <w:t>1000元/人</w:t>
            </w:r>
          </w:p>
        </w:tc>
      </w:tr>
    </w:tbl>
    <w:p w14:paraId="27A6568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sz w:val="32"/>
          <w:szCs w:val="32"/>
          <w:highlight w:val="none"/>
          <w:lang w:val="zh-CN"/>
        </w:rPr>
      </w:pPr>
      <w:r>
        <w:rPr>
          <w:rFonts w:hint="eastAsia" w:ascii="黑体" w:hAnsi="黑体" w:eastAsia="黑体" w:cs="黑体"/>
          <w:b w:val="0"/>
          <w:bCs/>
          <w:color w:val="000000"/>
          <w:sz w:val="32"/>
          <w:szCs w:val="32"/>
          <w:highlight w:val="none"/>
          <w:lang w:val="en-US" w:eastAsia="zh-CN"/>
        </w:rPr>
        <w:t>四、体检套餐（限价不超过360元/人）</w:t>
      </w:r>
    </w:p>
    <w:tbl>
      <w:tblPr>
        <w:tblStyle w:val="15"/>
        <w:tblW w:w="97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57"/>
        <w:gridCol w:w="1357"/>
        <w:gridCol w:w="2403"/>
        <w:gridCol w:w="3585"/>
        <w:gridCol w:w="1240"/>
      </w:tblGrid>
      <w:tr w14:paraId="1E02A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jc w:val="center"/>
        </w:trPr>
        <w:tc>
          <w:tcPr>
            <w:tcW w:w="1157" w:type="dxa"/>
            <w:tcBorders>
              <w:top w:val="single" w:color="000000" w:sz="12" w:space="0"/>
              <w:left w:val="single" w:color="000000" w:sz="4" w:space="0"/>
              <w:bottom w:val="single" w:color="000000" w:sz="4" w:space="0"/>
              <w:right w:val="single" w:color="000000" w:sz="12" w:space="0"/>
            </w:tcBorders>
            <w:shd w:val="clear" w:color="auto" w:fill="auto"/>
            <w:vAlign w:val="center"/>
          </w:tcPr>
          <w:p w14:paraId="03BF5F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宋体"/>
                <w:b/>
                <w:bCs/>
                <w:i w:val="0"/>
                <w:iCs w:val="0"/>
                <w:color w:val="000000"/>
                <w:sz w:val="21"/>
                <w:szCs w:val="21"/>
                <w:highlight w:val="none"/>
                <w:u w:val="none"/>
              </w:rPr>
            </w:pPr>
            <w:r>
              <w:rPr>
                <w:rFonts w:hint="eastAsia" w:ascii="Times New Roman" w:hAnsi="Times New Roman" w:eastAsia="宋体" w:cs="宋体"/>
                <w:b/>
                <w:bCs/>
                <w:i w:val="0"/>
                <w:iCs w:val="0"/>
                <w:color w:val="000000"/>
                <w:kern w:val="0"/>
                <w:sz w:val="21"/>
                <w:szCs w:val="21"/>
                <w:highlight w:val="none"/>
                <w:u w:val="none"/>
                <w:lang w:val="en-US" w:eastAsia="zh-CN" w:bidi="ar"/>
              </w:rPr>
              <w:t>序号</w:t>
            </w:r>
          </w:p>
        </w:tc>
        <w:tc>
          <w:tcPr>
            <w:tcW w:w="1357" w:type="dxa"/>
            <w:tcBorders>
              <w:top w:val="single" w:color="000000" w:sz="12" w:space="0"/>
              <w:left w:val="single" w:color="000000" w:sz="4" w:space="0"/>
              <w:bottom w:val="single" w:color="000000" w:sz="4" w:space="0"/>
              <w:right w:val="single" w:color="000000" w:sz="12" w:space="0"/>
            </w:tcBorders>
            <w:shd w:val="clear" w:color="auto" w:fill="auto"/>
            <w:vAlign w:val="center"/>
          </w:tcPr>
          <w:p w14:paraId="79D659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宋体"/>
                <w:b/>
                <w:bCs/>
                <w:i w:val="0"/>
                <w:iCs w:val="0"/>
                <w:color w:val="000000"/>
                <w:sz w:val="21"/>
                <w:szCs w:val="21"/>
                <w:highlight w:val="none"/>
                <w:u w:val="none"/>
                <w:lang w:val="en-US"/>
              </w:rPr>
            </w:pPr>
            <w:r>
              <w:rPr>
                <w:rFonts w:hint="eastAsia" w:ascii="Times New Roman" w:hAnsi="Times New Roman" w:eastAsia="宋体" w:cs="宋体"/>
                <w:b/>
                <w:bCs/>
                <w:i w:val="0"/>
                <w:iCs w:val="0"/>
                <w:color w:val="000000"/>
                <w:kern w:val="0"/>
                <w:sz w:val="21"/>
                <w:szCs w:val="21"/>
                <w:highlight w:val="none"/>
                <w:u w:val="none"/>
                <w:lang w:val="en-US" w:eastAsia="zh-CN" w:bidi="ar"/>
              </w:rPr>
              <w:t>检查大类</w:t>
            </w:r>
          </w:p>
        </w:tc>
        <w:tc>
          <w:tcPr>
            <w:tcW w:w="2403" w:type="dxa"/>
            <w:tcBorders>
              <w:top w:val="single" w:color="000000" w:sz="12" w:space="0"/>
              <w:left w:val="single" w:color="000000" w:sz="4" w:space="0"/>
              <w:bottom w:val="single" w:color="000000" w:sz="4" w:space="0"/>
              <w:right w:val="single" w:color="000000" w:sz="12" w:space="0"/>
            </w:tcBorders>
            <w:shd w:val="clear" w:color="auto" w:fill="auto"/>
            <w:vAlign w:val="center"/>
          </w:tcPr>
          <w:p w14:paraId="49056E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宋体"/>
                <w:b/>
                <w:bCs/>
                <w:i w:val="0"/>
                <w:iCs w:val="0"/>
                <w:color w:val="000000"/>
                <w:sz w:val="21"/>
                <w:szCs w:val="21"/>
                <w:highlight w:val="none"/>
                <w:u w:val="none"/>
              </w:rPr>
            </w:pPr>
            <w:r>
              <w:rPr>
                <w:rFonts w:hint="eastAsia" w:ascii="Times New Roman" w:hAnsi="Times New Roman" w:eastAsia="宋体" w:cs="宋体"/>
                <w:b/>
                <w:bCs/>
                <w:i w:val="0"/>
                <w:iCs w:val="0"/>
                <w:color w:val="000000"/>
                <w:kern w:val="0"/>
                <w:sz w:val="21"/>
                <w:szCs w:val="21"/>
                <w:highlight w:val="none"/>
                <w:u w:val="none"/>
                <w:lang w:val="en-US" w:eastAsia="zh-CN" w:bidi="ar"/>
              </w:rPr>
              <w:t>基准项目</w:t>
            </w:r>
          </w:p>
        </w:tc>
        <w:tc>
          <w:tcPr>
            <w:tcW w:w="3585" w:type="dxa"/>
            <w:tcBorders>
              <w:top w:val="single" w:color="000000" w:sz="12" w:space="0"/>
              <w:left w:val="single" w:color="000000" w:sz="4" w:space="0"/>
              <w:bottom w:val="single" w:color="000000" w:sz="4" w:space="0"/>
              <w:right w:val="single" w:color="000000" w:sz="12" w:space="0"/>
            </w:tcBorders>
            <w:shd w:val="clear" w:color="auto" w:fill="auto"/>
            <w:vAlign w:val="center"/>
          </w:tcPr>
          <w:p w14:paraId="0B9533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宋体"/>
                <w:b/>
                <w:bCs/>
                <w:i w:val="0"/>
                <w:iCs w:val="0"/>
                <w:color w:val="000000"/>
                <w:kern w:val="2"/>
                <w:sz w:val="21"/>
                <w:szCs w:val="21"/>
                <w:highlight w:val="none"/>
                <w:u w:val="none"/>
                <w:lang w:val="en-US" w:eastAsia="zh-CN" w:bidi="ar-SA"/>
              </w:rPr>
            </w:pPr>
            <w:r>
              <w:rPr>
                <w:rFonts w:hint="eastAsia" w:ascii="Times New Roman" w:hAnsi="Times New Roman" w:eastAsia="宋体" w:cs="宋体"/>
                <w:b/>
                <w:bCs/>
                <w:i w:val="0"/>
                <w:iCs w:val="0"/>
                <w:color w:val="000000"/>
                <w:kern w:val="0"/>
                <w:sz w:val="21"/>
                <w:szCs w:val="21"/>
                <w:highlight w:val="none"/>
                <w:u w:val="none"/>
                <w:lang w:val="en-US" w:eastAsia="zh-CN" w:bidi="ar"/>
              </w:rPr>
              <w:t>检查目的</w:t>
            </w:r>
          </w:p>
        </w:tc>
        <w:tc>
          <w:tcPr>
            <w:tcW w:w="1240" w:type="dxa"/>
            <w:tcBorders>
              <w:top w:val="single" w:color="000000" w:sz="12" w:space="0"/>
              <w:left w:val="single" w:color="000000" w:sz="4" w:space="0"/>
              <w:bottom w:val="single" w:color="000000" w:sz="4" w:space="0"/>
              <w:right w:val="single" w:color="000000" w:sz="12" w:space="0"/>
            </w:tcBorders>
            <w:shd w:val="clear" w:color="auto" w:fill="auto"/>
            <w:vAlign w:val="center"/>
          </w:tcPr>
          <w:p w14:paraId="5D8CD0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i w:val="0"/>
                <w:iCs w:val="0"/>
                <w:color w:val="000000"/>
                <w:sz w:val="21"/>
                <w:szCs w:val="21"/>
                <w:highlight w:val="none"/>
                <w:u w:val="none"/>
              </w:rPr>
            </w:pPr>
            <w:r>
              <w:rPr>
                <w:rFonts w:hint="eastAsia" w:ascii="Times New Roman" w:hAnsi="Times New Roman" w:eastAsia="宋体" w:cs="宋体"/>
                <w:b/>
                <w:bCs/>
                <w:i w:val="0"/>
                <w:iCs w:val="0"/>
                <w:color w:val="000000"/>
                <w:kern w:val="0"/>
                <w:sz w:val="21"/>
                <w:szCs w:val="21"/>
                <w:highlight w:val="none"/>
                <w:u w:val="none"/>
                <w:lang w:val="en-US" w:eastAsia="zh-CN" w:bidi="ar"/>
              </w:rPr>
              <w:t>基准项目提升优化说明</w:t>
            </w:r>
          </w:p>
        </w:tc>
      </w:tr>
      <w:tr w14:paraId="31D80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6EF88B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E925CE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一般检查</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FFF1FC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血压（收缩压; 舒张压; 脉搏）</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1B91D8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kern w:val="2"/>
                <w:sz w:val="21"/>
                <w:szCs w:val="21"/>
                <w:highlight w:val="none"/>
                <w:u w:val="none"/>
                <w:lang w:val="en-US" w:eastAsia="zh-CN" w:bidi="ar-SA"/>
              </w:rPr>
            </w:pPr>
            <w:r>
              <w:rPr>
                <w:color w:val="000000"/>
              </w:rPr>
              <w:t>可以清楚自己的血压情况，对起居，饮食，用药，保健等等都有重要的指导作用。</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19C3DF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03AC2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D8E782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710C83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一般检查</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68BAE6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身高体重（身高; 体重; 体重指数）</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C500F7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kern w:val="2"/>
                <w:sz w:val="21"/>
                <w:szCs w:val="21"/>
                <w:highlight w:val="none"/>
                <w:u w:val="none"/>
                <w:lang w:val="en-US" w:eastAsia="zh-CN" w:bidi="ar-SA"/>
              </w:rPr>
            </w:pPr>
            <w:r>
              <w:rPr>
                <w:color w:val="000000"/>
              </w:rPr>
              <w:t>身高 、体重、体重指数基本健康状态参数，了解体重是否正常，有无体重不足、超重或肥胖，为相关科室的诊断提供依据。</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64C5AE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6D96D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16B6A7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3</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6B15C1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外科</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CA2EB5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男性外科检查</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F2B9C7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kern w:val="2"/>
                <w:sz w:val="21"/>
                <w:szCs w:val="21"/>
                <w:highlight w:val="none"/>
                <w:u w:val="none"/>
                <w:lang w:val="en-US" w:eastAsia="zh-CN" w:bidi="ar-SA"/>
              </w:rPr>
            </w:pPr>
            <w:r>
              <w:rPr>
                <w:color w:val="000000"/>
              </w:rPr>
              <w:t>淋巴结有无肿大，甲状腺、乳房、外生殖器、前列腺、四肢脊柱有无畸形等</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12C2AE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39202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2F0FC8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4</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C5F846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外科</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E57F40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女性外科检查</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5F37D2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kern w:val="2"/>
                <w:sz w:val="21"/>
                <w:szCs w:val="21"/>
                <w:highlight w:val="none"/>
                <w:u w:val="none"/>
                <w:lang w:val="en-US" w:eastAsia="zh-CN" w:bidi="ar-SA"/>
              </w:rPr>
            </w:pPr>
            <w:r>
              <w:rPr>
                <w:color w:val="000000"/>
              </w:rPr>
              <w:t>淋巴结有无肿大，甲状腺、乳房、四肢脊柱有无畸形等</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88A4F9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40A51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097456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5</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FF9748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内科</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6E221C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内科</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ECADC4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kern w:val="2"/>
                <w:sz w:val="21"/>
                <w:szCs w:val="21"/>
                <w:highlight w:val="none"/>
                <w:u w:val="none"/>
                <w:lang w:val="en-US" w:eastAsia="zh-CN" w:bidi="ar-SA"/>
              </w:rPr>
            </w:pPr>
            <w:r>
              <w:rPr>
                <w:color w:val="000000"/>
              </w:rPr>
              <w:t>心肺有无异常、肝脾有无肿大、腹部有无包块等</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EA86EA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5CB42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A21FFC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6</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B159DC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眼科</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57F4DE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眼科检查</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7E6A4F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kern w:val="2"/>
                <w:sz w:val="21"/>
                <w:szCs w:val="21"/>
                <w:highlight w:val="none"/>
                <w:u w:val="none"/>
                <w:lang w:val="en-US" w:eastAsia="zh-CN" w:bidi="ar-SA"/>
              </w:rPr>
            </w:pPr>
            <w:r>
              <w:rPr>
                <w:color w:val="000000"/>
              </w:rPr>
              <w:t>眼外观是否正常，有无沙眼、结膜炎等</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D8BAC8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1BBDB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D7A565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7</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080AAA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眼科</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DDBD5A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眼底镜</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BE63E8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kern w:val="2"/>
                <w:sz w:val="21"/>
                <w:szCs w:val="21"/>
                <w:highlight w:val="none"/>
                <w:u w:val="none"/>
                <w:lang w:val="en-US" w:eastAsia="zh-CN" w:bidi="ar-SA"/>
              </w:rPr>
            </w:pPr>
            <w:r>
              <w:rPr>
                <w:color w:val="000000"/>
              </w:rPr>
              <w:t>通过眼底镜检查视乳头; 黄斑; 视网膜了解眼底检查有无黄斑变性和动脉硬化等。</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8DC20A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41CC2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429C97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8</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5AC8B3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口腔科</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42A5AD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口腔科</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B3D231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kern w:val="2"/>
                <w:sz w:val="21"/>
                <w:szCs w:val="21"/>
                <w:highlight w:val="none"/>
                <w:u w:val="none"/>
                <w:lang w:val="en-US" w:eastAsia="zh-CN" w:bidi="ar-SA"/>
              </w:rPr>
            </w:pPr>
            <w:r>
              <w:rPr>
                <w:color w:val="000000"/>
              </w:rPr>
              <w:t>通过检查可对龋齿、牙龈炎、牙周炎进行早期检查，同时提供口腔保健指导。</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F651A0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65736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09ADA1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9</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8C22BD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妇科</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27F291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cs="宋体" w:eastAsiaTheme="minorEastAsia"/>
                <w:i w:val="0"/>
                <w:iCs w:val="0"/>
                <w:color w:val="000000"/>
                <w:sz w:val="21"/>
                <w:szCs w:val="21"/>
                <w:highlight w:val="none"/>
                <w:u w:val="none"/>
                <w:lang w:val="en-US" w:eastAsia="zh-CN"/>
              </w:rPr>
            </w:pPr>
            <w:r>
              <w:rPr>
                <w:color w:val="000000"/>
              </w:rPr>
              <w:t>妇科</w:t>
            </w:r>
            <w:r>
              <w:rPr>
                <w:rFonts w:hint="eastAsia"/>
                <w:color w:val="000000"/>
                <w:lang w:eastAsia="zh-CN"/>
              </w:rPr>
              <w:t>（</w:t>
            </w:r>
            <w:r>
              <w:rPr>
                <w:rFonts w:hint="eastAsia"/>
                <w:color w:val="000000"/>
                <w:lang w:val="en-US" w:eastAsia="zh-CN"/>
              </w:rPr>
              <w:t>已婚女性）</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3A3319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—检查女性生殖器（子宫; 附件; 外阴; 阴道; 宫颈; 其他; 既往史; 月经史与生育史）有无异常改变、有无宫颈及阴道异常病变。</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1F921E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2B8ED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1B3FE2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10</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A3E539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心电图</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FBB9A4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解析心电图（12导联）</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6A62E9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kern w:val="2"/>
                <w:sz w:val="21"/>
                <w:szCs w:val="21"/>
                <w:highlight w:val="none"/>
                <w:u w:val="none"/>
                <w:lang w:val="en-US" w:eastAsia="zh-CN" w:bidi="ar-SA"/>
              </w:rPr>
            </w:pPr>
            <w:r>
              <w:rPr>
                <w:color w:val="000000"/>
              </w:rPr>
              <w:t>用于心肌梗死、心律失常、心肌缺血等心脏疾病的检查。</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DD1F6C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14059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8BE8DB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12</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7AF60A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血常规</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E306BE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血常规(五分类)</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502FD8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kern w:val="2"/>
                <w:sz w:val="21"/>
                <w:szCs w:val="21"/>
                <w:highlight w:val="none"/>
                <w:u w:val="none"/>
                <w:lang w:val="en-US" w:eastAsia="zh-CN" w:bidi="ar-SA"/>
              </w:rPr>
            </w:pPr>
            <w:r>
              <w:rPr>
                <w:color w:val="000000"/>
              </w:rPr>
              <w:t>白细胞计数; 大血小板比率; 大血小板数; 红细胞比容; 血红蛋白; 红细胞分布宽度-变异系数; 平均血红蛋白含量; 平均血红蛋白浓度; 血小板计数; 中性粒细胞百分数; 中性粒细胞绝对值; 淋巴细胞百分数; 淋巴细胞绝对值; 红细胞计数; 平均血小板体积; 红细胞平均体积; 血小板压积; 红细胞分布宽度-标准差; 血小板分布宽度; 单核细胞百分数; 单核细胞绝对值; 嗜酸性粒细胞百分数; 嗜酸性粒细胞绝对值; 嗜碱性粒细胞百分数; 嗜碱性粒细胞绝对值; 有核红细胞绝对值; 有核红细胞百分比; 不成熟粒细胞百分比; 不成熟粒细胞计数</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F6B58E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0E678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B44D33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13</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43BFB5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尿常规</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E5A1DD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尿常规</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A60587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kern w:val="2"/>
                <w:sz w:val="21"/>
                <w:szCs w:val="21"/>
                <w:highlight w:val="none"/>
                <w:u w:val="none"/>
                <w:lang w:val="en-US" w:eastAsia="zh-CN" w:bidi="ar-SA"/>
              </w:rPr>
            </w:pPr>
            <w:r>
              <w:rPr>
                <w:color w:val="000000"/>
              </w:rPr>
              <w:t>尿隐血; 尿比重; 尿葡萄糖; 尿蛋白质; 尿胆红素; 尿透明度; 尿白细胞（镜检）; 尿红细胞（镜检）; 尿胆原; 尿亚硝酸盐; 尿结晶（镜检）; 尿酮体; 尿白细胞酯酶; 尿其它; 尿液颜色; 尿酸碱度; 尿管型（镜检）; 尿维生素C; 尿上皮细胞（镜检）</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CCBA1B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3B4B5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CCB8DE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14</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BA0703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白带常规</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1AB556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cs="宋体" w:eastAsiaTheme="minorEastAsia"/>
                <w:i w:val="0"/>
                <w:iCs w:val="0"/>
                <w:color w:val="000000"/>
                <w:sz w:val="21"/>
                <w:szCs w:val="21"/>
                <w:highlight w:val="none"/>
                <w:u w:val="none"/>
                <w:lang w:val="en-US" w:eastAsia="zh-CN"/>
              </w:rPr>
            </w:pPr>
            <w:r>
              <w:rPr>
                <w:color w:val="000000"/>
              </w:rPr>
              <w:t>白带常规</w:t>
            </w:r>
            <w:r>
              <w:rPr>
                <w:rFonts w:hint="eastAsia"/>
                <w:color w:val="000000"/>
                <w:lang w:eastAsia="zh-CN"/>
              </w:rPr>
              <w:t>（</w:t>
            </w:r>
            <w:r>
              <w:rPr>
                <w:rFonts w:hint="eastAsia"/>
                <w:color w:val="000000"/>
                <w:lang w:val="en-US" w:eastAsia="zh-CN"/>
              </w:rPr>
              <w:t>已婚女性）</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83D2AF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kern w:val="2"/>
                <w:sz w:val="21"/>
                <w:szCs w:val="21"/>
                <w:highlight w:val="none"/>
                <w:u w:val="none"/>
                <w:lang w:val="en-US" w:eastAsia="zh-CN" w:bidi="ar-SA"/>
              </w:rPr>
            </w:pPr>
            <w:r>
              <w:rPr>
                <w:color w:val="000000"/>
              </w:rPr>
              <w:t>是妇科检查的常规项目（白带清洁度; 线索细胞; 滴虫; 真菌; 白细胞; 红细胞; 上皮细胞; 酸碱度; 其它），对于女性生殖系统炎症、肿瘤等疾病的诊断，是临床诊断阴道疾病的重要依据。</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BCF7FE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78764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0AF397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15</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FBC6D0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宫颈刮片</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595BC4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cs="宋体" w:eastAsiaTheme="minorEastAsia"/>
                <w:i w:val="0"/>
                <w:iCs w:val="0"/>
                <w:color w:val="000000"/>
                <w:sz w:val="21"/>
                <w:szCs w:val="21"/>
                <w:highlight w:val="none"/>
                <w:u w:val="none"/>
                <w:lang w:val="en-US" w:eastAsia="zh-CN"/>
              </w:rPr>
            </w:pPr>
            <w:r>
              <w:rPr>
                <w:color w:val="000000"/>
              </w:rPr>
              <w:t>宫颈脱落细胞检测(刮片)</w:t>
            </w:r>
            <w:r>
              <w:rPr>
                <w:rFonts w:hint="eastAsia"/>
                <w:color w:val="000000"/>
                <w:lang w:eastAsia="zh-CN"/>
              </w:rPr>
              <w:t>（</w:t>
            </w:r>
            <w:r>
              <w:rPr>
                <w:rFonts w:hint="eastAsia"/>
                <w:color w:val="000000"/>
                <w:lang w:val="en-US" w:eastAsia="zh-CN"/>
              </w:rPr>
              <w:t>已婚女性）</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4BF479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又称宫颈细胞巴氏分级，主要是宫颈癌细胞学检查，能检查出部分癌前病变以及微生物的感染。</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2497AA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2699A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25B622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16</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516282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肝功能</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F35F04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血清丙氨酸氨基转移酶测定(ALT)</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1A2743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kern w:val="2"/>
                <w:sz w:val="21"/>
                <w:szCs w:val="21"/>
                <w:highlight w:val="none"/>
                <w:u w:val="none"/>
                <w:lang w:val="en-US" w:eastAsia="zh-CN" w:bidi="ar-SA"/>
              </w:rPr>
            </w:pPr>
            <w:r>
              <w:rPr>
                <w:color w:val="000000"/>
              </w:rPr>
              <w:t>检测血清丙氨酸氨基转移酶，常见于肝功能检测之一。</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81FD45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2BB33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1D4431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17</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9C97D8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肾功能三项</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40A94A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血清尿素; 血清尿酸; 血清肌酐</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94B803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kern w:val="2"/>
                <w:sz w:val="21"/>
                <w:szCs w:val="21"/>
                <w:highlight w:val="none"/>
                <w:u w:val="none"/>
                <w:lang w:val="en-US" w:eastAsia="zh-CN" w:bidi="ar-SA"/>
              </w:rPr>
            </w:pPr>
            <w:r>
              <w:rPr>
                <w:color w:val="000000"/>
              </w:rPr>
              <w:t>用于肾脏功能检测，评估肾脏疾病风险。</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FAB9AC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5B2DD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6651C3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18</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A15DE0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血脂四项</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9DE0B9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血清总胆固醇; 血清甘油三酯; 血清高密度脂蛋白胆固醇; 血清低密度脂蛋白胆固醇</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4EE4D4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kern w:val="2"/>
                <w:sz w:val="21"/>
                <w:szCs w:val="21"/>
                <w:highlight w:val="none"/>
                <w:u w:val="none"/>
                <w:lang w:val="en-US" w:eastAsia="zh-CN" w:bidi="ar-SA"/>
              </w:rPr>
            </w:pPr>
            <w:r>
              <w:rPr>
                <w:color w:val="000000"/>
              </w:rPr>
              <w:t>是早期发现高脂血症、协助诊断动脉粥样硬化症，评价患冠心病和脑梗死等疾病的风险，检测药物治疗疗效等的重要指标。</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174DED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07113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2CF830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19</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7D57185">
            <w:pPr>
              <w:keepNext w:val="0"/>
              <w:keepLines w:val="0"/>
              <w:pageBreakBefore w:val="0"/>
              <w:kinsoku/>
              <w:wordWrap/>
              <w:overflowPunct/>
              <w:topLinePunct w:val="0"/>
              <w:autoSpaceDE/>
              <w:autoSpaceDN/>
              <w:bidi w:val="0"/>
              <w:adjustRightInd/>
              <w:snapToGrid/>
              <w:spacing w:line="240" w:lineRule="exact"/>
              <w:jc w:val="center"/>
              <w:rPr>
                <w:color w:val="000000"/>
              </w:rPr>
            </w:pPr>
            <w:r>
              <w:rPr>
                <w:color w:val="000000"/>
              </w:rPr>
              <w:t>肿瘤标志物</w:t>
            </w:r>
          </w:p>
          <w:p w14:paraId="35226BF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检测</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93DBC7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癌胚抗原测定(CEA)定量</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F6D64C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kern w:val="2"/>
                <w:sz w:val="21"/>
                <w:szCs w:val="21"/>
                <w:highlight w:val="none"/>
                <w:u w:val="none"/>
                <w:lang w:val="en-US" w:eastAsia="zh-CN" w:bidi="ar-SA"/>
              </w:rPr>
            </w:pPr>
            <w:r>
              <w:rPr>
                <w:color w:val="000000"/>
              </w:rPr>
              <w:t>为广谱肿瘤标志物，可提示直肠癌、结肠癌、肺癌、乳腺癌、胰腺癌等</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A84763D">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44E7C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B5573DE">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20</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B3E274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糖尿病检测</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85BF0C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空腹血糖(GLU)</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5AEC03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血糖(blood suger)即血液中的葡萄糖。在评估机体糖代谢状态、诊断糖代谢紊乱相关疾病，指导临床医师制定并适时调整治疗方案等方面具有重要价值。</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6E20E1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412A8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6509C4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highlight w:val="none"/>
              </w:rPr>
              <w:t>21</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E568A63">
            <w:pPr>
              <w:keepNext w:val="0"/>
              <w:keepLines w:val="0"/>
              <w:pageBreakBefore w:val="0"/>
              <w:kinsoku/>
              <w:wordWrap/>
              <w:overflowPunct/>
              <w:topLinePunct w:val="0"/>
              <w:autoSpaceDE/>
              <w:autoSpaceDN/>
              <w:bidi w:val="0"/>
              <w:adjustRightInd/>
              <w:snapToGrid/>
              <w:spacing w:line="240" w:lineRule="exact"/>
              <w:jc w:val="center"/>
              <w:rPr>
                <w:color w:val="000000"/>
                <w:highlight w:val="none"/>
              </w:rPr>
            </w:pPr>
            <w:r>
              <w:rPr>
                <w:color w:val="000000"/>
                <w:highlight w:val="none"/>
              </w:rPr>
              <w:t>幽门螺杆菌</w:t>
            </w:r>
          </w:p>
          <w:p w14:paraId="0AB5242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cs="宋体" w:eastAsiaTheme="minorEastAsia"/>
                <w:i w:val="0"/>
                <w:iCs w:val="0"/>
                <w:color w:val="000000"/>
                <w:sz w:val="21"/>
                <w:szCs w:val="21"/>
                <w:highlight w:val="none"/>
                <w:u w:val="none"/>
                <w:lang w:val="en-US" w:eastAsia="zh-CN"/>
              </w:rPr>
            </w:pPr>
            <w:r>
              <w:rPr>
                <w:color w:val="000000"/>
                <w:highlight w:val="none"/>
              </w:rPr>
              <w:t>检测</w:t>
            </w:r>
            <w:r>
              <w:rPr>
                <w:rFonts w:hint="eastAsia"/>
                <w:color w:val="000000"/>
                <w:highlight w:val="none"/>
                <w:lang w:eastAsia="zh-CN"/>
              </w:rPr>
              <w:t>（</w:t>
            </w:r>
            <w:r>
              <w:rPr>
                <w:rFonts w:hint="eastAsia"/>
                <w:color w:val="000000"/>
                <w:highlight w:val="none"/>
                <w:lang w:val="en-US" w:eastAsia="zh-CN"/>
              </w:rPr>
              <w:t>男性员工）</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32F0C2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highlight w:val="none"/>
              </w:rPr>
              <w:t>幽门螺杆菌IgG抗体</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7127CC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highlight w:val="none"/>
              </w:rPr>
              <w:t>判断胃内有无该细菌感染，此感染与胃炎、消化性溃疡、胃癌等发病关系密切</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16E74F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yellow"/>
                <w:u w:val="none"/>
              </w:rPr>
            </w:pPr>
          </w:p>
        </w:tc>
      </w:tr>
      <w:tr w14:paraId="535A9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EE5F04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22</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FDA376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其他</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7DD2D2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DR数字云胶片</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72265B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数字化X线摄影（DR）检查项目的配套服务，通过云端存储和数字化管理实现医学影像的长期保存便捷调阅。</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E6DB0E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69241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70ED18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23</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91AC625">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彩色多普勒超声常规检查-腹部</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C8B3EB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双肾彩超; 肝脏彩超; 胆囊彩超; 脾脏彩超; 胰腺彩超</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7114E2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更清晰的观察各脏器有无炎症、囊肿、肿瘤、结石、积水等。</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8C3960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2EA71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7983D3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24</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0E0CDE8">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彩色多普勒超声常规检查-妇科</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8894C8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cs="宋体" w:eastAsiaTheme="minorEastAsia"/>
                <w:i w:val="0"/>
                <w:iCs w:val="0"/>
                <w:color w:val="000000"/>
                <w:sz w:val="21"/>
                <w:szCs w:val="21"/>
                <w:highlight w:val="none"/>
                <w:u w:val="none"/>
                <w:lang w:val="en-US" w:eastAsia="zh-CN"/>
              </w:rPr>
            </w:pPr>
            <w:r>
              <w:rPr>
                <w:color w:val="000000"/>
              </w:rPr>
              <w:t>附件彩超(经腹部）; 子宫彩超(经腹部</w:t>
            </w:r>
            <w:r>
              <w:rPr>
                <w:rFonts w:hint="eastAsia"/>
                <w:color w:val="000000"/>
                <w:lang w:eastAsia="zh-CN"/>
              </w:rPr>
              <w:t>）（</w:t>
            </w:r>
            <w:r>
              <w:rPr>
                <w:rFonts w:hint="eastAsia"/>
                <w:color w:val="000000"/>
                <w:lang w:val="en-US" w:eastAsia="zh-CN"/>
              </w:rPr>
              <w:t>女性）</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B1BA20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更清晰的观察子宫、卵巢、盆腔等生殖器是否有病变发生。</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997673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4F40A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31B589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25</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B34B73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乳腺超声</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232EAD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cs="宋体" w:eastAsiaTheme="minorEastAsia"/>
                <w:i w:val="0"/>
                <w:iCs w:val="0"/>
                <w:color w:val="000000"/>
                <w:sz w:val="21"/>
                <w:szCs w:val="21"/>
                <w:highlight w:val="none"/>
                <w:u w:val="none"/>
                <w:lang w:val="en-US" w:eastAsia="zh-CN"/>
              </w:rPr>
            </w:pPr>
            <w:r>
              <w:rPr>
                <w:color w:val="000000"/>
              </w:rPr>
              <w:t>乳腺彩超</w:t>
            </w:r>
            <w:r>
              <w:rPr>
                <w:rFonts w:hint="eastAsia"/>
                <w:color w:val="000000"/>
                <w:lang w:eastAsia="zh-CN"/>
              </w:rPr>
              <w:t>（</w:t>
            </w:r>
            <w:r>
              <w:rPr>
                <w:rFonts w:hint="eastAsia"/>
                <w:color w:val="000000"/>
                <w:lang w:val="en-US" w:eastAsia="zh-CN"/>
              </w:rPr>
              <w:t>女性）</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5A1B0E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可提示有否乳腺肿块或乳腺占位性病变等。</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22E2EFC">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69C31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526F80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26</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520D7F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甲状腺彩超</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53C5E0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cs="宋体" w:eastAsiaTheme="minorEastAsia"/>
                <w:i w:val="0"/>
                <w:iCs w:val="0"/>
                <w:color w:val="000000"/>
                <w:sz w:val="21"/>
                <w:szCs w:val="21"/>
                <w:highlight w:val="none"/>
                <w:u w:val="none"/>
                <w:lang w:val="en-US" w:eastAsia="zh-CN"/>
              </w:rPr>
            </w:pPr>
            <w:r>
              <w:rPr>
                <w:color w:val="000000"/>
              </w:rPr>
              <w:t>甲状腺彩超</w:t>
            </w:r>
            <w:r>
              <w:rPr>
                <w:rFonts w:hint="eastAsia"/>
                <w:color w:val="000000"/>
                <w:lang w:eastAsia="zh-CN"/>
              </w:rPr>
              <w:t>（</w:t>
            </w:r>
            <w:r>
              <w:rPr>
                <w:rFonts w:hint="eastAsia"/>
                <w:color w:val="000000"/>
                <w:lang w:val="en-US" w:eastAsia="zh-CN"/>
              </w:rPr>
              <w:t>男性）</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34A5627">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检查甲状腺的结构及形态，发现甲状腺异常病变。</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81680BB">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634D4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6078909">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27</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8A952E1">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前列腺超声</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244CAD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cs="宋体" w:eastAsiaTheme="minorEastAsia"/>
                <w:i w:val="0"/>
                <w:iCs w:val="0"/>
                <w:color w:val="000000"/>
                <w:sz w:val="21"/>
                <w:szCs w:val="21"/>
                <w:highlight w:val="none"/>
                <w:u w:val="none"/>
                <w:lang w:val="en-US" w:eastAsia="zh-CN"/>
              </w:rPr>
            </w:pPr>
            <w:r>
              <w:rPr>
                <w:color w:val="000000"/>
              </w:rPr>
              <w:t>前列腺彩超</w:t>
            </w:r>
            <w:r>
              <w:rPr>
                <w:rFonts w:hint="eastAsia"/>
                <w:color w:val="000000"/>
                <w:lang w:eastAsia="zh-CN"/>
              </w:rPr>
              <w:t>（</w:t>
            </w:r>
            <w:r>
              <w:rPr>
                <w:rFonts w:hint="eastAsia"/>
                <w:color w:val="000000"/>
                <w:lang w:val="en-US" w:eastAsia="zh-CN"/>
              </w:rPr>
              <w:t>男性）</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7F1EF04">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检查能较好的显示前列腺的形态、大小，对于前列腺增生、肥大、钙化等疾病具有诊断意义。提供高清晰度的动态彩色超声断层图像诊断。</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A7FA616">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70F16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6E8B62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28</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BA7E25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胸部DR</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14EB2F0">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胸部正位片</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FC6E883">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color w:val="000000"/>
              </w:rPr>
              <w:t>适用于肺部疾病及心脏、主动脉、纵隔、横膈疾病等的检查。</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2FDA392">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p>
        </w:tc>
      </w:tr>
      <w:tr w14:paraId="5A3B0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C3E71E1">
            <w:pPr>
              <w:keepNext w:val="0"/>
              <w:keepLines w:val="0"/>
              <w:pageBreakBefore w:val="0"/>
              <w:kinsoku/>
              <w:wordWrap/>
              <w:overflowPunct/>
              <w:topLinePunct w:val="0"/>
              <w:autoSpaceDE/>
              <w:autoSpaceDN/>
              <w:bidi w:val="0"/>
              <w:adjustRightInd/>
              <w:snapToGrid/>
              <w:spacing w:line="240" w:lineRule="exact"/>
              <w:jc w:val="center"/>
              <w:rPr>
                <w:color w:val="000000"/>
              </w:rPr>
            </w:pPr>
            <w:r>
              <w:rPr>
                <w:b/>
              </w:rPr>
              <w:t>序号</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D795489">
            <w:pPr>
              <w:keepNext w:val="0"/>
              <w:keepLines w:val="0"/>
              <w:pageBreakBefore w:val="0"/>
              <w:kinsoku/>
              <w:wordWrap/>
              <w:overflowPunct/>
              <w:topLinePunct w:val="0"/>
              <w:autoSpaceDE/>
              <w:autoSpaceDN/>
              <w:bidi w:val="0"/>
              <w:adjustRightInd/>
              <w:snapToGrid/>
              <w:spacing w:line="240" w:lineRule="exact"/>
              <w:jc w:val="center"/>
              <w:rPr>
                <w:color w:val="000000"/>
              </w:rPr>
            </w:pPr>
            <w:r>
              <w:rPr>
                <w:b/>
              </w:rPr>
              <w:t>检查大类</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100E80A">
            <w:pPr>
              <w:keepNext w:val="0"/>
              <w:keepLines w:val="0"/>
              <w:pageBreakBefore w:val="0"/>
              <w:kinsoku/>
              <w:wordWrap/>
              <w:overflowPunct/>
              <w:topLinePunct w:val="0"/>
              <w:autoSpaceDE/>
              <w:autoSpaceDN/>
              <w:bidi w:val="0"/>
              <w:adjustRightInd/>
              <w:snapToGrid/>
              <w:spacing w:line="240" w:lineRule="exact"/>
              <w:jc w:val="center"/>
              <w:rPr>
                <w:color w:val="000000"/>
              </w:rPr>
            </w:pPr>
            <w:r>
              <w:rPr>
                <w:b/>
              </w:rPr>
              <w:t>增加项目（投标人自行按序添加）</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E8EC0E7">
            <w:pPr>
              <w:keepNext w:val="0"/>
              <w:keepLines w:val="0"/>
              <w:pageBreakBefore w:val="0"/>
              <w:kinsoku/>
              <w:wordWrap/>
              <w:overflowPunct/>
              <w:topLinePunct w:val="0"/>
              <w:autoSpaceDE/>
              <w:autoSpaceDN/>
              <w:bidi w:val="0"/>
              <w:adjustRightInd/>
              <w:snapToGrid/>
              <w:spacing w:line="240" w:lineRule="exact"/>
              <w:jc w:val="center"/>
              <w:rPr>
                <w:color w:val="000000"/>
              </w:rPr>
            </w:pPr>
            <w:r>
              <w:rPr>
                <w:b/>
              </w:rPr>
              <w:t>检查目的</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5B08B7A">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rPr>
              <w:t>备注</w:t>
            </w:r>
          </w:p>
        </w:tc>
      </w:tr>
      <w:tr w14:paraId="7B288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76339AD">
            <w:pPr>
              <w:keepNext w:val="0"/>
              <w:keepLines w:val="0"/>
              <w:pageBreakBefore w:val="0"/>
              <w:kinsoku/>
              <w:wordWrap/>
              <w:overflowPunct/>
              <w:topLinePunct w:val="0"/>
              <w:autoSpaceDE/>
              <w:autoSpaceDN/>
              <w:bidi w:val="0"/>
              <w:adjustRightInd/>
              <w:snapToGrid/>
              <w:spacing w:line="240" w:lineRule="exact"/>
              <w:jc w:val="center"/>
              <w:rPr>
                <w:color w:val="000000"/>
              </w:rPr>
            </w:pPr>
            <w:r>
              <w:rPr>
                <w:b w:val="0"/>
              </w:rPr>
              <w:t>..</w:t>
            </w: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0F1BC80">
            <w:pPr>
              <w:keepNext w:val="0"/>
              <w:keepLines w:val="0"/>
              <w:pageBreakBefore w:val="0"/>
              <w:kinsoku/>
              <w:wordWrap/>
              <w:overflowPunct/>
              <w:topLinePunct w:val="0"/>
              <w:autoSpaceDE/>
              <w:autoSpaceDN/>
              <w:bidi w:val="0"/>
              <w:adjustRightInd/>
              <w:snapToGrid/>
              <w:spacing w:line="240" w:lineRule="exact"/>
              <w:jc w:val="center"/>
              <w:rPr>
                <w:color w:val="000000"/>
              </w:rPr>
            </w:pPr>
            <w:r>
              <w:rPr>
                <w:b w:val="0"/>
              </w:rPr>
              <w:t>....</w:t>
            </w: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4A7A64C">
            <w:pPr>
              <w:keepNext w:val="0"/>
              <w:keepLines w:val="0"/>
              <w:pageBreakBefore w:val="0"/>
              <w:kinsoku/>
              <w:wordWrap/>
              <w:overflowPunct/>
              <w:topLinePunct w:val="0"/>
              <w:autoSpaceDE/>
              <w:autoSpaceDN/>
              <w:bidi w:val="0"/>
              <w:adjustRightInd/>
              <w:snapToGrid/>
              <w:spacing w:line="240" w:lineRule="exact"/>
              <w:jc w:val="center"/>
              <w:rPr>
                <w:color w:val="000000"/>
              </w:rPr>
            </w:pPr>
            <w:r>
              <w:rPr>
                <w:b w:val="0"/>
              </w:rPr>
              <w:t>...</w:t>
            </w: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F7B6E30">
            <w:pPr>
              <w:keepNext w:val="0"/>
              <w:keepLines w:val="0"/>
              <w:pageBreakBefore w:val="0"/>
              <w:kinsoku/>
              <w:wordWrap/>
              <w:overflowPunct/>
              <w:topLinePunct w:val="0"/>
              <w:autoSpaceDE/>
              <w:autoSpaceDN/>
              <w:bidi w:val="0"/>
              <w:adjustRightInd/>
              <w:snapToGrid/>
              <w:spacing w:line="240" w:lineRule="exact"/>
              <w:jc w:val="center"/>
              <w:rPr>
                <w:color w:val="000000"/>
              </w:rPr>
            </w:pPr>
            <w:r>
              <w:rPr>
                <w:b w:val="0"/>
              </w:rPr>
              <w:t>...</w:t>
            </w: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A278B8F">
            <w:pPr>
              <w:keepNext w:val="0"/>
              <w:keepLines w:val="0"/>
              <w:pageBreakBefore w:val="0"/>
              <w:kinsoku/>
              <w:wordWrap/>
              <w:overflowPunct/>
              <w:topLinePunct w:val="0"/>
              <w:autoSpaceDE/>
              <w:autoSpaceDN/>
              <w:bidi w:val="0"/>
              <w:adjustRightInd/>
              <w:snapToGrid/>
              <w:spacing w:line="240" w:lineRule="exact"/>
              <w:jc w:val="center"/>
              <w:rPr>
                <w:rFonts w:hint="eastAsia" w:ascii="Times New Roman" w:hAnsi="Times New Roman" w:eastAsia="宋体" w:cs="宋体"/>
                <w:i w:val="0"/>
                <w:iCs w:val="0"/>
                <w:color w:val="000000"/>
                <w:sz w:val="21"/>
                <w:szCs w:val="21"/>
                <w:highlight w:val="none"/>
                <w:u w:val="none"/>
              </w:rPr>
            </w:pPr>
            <w:r>
              <w:rPr>
                <w:b w:val="0"/>
              </w:rPr>
              <w:t>...</w:t>
            </w:r>
          </w:p>
        </w:tc>
      </w:tr>
      <w:tr w14:paraId="759AA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F2AE32B">
            <w:pPr>
              <w:keepNext w:val="0"/>
              <w:keepLines w:val="0"/>
              <w:pageBreakBefore w:val="0"/>
              <w:kinsoku/>
              <w:wordWrap/>
              <w:overflowPunct/>
              <w:topLinePunct w:val="0"/>
              <w:autoSpaceDE/>
              <w:autoSpaceDN/>
              <w:bidi w:val="0"/>
              <w:adjustRightInd/>
              <w:snapToGrid/>
              <w:spacing w:line="240" w:lineRule="exact"/>
              <w:jc w:val="center"/>
              <w:rPr>
                <w:b w:val="0"/>
              </w:rPr>
            </w:pPr>
          </w:p>
        </w:tc>
        <w:tc>
          <w:tcPr>
            <w:tcW w:w="13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7FCA917">
            <w:pPr>
              <w:keepNext w:val="0"/>
              <w:keepLines w:val="0"/>
              <w:pageBreakBefore w:val="0"/>
              <w:kinsoku/>
              <w:wordWrap/>
              <w:overflowPunct/>
              <w:topLinePunct w:val="0"/>
              <w:autoSpaceDE/>
              <w:autoSpaceDN/>
              <w:bidi w:val="0"/>
              <w:adjustRightInd/>
              <w:snapToGrid/>
              <w:spacing w:line="240" w:lineRule="exact"/>
              <w:jc w:val="center"/>
              <w:rPr>
                <w:b w:val="0"/>
              </w:rPr>
            </w:pPr>
          </w:p>
        </w:tc>
        <w:tc>
          <w:tcPr>
            <w:tcW w:w="240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B6A5440">
            <w:pPr>
              <w:keepNext w:val="0"/>
              <w:keepLines w:val="0"/>
              <w:pageBreakBefore w:val="0"/>
              <w:kinsoku/>
              <w:wordWrap/>
              <w:overflowPunct/>
              <w:topLinePunct w:val="0"/>
              <w:autoSpaceDE/>
              <w:autoSpaceDN/>
              <w:bidi w:val="0"/>
              <w:adjustRightInd/>
              <w:snapToGrid/>
              <w:spacing w:line="240" w:lineRule="exact"/>
              <w:jc w:val="center"/>
              <w:rPr>
                <w:b w:val="0"/>
              </w:rPr>
            </w:pPr>
          </w:p>
        </w:tc>
        <w:tc>
          <w:tcPr>
            <w:tcW w:w="358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E6A3ADA">
            <w:pPr>
              <w:keepNext w:val="0"/>
              <w:keepLines w:val="0"/>
              <w:pageBreakBefore w:val="0"/>
              <w:kinsoku/>
              <w:wordWrap/>
              <w:overflowPunct/>
              <w:topLinePunct w:val="0"/>
              <w:autoSpaceDE/>
              <w:autoSpaceDN/>
              <w:bidi w:val="0"/>
              <w:adjustRightInd/>
              <w:snapToGrid/>
              <w:spacing w:line="240" w:lineRule="exact"/>
              <w:jc w:val="center"/>
              <w:rPr>
                <w:b w:val="0"/>
              </w:rPr>
            </w:pPr>
          </w:p>
        </w:tc>
        <w:tc>
          <w:tcPr>
            <w:tcW w:w="124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125A65B">
            <w:pPr>
              <w:keepNext w:val="0"/>
              <w:keepLines w:val="0"/>
              <w:pageBreakBefore w:val="0"/>
              <w:kinsoku/>
              <w:wordWrap/>
              <w:overflowPunct/>
              <w:topLinePunct w:val="0"/>
              <w:autoSpaceDE/>
              <w:autoSpaceDN/>
              <w:bidi w:val="0"/>
              <w:adjustRightInd/>
              <w:snapToGrid/>
              <w:spacing w:line="240" w:lineRule="exact"/>
              <w:jc w:val="center"/>
              <w:rPr>
                <w:b w:val="0"/>
              </w:rPr>
            </w:pPr>
          </w:p>
        </w:tc>
      </w:tr>
      <w:tr w14:paraId="78433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157"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20D49C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cs="宋体" w:eastAsiaTheme="minorEastAsia"/>
                <w:i w:val="0"/>
                <w:iCs w:val="0"/>
                <w:color w:val="000000"/>
                <w:sz w:val="21"/>
                <w:szCs w:val="21"/>
                <w:highlight w:val="none"/>
                <w:u w:val="none"/>
                <w:lang w:val="en-US" w:eastAsia="zh-CN"/>
              </w:rPr>
            </w:pPr>
            <w:r>
              <w:rPr>
                <w:b/>
                <w:color w:val="000000"/>
              </w:rPr>
              <w:t>套餐</w:t>
            </w:r>
            <w:r>
              <w:rPr>
                <w:rFonts w:hint="eastAsia"/>
                <w:b/>
                <w:color w:val="000000"/>
                <w:lang w:val="en-US" w:eastAsia="zh-CN"/>
              </w:rPr>
              <w:t>单价限价</w:t>
            </w:r>
          </w:p>
        </w:tc>
        <w:tc>
          <w:tcPr>
            <w:tcW w:w="8585" w:type="dxa"/>
            <w:gridSpan w:val="4"/>
            <w:tcBorders>
              <w:top w:val="single" w:color="000000" w:sz="4" w:space="0"/>
              <w:left w:val="single" w:color="000000" w:sz="4" w:space="0"/>
              <w:bottom w:val="single" w:color="000000" w:sz="4" w:space="0"/>
              <w:right w:val="single" w:color="000000" w:sz="12" w:space="0"/>
            </w:tcBorders>
            <w:shd w:val="clear" w:color="auto" w:fill="auto"/>
            <w:vAlign w:val="center"/>
          </w:tcPr>
          <w:p w14:paraId="6C21B87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宋体" w:cs="宋体"/>
                <w:i w:val="0"/>
                <w:iCs w:val="0"/>
                <w:color w:val="000000"/>
                <w:sz w:val="21"/>
                <w:szCs w:val="21"/>
                <w:highlight w:val="none"/>
                <w:u w:val="none"/>
                <w:lang w:val="en-US" w:eastAsia="zh-CN"/>
              </w:rPr>
            </w:pPr>
            <w:r>
              <w:rPr>
                <w:rFonts w:hint="eastAsia" w:ascii="Times New Roman" w:hAnsi="Times New Roman" w:eastAsia="宋体" w:cs="宋体"/>
                <w:i w:val="0"/>
                <w:iCs w:val="0"/>
                <w:color w:val="000000"/>
                <w:sz w:val="21"/>
                <w:szCs w:val="21"/>
                <w:highlight w:val="none"/>
                <w:u w:val="none"/>
                <w:lang w:val="en-US" w:eastAsia="zh-CN"/>
              </w:rPr>
              <w:t xml:space="preserve">  不超过360元/人</w:t>
            </w:r>
          </w:p>
        </w:tc>
      </w:tr>
    </w:tbl>
    <w:p w14:paraId="203418A2">
      <w:pPr>
        <w:rPr>
          <w:rFonts w:hint="eastAsia" w:hAnsi="宋体" w:cs="宋体"/>
          <w:bCs w:val="0"/>
          <w:sz w:val="21"/>
          <w:szCs w:val="21"/>
          <w:highlight w:val="none"/>
          <w:lang w:val="zh-CN"/>
        </w:rPr>
      </w:pPr>
    </w:p>
    <w:p w14:paraId="27E5EC83">
      <w:pPr>
        <w:rPr>
          <w:rFonts w:hint="default" w:hAnsi="宋体" w:cs="宋体" w:eastAsiaTheme="minorEastAsia"/>
          <w:bCs w:val="0"/>
          <w:sz w:val="21"/>
          <w:szCs w:val="21"/>
          <w:highlight w:val="none"/>
          <w:lang w:val="en-US" w:eastAsia="zh-CN"/>
        </w:rPr>
      </w:pPr>
      <w:r>
        <w:rPr>
          <w:rFonts w:hint="eastAsia" w:hAnsi="宋体" w:cs="宋体"/>
          <w:b/>
          <w:bCs/>
          <w:sz w:val="21"/>
          <w:szCs w:val="21"/>
          <w:highlight w:val="none"/>
          <w:lang w:val="en-US" w:eastAsia="zh-CN"/>
        </w:rPr>
        <w:t>说明：</w:t>
      </w:r>
      <w:r>
        <w:rPr>
          <w:rFonts w:hint="eastAsia" w:hAnsi="宋体" w:cs="宋体"/>
          <w:bCs w:val="0"/>
          <w:sz w:val="21"/>
          <w:szCs w:val="21"/>
          <w:highlight w:val="none"/>
          <w:lang w:val="en-US" w:eastAsia="zh-CN"/>
        </w:rPr>
        <w:t>报价及商务文件不得随意调整招标人提供的体检项目顺序及名称等，如有需特殊说明情况，可以增加备注栏在后注明。顺序及内容不一致的招标人有权按照废标处理。本体检清单单人套餐价格与报价表不一致的，默认按报价表执行。</w:t>
      </w:r>
    </w:p>
    <w:p w14:paraId="6FB488C4">
      <w:pPr>
        <w:pStyle w:val="5"/>
        <w:ind w:firstLine="0" w:firstLineChars="0"/>
        <w:jc w:val="left"/>
        <w:rPr>
          <w:rFonts w:hint="eastAsia" w:ascii="Times New Roman" w:hAnsi="Times New Roman" w:eastAsia="黑体" w:cs="黑体"/>
          <w:b w:val="0"/>
          <w:bCs/>
          <w:sz w:val="24"/>
          <w:szCs w:val="24"/>
          <w:highlight w:val="none"/>
        </w:rPr>
      </w:pPr>
      <w:bookmarkStart w:id="81" w:name="_Toc11271"/>
      <w:r>
        <w:rPr>
          <w:rFonts w:hint="eastAsia" w:ascii="Times New Roman" w:hAnsi="Times New Roman" w:eastAsia="黑体" w:cs="黑体"/>
          <w:b w:val="0"/>
          <w:bCs/>
          <w:sz w:val="24"/>
          <w:szCs w:val="24"/>
          <w:highlight w:val="none"/>
          <w:lang w:val="zh-CN"/>
        </w:rPr>
        <w:t>格式</w:t>
      </w:r>
      <w:r>
        <w:rPr>
          <w:rFonts w:hint="eastAsia" w:ascii="Times New Roman" w:hAnsi="Times New Roman" w:eastAsia="黑体" w:cs="黑体"/>
          <w:b w:val="0"/>
          <w:bCs/>
          <w:sz w:val="24"/>
          <w:szCs w:val="24"/>
          <w:highlight w:val="none"/>
          <w:lang w:val="en-US" w:eastAsia="zh-CN"/>
        </w:rPr>
        <w:t>5</w:t>
      </w:r>
      <w:r>
        <w:rPr>
          <w:rFonts w:hint="eastAsia" w:ascii="Times New Roman" w:hAnsi="Times New Roman" w:eastAsia="黑体" w:cs="黑体"/>
          <w:b w:val="0"/>
          <w:bCs/>
          <w:sz w:val="24"/>
          <w:szCs w:val="24"/>
          <w:highlight w:val="none"/>
        </w:rPr>
        <w:t>：</w:t>
      </w:r>
      <w:r>
        <w:rPr>
          <w:rFonts w:hint="eastAsia" w:ascii="Times New Roman" w:hAnsi="Times New Roman" w:eastAsia="黑体" w:cs="黑体"/>
          <w:b w:val="0"/>
          <w:bCs/>
          <w:sz w:val="24"/>
          <w:szCs w:val="24"/>
          <w:highlight w:val="none"/>
          <w:lang w:val="en-US" w:eastAsia="zh-CN"/>
        </w:rPr>
        <w:t>招标文件</w:t>
      </w:r>
      <w:r>
        <w:rPr>
          <w:rFonts w:hint="eastAsia" w:ascii="Times New Roman" w:hAnsi="Times New Roman" w:eastAsia="黑体" w:cs="黑体"/>
          <w:b w:val="0"/>
          <w:bCs/>
          <w:sz w:val="24"/>
          <w:szCs w:val="24"/>
          <w:highlight w:val="none"/>
        </w:rPr>
        <w:t>响应情况清单</w:t>
      </w:r>
      <w:bookmarkEnd w:id="81"/>
    </w:p>
    <w:p w14:paraId="61BF18E8">
      <w:pPr>
        <w:keepNext w:val="0"/>
        <w:keepLines w:val="0"/>
        <w:pageBreakBefore w:val="0"/>
        <w:widowControl w:val="0"/>
        <w:kinsoku/>
        <w:wordWrap/>
        <w:overflowPunct/>
        <w:topLinePunct w:val="0"/>
        <w:autoSpaceDE/>
        <w:autoSpaceDN/>
        <w:bidi w:val="0"/>
        <w:adjustRightInd/>
        <w:snapToGrid/>
        <w:spacing w:after="120" w:line="560" w:lineRule="exact"/>
        <w:jc w:val="center"/>
        <w:textAlignment w:val="auto"/>
        <w:rPr>
          <w:rFonts w:hint="default" w:ascii="方正小标宋简体" w:hAnsi="方正小标宋简体" w:eastAsia="方正小标宋简体" w:cs="方正小标宋简体"/>
          <w:bCs/>
          <w:sz w:val="32"/>
          <w:szCs w:val="32"/>
          <w:highlight w:val="none"/>
          <w:lang w:val="en-US" w:eastAsia="zh-CN"/>
        </w:rPr>
      </w:pPr>
      <w:r>
        <w:rPr>
          <w:rFonts w:hint="eastAsia" w:ascii="方正小标宋简体" w:hAnsi="方正小标宋简体" w:eastAsia="方正小标宋简体" w:cs="方正小标宋简体"/>
          <w:bCs/>
          <w:sz w:val="32"/>
          <w:szCs w:val="32"/>
          <w:highlight w:val="none"/>
          <w:lang w:val="en-US" w:eastAsia="zh-CN"/>
        </w:rPr>
        <w:t>招标文件</w:t>
      </w:r>
      <w:r>
        <w:rPr>
          <w:rFonts w:hint="eastAsia" w:ascii="方正小标宋简体" w:hAnsi="方正小标宋简体" w:eastAsia="方正小标宋简体" w:cs="方正小标宋简体"/>
          <w:bCs/>
          <w:sz w:val="32"/>
          <w:szCs w:val="32"/>
          <w:highlight w:val="none"/>
          <w:lang w:val="zh-CN"/>
        </w:rPr>
        <w:t>响应</w:t>
      </w:r>
      <w:r>
        <w:rPr>
          <w:rFonts w:hint="eastAsia" w:ascii="方正小标宋简体" w:hAnsi="方正小标宋简体" w:eastAsia="方正小标宋简体" w:cs="方正小标宋简体"/>
          <w:bCs/>
          <w:sz w:val="32"/>
          <w:szCs w:val="32"/>
          <w:highlight w:val="none"/>
          <w:lang w:val="en-US" w:eastAsia="zh-CN"/>
        </w:rPr>
        <w:t>情况偏离表</w:t>
      </w:r>
    </w:p>
    <w:p w14:paraId="1A122723">
      <w:pPr>
        <w:spacing w:after="120"/>
        <w:rPr>
          <w:rFonts w:hint="eastAsia" w:asciiTheme="majorEastAsia" w:hAnsiTheme="majorEastAsia" w:eastAsiaTheme="majorEastAsia" w:cstheme="majorEastAsia"/>
          <w:bCs/>
          <w:szCs w:val="21"/>
          <w:highlight w:val="none"/>
          <w:u w:val="single"/>
        </w:rPr>
      </w:pPr>
      <w:r>
        <w:rPr>
          <w:rFonts w:hint="eastAsia" w:asciiTheme="majorEastAsia" w:hAnsiTheme="majorEastAsia" w:eastAsiaTheme="majorEastAsia" w:cstheme="majorEastAsia"/>
          <w:bCs/>
          <w:szCs w:val="21"/>
          <w:highlight w:val="none"/>
        </w:rPr>
        <w:t>投标人名称：</w:t>
      </w:r>
      <w:r>
        <w:rPr>
          <w:rFonts w:hint="eastAsia" w:asciiTheme="majorEastAsia" w:hAnsiTheme="majorEastAsia" w:eastAsiaTheme="majorEastAsia" w:cstheme="majorEastAsia"/>
          <w:bCs/>
          <w:szCs w:val="21"/>
          <w:highlight w:val="none"/>
          <w:lang w:val="en-US" w:eastAsia="zh-CN"/>
        </w:rPr>
        <w:t xml:space="preserve">                                    </w:t>
      </w:r>
      <w:r>
        <w:rPr>
          <w:rFonts w:hint="eastAsia" w:asciiTheme="majorEastAsia" w:hAnsiTheme="majorEastAsia" w:eastAsiaTheme="majorEastAsia" w:cstheme="majorEastAsia"/>
          <w:bCs/>
          <w:szCs w:val="21"/>
          <w:highlight w:val="none"/>
        </w:rPr>
        <w:t>投标</w:t>
      </w:r>
      <w:r>
        <w:rPr>
          <w:rFonts w:hint="eastAsia" w:asciiTheme="majorEastAsia" w:hAnsiTheme="majorEastAsia" w:eastAsiaTheme="majorEastAsia" w:cstheme="majorEastAsia"/>
          <w:bCs/>
          <w:szCs w:val="21"/>
          <w:highlight w:val="none"/>
          <w:lang w:val="en-US" w:eastAsia="zh-CN"/>
        </w:rPr>
        <w:t>编号</w:t>
      </w:r>
      <w:r>
        <w:rPr>
          <w:rFonts w:hint="eastAsia" w:asciiTheme="majorEastAsia" w:hAnsiTheme="majorEastAsia" w:eastAsiaTheme="majorEastAsia" w:cstheme="majorEastAsia"/>
          <w:bCs/>
          <w:szCs w:val="21"/>
          <w:highlight w:val="none"/>
        </w:rPr>
        <w:t>：</w:t>
      </w:r>
    </w:p>
    <w:tbl>
      <w:tblPr>
        <w:tblStyle w:val="15"/>
        <w:tblW w:w="9231" w:type="dxa"/>
        <w:tblInd w:w="4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686"/>
        <w:gridCol w:w="2344"/>
        <w:gridCol w:w="1472"/>
        <w:gridCol w:w="1453"/>
        <w:gridCol w:w="1652"/>
        <w:gridCol w:w="1624"/>
      </w:tblGrid>
      <w:tr w14:paraId="06A612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71" w:hRule="atLeast"/>
        </w:trPr>
        <w:tc>
          <w:tcPr>
            <w:tcW w:w="686" w:type="dxa"/>
            <w:tcBorders>
              <w:tl2br w:val="nil"/>
              <w:tr2bl w:val="nil"/>
            </w:tcBorders>
            <w:vAlign w:val="center"/>
          </w:tcPr>
          <w:p w14:paraId="4172E6C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
                <w:szCs w:val="21"/>
                <w:highlight w:val="none"/>
              </w:rPr>
            </w:pPr>
            <w:r>
              <w:rPr>
                <w:rFonts w:ascii="宋体" w:hAnsi="宋体"/>
                <w:b/>
                <w:szCs w:val="21"/>
                <w:highlight w:val="none"/>
              </w:rPr>
              <w:t>序号</w:t>
            </w:r>
          </w:p>
        </w:tc>
        <w:tc>
          <w:tcPr>
            <w:tcW w:w="2344" w:type="dxa"/>
            <w:tcBorders>
              <w:tl2br w:val="nil"/>
              <w:tr2bl w:val="nil"/>
            </w:tcBorders>
            <w:vAlign w:val="center"/>
          </w:tcPr>
          <w:p w14:paraId="5F55315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Theme="minorEastAsia"/>
                <w:b/>
                <w:szCs w:val="21"/>
                <w:highlight w:val="none"/>
                <w:lang w:val="en-US" w:eastAsia="zh-CN"/>
              </w:rPr>
            </w:pPr>
            <w:r>
              <w:rPr>
                <w:rFonts w:hint="eastAsia" w:ascii="宋体" w:hAnsi="宋体"/>
                <w:b/>
                <w:szCs w:val="21"/>
                <w:highlight w:val="none"/>
                <w:lang w:val="en-US" w:eastAsia="zh-CN"/>
              </w:rPr>
              <w:t>内容</w:t>
            </w:r>
          </w:p>
        </w:tc>
        <w:tc>
          <w:tcPr>
            <w:tcW w:w="1472" w:type="dxa"/>
            <w:tcBorders>
              <w:tl2br w:val="nil"/>
              <w:tr2bl w:val="nil"/>
            </w:tcBorders>
            <w:vAlign w:val="center"/>
          </w:tcPr>
          <w:p w14:paraId="550F944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b/>
                <w:szCs w:val="21"/>
                <w:highlight w:val="none"/>
                <w:lang w:val="en-US" w:eastAsia="zh-CN"/>
              </w:rPr>
            </w:pPr>
            <w:r>
              <w:rPr>
                <w:rFonts w:hint="eastAsia" w:ascii="宋体" w:hAnsi="宋体"/>
                <w:b/>
                <w:szCs w:val="21"/>
                <w:highlight w:val="none"/>
                <w:lang w:val="en-US" w:eastAsia="zh-CN"/>
              </w:rPr>
              <w:t>偏离性质</w:t>
            </w:r>
          </w:p>
          <w:p w14:paraId="752733F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b/>
                <w:szCs w:val="21"/>
                <w:highlight w:val="none"/>
                <w:lang w:val="en-US" w:eastAsia="zh-CN"/>
              </w:rPr>
            </w:pPr>
            <w:r>
              <w:rPr>
                <w:rFonts w:hint="eastAsia" w:ascii="宋体" w:hAnsi="宋体"/>
                <w:b/>
                <w:szCs w:val="21"/>
                <w:highlight w:val="none"/>
                <w:lang w:val="en-US" w:eastAsia="zh-CN"/>
              </w:rPr>
              <w:t>（选填正偏离、负偏离）</w:t>
            </w:r>
          </w:p>
        </w:tc>
        <w:tc>
          <w:tcPr>
            <w:tcW w:w="1453" w:type="dxa"/>
            <w:tcBorders>
              <w:tl2br w:val="nil"/>
              <w:tr2bl w:val="nil"/>
            </w:tcBorders>
            <w:vAlign w:val="center"/>
          </w:tcPr>
          <w:p w14:paraId="539010F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b/>
                <w:szCs w:val="21"/>
                <w:highlight w:val="none"/>
                <w:lang w:val="en-US" w:eastAsia="zh-CN"/>
              </w:rPr>
            </w:pPr>
            <w:r>
              <w:rPr>
                <w:rFonts w:hint="eastAsia" w:ascii="宋体" w:hAnsi="宋体"/>
                <w:b/>
                <w:szCs w:val="21"/>
                <w:highlight w:val="none"/>
                <w:lang w:val="en-US" w:eastAsia="zh-CN"/>
              </w:rPr>
              <w:t>偏离情况说明</w:t>
            </w:r>
          </w:p>
        </w:tc>
        <w:tc>
          <w:tcPr>
            <w:tcW w:w="1652" w:type="dxa"/>
            <w:tcBorders>
              <w:tl2br w:val="nil"/>
              <w:tr2bl w:val="nil"/>
            </w:tcBorders>
            <w:vAlign w:val="center"/>
          </w:tcPr>
          <w:p w14:paraId="3423878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b/>
                <w:szCs w:val="21"/>
                <w:highlight w:val="none"/>
                <w:lang w:val="en-US" w:eastAsia="zh-CN"/>
              </w:rPr>
            </w:pPr>
            <w:r>
              <w:rPr>
                <w:rFonts w:hint="eastAsia" w:ascii="宋体" w:hAnsi="宋体"/>
                <w:b/>
                <w:szCs w:val="21"/>
                <w:highlight w:val="none"/>
                <w:lang w:val="en-US" w:eastAsia="zh-CN"/>
              </w:rPr>
              <w:t>偏离情况对应投标文件页码</w:t>
            </w:r>
          </w:p>
        </w:tc>
        <w:tc>
          <w:tcPr>
            <w:tcW w:w="1624" w:type="dxa"/>
            <w:tcBorders>
              <w:tl2br w:val="nil"/>
              <w:tr2bl w:val="nil"/>
            </w:tcBorders>
            <w:vAlign w:val="center"/>
          </w:tcPr>
          <w:p w14:paraId="325D323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b/>
                <w:szCs w:val="21"/>
                <w:highlight w:val="none"/>
                <w:lang w:val="en-US" w:eastAsia="zh-CN"/>
              </w:rPr>
            </w:pPr>
            <w:r>
              <w:rPr>
                <w:rFonts w:hint="eastAsia" w:ascii="宋体" w:hAnsi="宋体"/>
                <w:b/>
                <w:szCs w:val="21"/>
                <w:highlight w:val="none"/>
                <w:lang w:val="en-US" w:eastAsia="zh-CN"/>
              </w:rPr>
              <w:t>备注</w:t>
            </w:r>
          </w:p>
        </w:tc>
      </w:tr>
      <w:tr w14:paraId="0AD6A9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97" w:hRule="atLeast"/>
        </w:trPr>
        <w:tc>
          <w:tcPr>
            <w:tcW w:w="686" w:type="dxa"/>
            <w:tcBorders>
              <w:tl2br w:val="nil"/>
              <w:tr2bl w:val="nil"/>
            </w:tcBorders>
            <w:vAlign w:val="center"/>
          </w:tcPr>
          <w:p w14:paraId="4A1143C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r>
              <w:rPr>
                <w:rFonts w:hint="eastAsia" w:ascii="宋体" w:hAnsi="宋体"/>
                <w:bCs/>
                <w:szCs w:val="21"/>
                <w:highlight w:val="none"/>
              </w:rPr>
              <w:t>1</w:t>
            </w:r>
          </w:p>
        </w:tc>
        <w:tc>
          <w:tcPr>
            <w:tcW w:w="2344" w:type="dxa"/>
            <w:tcBorders>
              <w:tl2br w:val="nil"/>
              <w:tr2bl w:val="nil"/>
            </w:tcBorders>
            <w:vAlign w:val="center"/>
          </w:tcPr>
          <w:p w14:paraId="24106754">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宋体" w:hAnsi="宋体" w:eastAsiaTheme="minorEastAsia"/>
                <w:bCs/>
                <w:szCs w:val="21"/>
                <w:highlight w:val="none"/>
                <w:lang w:val="en-US" w:eastAsia="zh-CN"/>
              </w:rPr>
            </w:pPr>
          </w:p>
        </w:tc>
        <w:tc>
          <w:tcPr>
            <w:tcW w:w="1472" w:type="dxa"/>
            <w:tcBorders>
              <w:tl2br w:val="nil"/>
              <w:tr2bl w:val="nil"/>
            </w:tcBorders>
            <w:vAlign w:val="center"/>
          </w:tcPr>
          <w:p w14:paraId="67013F2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c>
          <w:tcPr>
            <w:tcW w:w="1453" w:type="dxa"/>
            <w:tcBorders>
              <w:tl2br w:val="nil"/>
              <w:tr2bl w:val="nil"/>
            </w:tcBorders>
            <w:vAlign w:val="center"/>
          </w:tcPr>
          <w:p w14:paraId="7D96664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c>
          <w:tcPr>
            <w:tcW w:w="1652" w:type="dxa"/>
            <w:tcBorders>
              <w:tl2br w:val="nil"/>
              <w:tr2bl w:val="nil"/>
            </w:tcBorders>
            <w:vAlign w:val="center"/>
          </w:tcPr>
          <w:p w14:paraId="6FD65B4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c>
          <w:tcPr>
            <w:tcW w:w="1624" w:type="dxa"/>
            <w:tcBorders>
              <w:tl2br w:val="nil"/>
              <w:tr2bl w:val="nil"/>
            </w:tcBorders>
            <w:vAlign w:val="center"/>
          </w:tcPr>
          <w:p w14:paraId="66E303E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r>
      <w:tr w14:paraId="17FCFD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686" w:type="dxa"/>
            <w:tcBorders>
              <w:tl2br w:val="nil"/>
              <w:tr2bl w:val="nil"/>
            </w:tcBorders>
            <w:vAlign w:val="center"/>
          </w:tcPr>
          <w:p w14:paraId="35AA731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r>
              <w:rPr>
                <w:rFonts w:hint="eastAsia" w:ascii="宋体" w:hAnsi="宋体"/>
                <w:bCs/>
                <w:szCs w:val="21"/>
                <w:highlight w:val="none"/>
              </w:rPr>
              <w:t>2</w:t>
            </w:r>
          </w:p>
        </w:tc>
        <w:tc>
          <w:tcPr>
            <w:tcW w:w="2344" w:type="dxa"/>
            <w:tcBorders>
              <w:tl2br w:val="nil"/>
              <w:tr2bl w:val="nil"/>
            </w:tcBorders>
            <w:vAlign w:val="center"/>
          </w:tcPr>
          <w:p w14:paraId="6ACB0036">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ascii="宋体" w:hAnsi="宋体"/>
                <w:bCs/>
                <w:szCs w:val="21"/>
                <w:highlight w:val="none"/>
              </w:rPr>
            </w:pPr>
          </w:p>
        </w:tc>
        <w:tc>
          <w:tcPr>
            <w:tcW w:w="1472" w:type="dxa"/>
            <w:tcBorders>
              <w:tl2br w:val="nil"/>
              <w:tr2bl w:val="nil"/>
            </w:tcBorders>
            <w:vAlign w:val="center"/>
          </w:tcPr>
          <w:p w14:paraId="4C01CA9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c>
          <w:tcPr>
            <w:tcW w:w="1453" w:type="dxa"/>
            <w:tcBorders>
              <w:tl2br w:val="nil"/>
              <w:tr2bl w:val="nil"/>
            </w:tcBorders>
            <w:vAlign w:val="center"/>
          </w:tcPr>
          <w:p w14:paraId="3EAF302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c>
          <w:tcPr>
            <w:tcW w:w="1652" w:type="dxa"/>
            <w:tcBorders>
              <w:tl2br w:val="nil"/>
              <w:tr2bl w:val="nil"/>
            </w:tcBorders>
            <w:vAlign w:val="center"/>
          </w:tcPr>
          <w:p w14:paraId="75B9F81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c>
          <w:tcPr>
            <w:tcW w:w="1624" w:type="dxa"/>
            <w:tcBorders>
              <w:tl2br w:val="nil"/>
              <w:tr2bl w:val="nil"/>
            </w:tcBorders>
            <w:vAlign w:val="center"/>
          </w:tcPr>
          <w:p w14:paraId="3E7B8CA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r>
      <w:tr w14:paraId="6865E3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70" w:hRule="atLeast"/>
        </w:trPr>
        <w:tc>
          <w:tcPr>
            <w:tcW w:w="686" w:type="dxa"/>
            <w:tcBorders>
              <w:tl2br w:val="nil"/>
              <w:tr2bl w:val="nil"/>
            </w:tcBorders>
            <w:vAlign w:val="center"/>
          </w:tcPr>
          <w:p w14:paraId="2F86DD0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r>
              <w:rPr>
                <w:rFonts w:hint="eastAsia" w:ascii="宋体" w:hAnsi="宋体"/>
                <w:bCs/>
                <w:szCs w:val="21"/>
                <w:highlight w:val="none"/>
              </w:rPr>
              <w:t>3</w:t>
            </w:r>
          </w:p>
        </w:tc>
        <w:tc>
          <w:tcPr>
            <w:tcW w:w="2344" w:type="dxa"/>
            <w:tcBorders>
              <w:tl2br w:val="nil"/>
              <w:tr2bl w:val="nil"/>
            </w:tcBorders>
            <w:vAlign w:val="center"/>
          </w:tcPr>
          <w:p w14:paraId="32A6ECDC">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ascii="宋体" w:hAnsi="宋体"/>
                <w:bCs/>
                <w:szCs w:val="21"/>
                <w:highlight w:val="none"/>
              </w:rPr>
            </w:pPr>
          </w:p>
        </w:tc>
        <w:tc>
          <w:tcPr>
            <w:tcW w:w="1472" w:type="dxa"/>
            <w:tcBorders>
              <w:tl2br w:val="nil"/>
              <w:tr2bl w:val="nil"/>
            </w:tcBorders>
            <w:vAlign w:val="center"/>
          </w:tcPr>
          <w:p w14:paraId="615B8A6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c>
          <w:tcPr>
            <w:tcW w:w="1453" w:type="dxa"/>
            <w:tcBorders>
              <w:tl2br w:val="nil"/>
              <w:tr2bl w:val="nil"/>
            </w:tcBorders>
            <w:vAlign w:val="center"/>
          </w:tcPr>
          <w:p w14:paraId="4E5DC64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c>
          <w:tcPr>
            <w:tcW w:w="1652" w:type="dxa"/>
            <w:tcBorders>
              <w:tl2br w:val="nil"/>
              <w:tr2bl w:val="nil"/>
            </w:tcBorders>
            <w:vAlign w:val="center"/>
          </w:tcPr>
          <w:p w14:paraId="5E78CCD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c>
          <w:tcPr>
            <w:tcW w:w="1624" w:type="dxa"/>
            <w:tcBorders>
              <w:tl2br w:val="nil"/>
              <w:tr2bl w:val="nil"/>
            </w:tcBorders>
            <w:vAlign w:val="center"/>
          </w:tcPr>
          <w:p w14:paraId="12046E3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r>
      <w:tr w14:paraId="70D8C3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40" w:hRule="atLeast"/>
        </w:trPr>
        <w:tc>
          <w:tcPr>
            <w:tcW w:w="686" w:type="dxa"/>
            <w:tcBorders>
              <w:tl2br w:val="nil"/>
              <w:tr2bl w:val="nil"/>
            </w:tcBorders>
            <w:vAlign w:val="center"/>
          </w:tcPr>
          <w:p w14:paraId="464203B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r>
              <w:rPr>
                <w:rFonts w:hint="eastAsia" w:ascii="宋体" w:hAnsi="宋体"/>
                <w:bCs/>
                <w:szCs w:val="21"/>
                <w:highlight w:val="none"/>
              </w:rPr>
              <w:t>4</w:t>
            </w:r>
          </w:p>
        </w:tc>
        <w:tc>
          <w:tcPr>
            <w:tcW w:w="2344" w:type="dxa"/>
            <w:tcBorders>
              <w:tl2br w:val="nil"/>
              <w:tr2bl w:val="nil"/>
            </w:tcBorders>
            <w:vAlign w:val="center"/>
          </w:tcPr>
          <w:p w14:paraId="1D4187C5">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ascii="宋体" w:hAnsi="宋体"/>
                <w:bCs/>
                <w:szCs w:val="21"/>
                <w:highlight w:val="none"/>
              </w:rPr>
            </w:pPr>
          </w:p>
        </w:tc>
        <w:tc>
          <w:tcPr>
            <w:tcW w:w="1472" w:type="dxa"/>
            <w:tcBorders>
              <w:tl2br w:val="nil"/>
              <w:tr2bl w:val="nil"/>
            </w:tcBorders>
            <w:vAlign w:val="center"/>
          </w:tcPr>
          <w:p w14:paraId="00BD157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c>
          <w:tcPr>
            <w:tcW w:w="1453" w:type="dxa"/>
            <w:tcBorders>
              <w:tl2br w:val="nil"/>
              <w:tr2bl w:val="nil"/>
            </w:tcBorders>
            <w:vAlign w:val="center"/>
          </w:tcPr>
          <w:p w14:paraId="3C9449F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c>
          <w:tcPr>
            <w:tcW w:w="1652" w:type="dxa"/>
            <w:tcBorders>
              <w:tl2br w:val="nil"/>
              <w:tr2bl w:val="nil"/>
            </w:tcBorders>
            <w:vAlign w:val="center"/>
          </w:tcPr>
          <w:p w14:paraId="606170F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c>
          <w:tcPr>
            <w:tcW w:w="1624" w:type="dxa"/>
            <w:tcBorders>
              <w:tl2br w:val="nil"/>
              <w:tr2bl w:val="nil"/>
            </w:tcBorders>
            <w:vAlign w:val="center"/>
          </w:tcPr>
          <w:p w14:paraId="2CB5DF2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r>
      <w:tr w14:paraId="3D6356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55" w:hRule="atLeast"/>
        </w:trPr>
        <w:tc>
          <w:tcPr>
            <w:tcW w:w="686" w:type="dxa"/>
            <w:tcBorders>
              <w:tl2br w:val="nil"/>
              <w:tr2bl w:val="nil"/>
            </w:tcBorders>
            <w:vAlign w:val="center"/>
          </w:tcPr>
          <w:p w14:paraId="0C01002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r>
              <w:rPr>
                <w:rFonts w:hint="eastAsia" w:ascii="宋体" w:hAnsi="宋体"/>
                <w:bCs/>
                <w:szCs w:val="21"/>
                <w:highlight w:val="none"/>
              </w:rPr>
              <w:t>5</w:t>
            </w:r>
          </w:p>
        </w:tc>
        <w:tc>
          <w:tcPr>
            <w:tcW w:w="2344" w:type="dxa"/>
            <w:tcBorders>
              <w:tl2br w:val="nil"/>
              <w:tr2bl w:val="nil"/>
            </w:tcBorders>
            <w:vAlign w:val="center"/>
          </w:tcPr>
          <w:p w14:paraId="255FDEC9">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ascii="宋体" w:hAnsi="宋体"/>
                <w:bCs/>
                <w:szCs w:val="21"/>
                <w:highlight w:val="none"/>
              </w:rPr>
            </w:pPr>
          </w:p>
        </w:tc>
        <w:tc>
          <w:tcPr>
            <w:tcW w:w="1472" w:type="dxa"/>
            <w:tcBorders>
              <w:tl2br w:val="nil"/>
              <w:tr2bl w:val="nil"/>
            </w:tcBorders>
            <w:vAlign w:val="center"/>
          </w:tcPr>
          <w:p w14:paraId="38580B3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c>
          <w:tcPr>
            <w:tcW w:w="1453" w:type="dxa"/>
            <w:tcBorders>
              <w:tl2br w:val="nil"/>
              <w:tr2bl w:val="nil"/>
            </w:tcBorders>
            <w:vAlign w:val="center"/>
          </w:tcPr>
          <w:p w14:paraId="2BCBE8F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c>
          <w:tcPr>
            <w:tcW w:w="1652" w:type="dxa"/>
            <w:tcBorders>
              <w:tl2br w:val="nil"/>
              <w:tr2bl w:val="nil"/>
            </w:tcBorders>
            <w:vAlign w:val="center"/>
          </w:tcPr>
          <w:p w14:paraId="07DC37E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c>
          <w:tcPr>
            <w:tcW w:w="1624" w:type="dxa"/>
            <w:tcBorders>
              <w:tl2br w:val="nil"/>
              <w:tr2bl w:val="nil"/>
            </w:tcBorders>
            <w:vAlign w:val="center"/>
          </w:tcPr>
          <w:p w14:paraId="460D872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r>
      <w:tr w14:paraId="27D50A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53" w:hRule="atLeast"/>
        </w:trPr>
        <w:tc>
          <w:tcPr>
            <w:tcW w:w="686" w:type="dxa"/>
            <w:tcBorders>
              <w:tl2br w:val="nil"/>
              <w:tr2bl w:val="nil"/>
            </w:tcBorders>
            <w:vAlign w:val="center"/>
          </w:tcPr>
          <w:p w14:paraId="15B3F97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r>
              <w:rPr>
                <w:rFonts w:hint="eastAsia" w:ascii="宋体" w:hAnsi="宋体"/>
                <w:bCs/>
                <w:szCs w:val="21"/>
                <w:highlight w:val="none"/>
              </w:rPr>
              <w:t>6</w:t>
            </w:r>
          </w:p>
        </w:tc>
        <w:tc>
          <w:tcPr>
            <w:tcW w:w="2344" w:type="dxa"/>
            <w:tcBorders>
              <w:tl2br w:val="nil"/>
              <w:tr2bl w:val="nil"/>
            </w:tcBorders>
            <w:vAlign w:val="center"/>
          </w:tcPr>
          <w:p w14:paraId="246566FC">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ascii="宋体" w:hAnsi="宋体"/>
                <w:bCs/>
                <w:szCs w:val="21"/>
                <w:highlight w:val="none"/>
              </w:rPr>
            </w:pPr>
          </w:p>
        </w:tc>
        <w:tc>
          <w:tcPr>
            <w:tcW w:w="1472" w:type="dxa"/>
            <w:tcBorders>
              <w:tl2br w:val="nil"/>
              <w:tr2bl w:val="nil"/>
            </w:tcBorders>
            <w:vAlign w:val="center"/>
          </w:tcPr>
          <w:p w14:paraId="2FD549B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c>
          <w:tcPr>
            <w:tcW w:w="1453" w:type="dxa"/>
            <w:tcBorders>
              <w:tl2br w:val="nil"/>
              <w:tr2bl w:val="nil"/>
            </w:tcBorders>
            <w:vAlign w:val="center"/>
          </w:tcPr>
          <w:p w14:paraId="31307D4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c>
          <w:tcPr>
            <w:tcW w:w="1652" w:type="dxa"/>
            <w:tcBorders>
              <w:tl2br w:val="nil"/>
              <w:tr2bl w:val="nil"/>
            </w:tcBorders>
            <w:vAlign w:val="center"/>
          </w:tcPr>
          <w:p w14:paraId="39A4D3E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c>
          <w:tcPr>
            <w:tcW w:w="1624" w:type="dxa"/>
            <w:tcBorders>
              <w:tl2br w:val="nil"/>
              <w:tr2bl w:val="nil"/>
            </w:tcBorders>
            <w:vAlign w:val="center"/>
          </w:tcPr>
          <w:p w14:paraId="679423E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p>
        </w:tc>
      </w:tr>
      <w:tr w14:paraId="5F6E7E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03" w:hRule="atLeast"/>
        </w:trPr>
        <w:tc>
          <w:tcPr>
            <w:tcW w:w="686" w:type="dxa"/>
            <w:tcBorders>
              <w:tl2br w:val="nil"/>
              <w:tr2bl w:val="nil"/>
            </w:tcBorders>
            <w:vAlign w:val="center"/>
          </w:tcPr>
          <w:p w14:paraId="73D997E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r>
              <w:rPr>
                <w:rFonts w:hint="eastAsia" w:ascii="宋体" w:hAnsi="宋体"/>
                <w:bCs/>
                <w:szCs w:val="21"/>
                <w:highlight w:val="none"/>
              </w:rPr>
              <w:t>7</w:t>
            </w:r>
          </w:p>
        </w:tc>
        <w:tc>
          <w:tcPr>
            <w:tcW w:w="2344" w:type="dxa"/>
            <w:tcBorders>
              <w:tl2br w:val="nil"/>
              <w:tr2bl w:val="nil"/>
            </w:tcBorders>
          </w:tcPr>
          <w:p w14:paraId="65BB4B46">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bCs/>
                <w:szCs w:val="21"/>
                <w:highlight w:val="none"/>
              </w:rPr>
            </w:pPr>
          </w:p>
        </w:tc>
        <w:tc>
          <w:tcPr>
            <w:tcW w:w="1472" w:type="dxa"/>
            <w:tcBorders>
              <w:tl2br w:val="nil"/>
              <w:tr2bl w:val="nil"/>
            </w:tcBorders>
          </w:tcPr>
          <w:p w14:paraId="7BA5945F">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bCs/>
                <w:szCs w:val="21"/>
                <w:highlight w:val="none"/>
              </w:rPr>
            </w:pPr>
          </w:p>
        </w:tc>
        <w:tc>
          <w:tcPr>
            <w:tcW w:w="1453" w:type="dxa"/>
            <w:tcBorders>
              <w:tl2br w:val="nil"/>
              <w:tr2bl w:val="nil"/>
            </w:tcBorders>
          </w:tcPr>
          <w:p w14:paraId="6A6E034E">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bCs/>
                <w:szCs w:val="21"/>
                <w:highlight w:val="none"/>
              </w:rPr>
            </w:pPr>
          </w:p>
        </w:tc>
        <w:tc>
          <w:tcPr>
            <w:tcW w:w="1652" w:type="dxa"/>
            <w:tcBorders>
              <w:tl2br w:val="nil"/>
              <w:tr2bl w:val="nil"/>
            </w:tcBorders>
          </w:tcPr>
          <w:p w14:paraId="19B781DE">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bCs/>
                <w:szCs w:val="21"/>
                <w:highlight w:val="none"/>
              </w:rPr>
            </w:pPr>
          </w:p>
        </w:tc>
        <w:tc>
          <w:tcPr>
            <w:tcW w:w="1624" w:type="dxa"/>
            <w:tcBorders>
              <w:tl2br w:val="nil"/>
              <w:tr2bl w:val="nil"/>
            </w:tcBorders>
          </w:tcPr>
          <w:p w14:paraId="5D890B93">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bCs/>
                <w:szCs w:val="21"/>
                <w:highlight w:val="none"/>
              </w:rPr>
            </w:pPr>
          </w:p>
        </w:tc>
      </w:tr>
      <w:tr w14:paraId="13593D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4" w:hRule="atLeast"/>
        </w:trPr>
        <w:tc>
          <w:tcPr>
            <w:tcW w:w="686" w:type="dxa"/>
            <w:tcBorders>
              <w:tl2br w:val="nil"/>
              <w:tr2bl w:val="nil"/>
            </w:tcBorders>
            <w:vAlign w:val="center"/>
          </w:tcPr>
          <w:p w14:paraId="01F30C8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bCs/>
                <w:szCs w:val="21"/>
                <w:highlight w:val="none"/>
              </w:rPr>
            </w:pPr>
            <w:r>
              <w:rPr>
                <w:rFonts w:hint="eastAsia" w:ascii="宋体" w:hAnsi="宋体"/>
                <w:bCs/>
                <w:szCs w:val="21"/>
                <w:highlight w:val="none"/>
              </w:rPr>
              <w:t>8</w:t>
            </w:r>
          </w:p>
        </w:tc>
        <w:tc>
          <w:tcPr>
            <w:tcW w:w="2344" w:type="dxa"/>
            <w:tcBorders>
              <w:tl2br w:val="nil"/>
              <w:tr2bl w:val="nil"/>
            </w:tcBorders>
          </w:tcPr>
          <w:p w14:paraId="75B3400C">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ascii="宋体" w:hAnsi="宋体"/>
                <w:bCs/>
                <w:szCs w:val="21"/>
                <w:highlight w:val="none"/>
              </w:rPr>
            </w:pPr>
          </w:p>
        </w:tc>
        <w:tc>
          <w:tcPr>
            <w:tcW w:w="1472" w:type="dxa"/>
            <w:tcBorders>
              <w:tl2br w:val="nil"/>
              <w:tr2bl w:val="nil"/>
            </w:tcBorders>
          </w:tcPr>
          <w:p w14:paraId="1C4DD6AE">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bCs/>
                <w:szCs w:val="21"/>
                <w:highlight w:val="none"/>
              </w:rPr>
            </w:pPr>
          </w:p>
        </w:tc>
        <w:tc>
          <w:tcPr>
            <w:tcW w:w="1453" w:type="dxa"/>
            <w:tcBorders>
              <w:tl2br w:val="nil"/>
              <w:tr2bl w:val="nil"/>
            </w:tcBorders>
          </w:tcPr>
          <w:p w14:paraId="6276478B">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bCs/>
                <w:szCs w:val="21"/>
                <w:highlight w:val="none"/>
              </w:rPr>
            </w:pPr>
          </w:p>
        </w:tc>
        <w:tc>
          <w:tcPr>
            <w:tcW w:w="1652" w:type="dxa"/>
            <w:tcBorders>
              <w:tl2br w:val="nil"/>
              <w:tr2bl w:val="nil"/>
            </w:tcBorders>
          </w:tcPr>
          <w:p w14:paraId="38D19655">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bCs/>
                <w:szCs w:val="21"/>
                <w:highlight w:val="none"/>
              </w:rPr>
            </w:pPr>
          </w:p>
        </w:tc>
        <w:tc>
          <w:tcPr>
            <w:tcW w:w="1624" w:type="dxa"/>
            <w:tcBorders>
              <w:tl2br w:val="nil"/>
              <w:tr2bl w:val="nil"/>
            </w:tcBorders>
          </w:tcPr>
          <w:p w14:paraId="1B9438C6">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bCs/>
                <w:szCs w:val="21"/>
                <w:highlight w:val="none"/>
              </w:rPr>
            </w:pPr>
          </w:p>
        </w:tc>
      </w:tr>
      <w:tr w14:paraId="2194A3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80" w:hRule="atLeast"/>
        </w:trPr>
        <w:tc>
          <w:tcPr>
            <w:tcW w:w="686" w:type="dxa"/>
            <w:tcBorders>
              <w:tl2br w:val="nil"/>
              <w:tr2bl w:val="nil"/>
            </w:tcBorders>
          </w:tcPr>
          <w:p w14:paraId="25CD831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bCs/>
                <w:szCs w:val="21"/>
                <w:highlight w:val="none"/>
              </w:rPr>
            </w:pPr>
          </w:p>
        </w:tc>
        <w:tc>
          <w:tcPr>
            <w:tcW w:w="2344" w:type="dxa"/>
            <w:tcBorders>
              <w:tl2br w:val="nil"/>
              <w:tr2bl w:val="nil"/>
            </w:tcBorders>
          </w:tcPr>
          <w:p w14:paraId="165302A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Theme="minorEastAsia"/>
                <w:bCs/>
                <w:szCs w:val="21"/>
                <w:highlight w:val="none"/>
                <w:lang w:val="en-US" w:eastAsia="zh-CN"/>
              </w:rPr>
            </w:pPr>
          </w:p>
        </w:tc>
        <w:tc>
          <w:tcPr>
            <w:tcW w:w="1472" w:type="dxa"/>
            <w:tcBorders>
              <w:tl2br w:val="nil"/>
              <w:tr2bl w:val="nil"/>
            </w:tcBorders>
          </w:tcPr>
          <w:p w14:paraId="3B721B4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bCs/>
                <w:szCs w:val="21"/>
                <w:highlight w:val="none"/>
              </w:rPr>
            </w:pPr>
          </w:p>
        </w:tc>
        <w:tc>
          <w:tcPr>
            <w:tcW w:w="1453" w:type="dxa"/>
            <w:tcBorders>
              <w:tl2br w:val="nil"/>
              <w:tr2bl w:val="nil"/>
            </w:tcBorders>
          </w:tcPr>
          <w:p w14:paraId="58DA44A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bCs/>
                <w:szCs w:val="21"/>
                <w:highlight w:val="none"/>
              </w:rPr>
            </w:pPr>
          </w:p>
        </w:tc>
        <w:tc>
          <w:tcPr>
            <w:tcW w:w="1652" w:type="dxa"/>
            <w:tcBorders>
              <w:tl2br w:val="nil"/>
              <w:tr2bl w:val="nil"/>
            </w:tcBorders>
          </w:tcPr>
          <w:p w14:paraId="32E3D6C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bCs/>
                <w:szCs w:val="21"/>
                <w:highlight w:val="none"/>
              </w:rPr>
            </w:pPr>
          </w:p>
        </w:tc>
        <w:tc>
          <w:tcPr>
            <w:tcW w:w="1624" w:type="dxa"/>
            <w:tcBorders>
              <w:tl2br w:val="nil"/>
              <w:tr2bl w:val="nil"/>
            </w:tcBorders>
          </w:tcPr>
          <w:p w14:paraId="657726C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bCs/>
                <w:szCs w:val="21"/>
                <w:highlight w:val="none"/>
              </w:rPr>
            </w:pPr>
          </w:p>
        </w:tc>
      </w:tr>
    </w:tbl>
    <w:p w14:paraId="05DA3395">
      <w:pPr>
        <w:keepNext w:val="0"/>
        <w:keepLines w:val="0"/>
        <w:pageBreakBefore w:val="0"/>
        <w:widowControl w:val="0"/>
        <w:kinsoku/>
        <w:wordWrap/>
        <w:overflowPunct/>
        <w:topLinePunct w:val="0"/>
        <w:autoSpaceDE/>
        <w:autoSpaceDN/>
        <w:bidi w:val="0"/>
        <w:adjustRightInd/>
        <w:snapToGrid/>
        <w:spacing w:line="300" w:lineRule="exact"/>
        <w:ind w:firstLine="422" w:firstLineChars="200"/>
        <w:textAlignment w:val="auto"/>
        <w:rPr>
          <w:rFonts w:hint="eastAsia" w:ascii="仿宋" w:hAnsi="仿宋" w:eastAsia="仿宋" w:cs="仿宋"/>
          <w:b/>
          <w:bCs/>
          <w:szCs w:val="21"/>
          <w:highlight w:val="none"/>
        </w:rPr>
      </w:pPr>
      <w:r>
        <w:rPr>
          <w:rFonts w:hint="eastAsia" w:ascii="仿宋" w:hAnsi="仿宋" w:eastAsia="仿宋" w:cs="仿宋"/>
          <w:b/>
          <w:bCs/>
          <w:szCs w:val="21"/>
          <w:highlight w:val="none"/>
        </w:rPr>
        <w:t>说明：</w:t>
      </w:r>
    </w:p>
    <w:p w14:paraId="3D38847D">
      <w:pPr>
        <w:keepNext w:val="0"/>
        <w:keepLines w:val="0"/>
        <w:pageBreakBefore w:val="0"/>
        <w:widowControl/>
        <w:numPr>
          <w:ilvl w:val="0"/>
          <w:numId w:val="19"/>
        </w:numPr>
        <w:kinsoku/>
        <w:wordWrap/>
        <w:overflowPunct/>
        <w:topLinePunct w:val="0"/>
        <w:autoSpaceDE/>
        <w:autoSpaceDN/>
        <w:bidi w:val="0"/>
        <w:adjustRightInd/>
        <w:snapToGrid/>
        <w:spacing w:line="240" w:lineRule="exact"/>
        <w:ind w:firstLine="420" w:firstLineChars="200"/>
        <w:textAlignment w:val="auto"/>
        <w:rPr>
          <w:rFonts w:hint="eastAsia" w:ascii="Times New Roman" w:hAnsi="Times New Roman" w:eastAsia="仿宋_GB2312" w:cs="仿宋"/>
          <w:b w:val="0"/>
          <w:bCs w:val="0"/>
          <w:sz w:val="21"/>
          <w:szCs w:val="21"/>
          <w:lang w:val="en-US" w:eastAsia="zh-CN"/>
        </w:rPr>
      </w:pPr>
      <w:r>
        <w:rPr>
          <w:rFonts w:hint="eastAsia" w:ascii="Times New Roman" w:hAnsi="Times New Roman" w:eastAsia="仿宋_GB2312" w:cs="仿宋"/>
          <w:b w:val="0"/>
          <w:bCs w:val="0"/>
          <w:kern w:val="0"/>
          <w:sz w:val="21"/>
          <w:szCs w:val="21"/>
          <w:lang w:val="en-US" w:eastAsia="zh-CN"/>
        </w:rPr>
        <w:t>偏离性质以招标人列示招标文件为基准，作出对招标人有利修改的为正偏离，反之为负偏离。</w:t>
      </w:r>
    </w:p>
    <w:p w14:paraId="1397C5A5">
      <w:pPr>
        <w:keepNext w:val="0"/>
        <w:keepLines w:val="0"/>
        <w:pageBreakBefore w:val="0"/>
        <w:widowControl w:val="0"/>
        <w:numPr>
          <w:ilvl w:val="0"/>
          <w:numId w:val="19"/>
        </w:numPr>
        <w:kinsoku/>
        <w:wordWrap/>
        <w:overflowPunct/>
        <w:topLinePunct w:val="0"/>
        <w:autoSpaceDE/>
        <w:autoSpaceDN/>
        <w:bidi w:val="0"/>
        <w:adjustRightInd/>
        <w:snapToGrid/>
        <w:spacing w:line="240" w:lineRule="exact"/>
        <w:ind w:firstLine="420" w:firstLineChars="200"/>
        <w:textAlignment w:val="auto"/>
        <w:rPr>
          <w:rFonts w:hint="eastAsia" w:ascii="Times New Roman" w:hAnsi="Times New Roman" w:eastAsia="仿宋_GB2312" w:cs="仿宋"/>
          <w:b w:val="0"/>
          <w:bCs w:val="0"/>
          <w:kern w:val="2"/>
          <w:sz w:val="21"/>
          <w:szCs w:val="21"/>
        </w:rPr>
      </w:pPr>
      <w:r>
        <w:rPr>
          <w:rFonts w:hint="eastAsia" w:ascii="Times New Roman" w:hAnsi="Times New Roman" w:eastAsia="仿宋_GB2312" w:cs="仿宋"/>
          <w:b w:val="0"/>
          <w:bCs w:val="0"/>
          <w:sz w:val="21"/>
          <w:szCs w:val="21"/>
        </w:rPr>
        <w:t>投标人应准确完整阅读</w:t>
      </w:r>
      <w:r>
        <w:rPr>
          <w:rFonts w:hint="eastAsia" w:ascii="Times New Roman" w:hAnsi="Times New Roman" w:eastAsia="仿宋_GB2312" w:cs="仿宋"/>
          <w:b w:val="0"/>
          <w:bCs w:val="0"/>
          <w:sz w:val="21"/>
          <w:szCs w:val="21"/>
          <w:lang w:val="en-US" w:eastAsia="zh-CN"/>
        </w:rPr>
        <w:t>招标</w:t>
      </w:r>
      <w:r>
        <w:rPr>
          <w:rFonts w:hint="eastAsia" w:ascii="Times New Roman" w:hAnsi="Times New Roman" w:eastAsia="仿宋_GB2312" w:cs="仿宋"/>
          <w:b w:val="0"/>
          <w:bCs w:val="0"/>
          <w:sz w:val="21"/>
          <w:szCs w:val="21"/>
        </w:rPr>
        <w:t>文件并就</w:t>
      </w:r>
      <w:r>
        <w:rPr>
          <w:rFonts w:hint="eastAsia" w:ascii="Times New Roman" w:hAnsi="Times New Roman" w:eastAsia="仿宋_GB2312" w:cs="仿宋"/>
          <w:b w:val="0"/>
          <w:bCs w:val="0"/>
          <w:sz w:val="21"/>
          <w:szCs w:val="21"/>
          <w:lang w:val="en-US" w:eastAsia="zh-CN"/>
        </w:rPr>
        <w:t>招标</w:t>
      </w:r>
      <w:r>
        <w:rPr>
          <w:rFonts w:hint="eastAsia" w:ascii="Times New Roman" w:hAnsi="Times New Roman" w:eastAsia="仿宋_GB2312" w:cs="仿宋"/>
          <w:b w:val="0"/>
          <w:bCs w:val="0"/>
          <w:sz w:val="21"/>
          <w:szCs w:val="21"/>
        </w:rPr>
        <w:t>文件内与投标人实际提供服务产生的偏离情况进行完整、准确说明</w:t>
      </w:r>
      <w:r>
        <w:rPr>
          <w:rFonts w:hint="eastAsia" w:ascii="Times New Roman" w:hAnsi="Times New Roman" w:eastAsia="仿宋_GB2312" w:cs="仿宋"/>
          <w:b w:val="0"/>
          <w:bCs w:val="0"/>
          <w:sz w:val="21"/>
          <w:szCs w:val="21"/>
          <w:lang w:eastAsia="zh-CN"/>
        </w:rPr>
        <w:t>，</w:t>
      </w:r>
      <w:r>
        <w:rPr>
          <w:rFonts w:hint="eastAsia" w:ascii="Times New Roman" w:hAnsi="Times New Roman" w:eastAsia="仿宋_GB2312" w:cs="仿宋"/>
          <w:b w:val="0"/>
          <w:bCs w:val="0"/>
          <w:sz w:val="21"/>
          <w:szCs w:val="21"/>
          <w:lang w:val="en-US" w:eastAsia="zh-CN"/>
        </w:rPr>
        <w:t>投标人未予列示的，默认为无偏离承诺</w:t>
      </w:r>
      <w:r>
        <w:rPr>
          <w:rFonts w:hint="eastAsia" w:ascii="Times New Roman" w:hAnsi="Times New Roman" w:eastAsia="仿宋_GB2312" w:cs="仿宋"/>
          <w:b w:val="0"/>
          <w:bCs w:val="0"/>
          <w:sz w:val="21"/>
          <w:szCs w:val="21"/>
        </w:rPr>
        <w:t>。投标人未在本表中示明，但在服务方案中存在偏离的情况，</w:t>
      </w:r>
      <w:r>
        <w:rPr>
          <w:rFonts w:hint="eastAsia" w:ascii="Times New Roman" w:hAnsi="Times New Roman" w:eastAsia="仿宋_GB2312" w:cs="仿宋"/>
          <w:b w:val="0"/>
          <w:bCs w:val="0"/>
          <w:sz w:val="21"/>
          <w:szCs w:val="21"/>
          <w:lang w:val="en-US" w:eastAsia="zh-CN"/>
        </w:rPr>
        <w:t>招标</w:t>
      </w:r>
      <w:r>
        <w:rPr>
          <w:rFonts w:hint="eastAsia" w:ascii="Times New Roman" w:hAnsi="Times New Roman" w:eastAsia="仿宋_GB2312" w:cs="仿宋"/>
          <w:b w:val="0"/>
          <w:bCs w:val="0"/>
          <w:sz w:val="21"/>
          <w:szCs w:val="21"/>
        </w:rPr>
        <w:t>人有权判定为废标。</w:t>
      </w:r>
    </w:p>
    <w:p w14:paraId="641450A0">
      <w:pPr>
        <w:spacing w:after="120" w:line="280" w:lineRule="exact"/>
        <w:rPr>
          <w:rFonts w:hint="eastAsia" w:ascii="宋体" w:hAnsi="宋体" w:eastAsia="宋体" w:cs="宋体"/>
          <w:bCs/>
          <w:szCs w:val="21"/>
          <w:highlight w:val="none"/>
        </w:rPr>
      </w:pPr>
    </w:p>
    <w:p w14:paraId="360B380D">
      <w:pPr>
        <w:spacing w:after="120" w:line="280" w:lineRule="exact"/>
        <w:rPr>
          <w:rFonts w:hint="eastAsia" w:ascii="仿宋" w:hAnsi="仿宋" w:eastAsia="仿宋" w:cs="仿宋"/>
          <w:b w:val="0"/>
          <w:bCs/>
          <w:sz w:val="24"/>
          <w:szCs w:val="24"/>
          <w:highlight w:val="none"/>
        </w:rPr>
      </w:pPr>
    </w:p>
    <w:p w14:paraId="72D0AF3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kern w:val="0"/>
          <w:sz w:val="24"/>
          <w:szCs w:val="24"/>
          <w:highlight w:val="none"/>
        </w:rPr>
      </w:pPr>
      <w:r>
        <w:rPr>
          <w:rFonts w:hint="eastAsia" w:ascii="仿宋_GB2312" w:hAnsi="仿宋_GB2312" w:eastAsia="仿宋_GB2312" w:cs="仿宋_GB2312"/>
          <w:b w:val="0"/>
          <w:bCs/>
          <w:kern w:val="0"/>
          <w:sz w:val="24"/>
          <w:szCs w:val="24"/>
          <w:highlight w:val="none"/>
        </w:rPr>
        <w:t>投标方名称（公章）：</w:t>
      </w:r>
    </w:p>
    <w:p w14:paraId="3DDEDDF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kern w:val="0"/>
          <w:sz w:val="24"/>
          <w:szCs w:val="24"/>
          <w:highlight w:val="none"/>
        </w:rPr>
      </w:pPr>
      <w:r>
        <w:rPr>
          <w:rFonts w:hint="eastAsia" w:ascii="仿宋_GB2312" w:hAnsi="仿宋_GB2312" w:eastAsia="仿宋_GB2312" w:cs="仿宋_GB2312"/>
          <w:b w:val="0"/>
          <w:bCs/>
          <w:kern w:val="0"/>
          <w:sz w:val="24"/>
          <w:szCs w:val="24"/>
          <w:highlight w:val="none"/>
        </w:rPr>
        <w:t>法定代表人（法定授权代表人）签名：</w:t>
      </w:r>
    </w:p>
    <w:p w14:paraId="3548BA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bCs/>
          <w:kern w:val="0"/>
          <w:szCs w:val="21"/>
          <w:highlight w:val="none"/>
        </w:rPr>
      </w:pPr>
      <w:r>
        <w:rPr>
          <w:rFonts w:hint="eastAsia" w:ascii="仿宋_GB2312" w:hAnsi="仿宋_GB2312" w:eastAsia="仿宋_GB2312" w:cs="仿宋_GB2312"/>
          <w:b w:val="0"/>
          <w:bCs/>
          <w:kern w:val="0"/>
          <w:sz w:val="24"/>
          <w:szCs w:val="24"/>
          <w:highlight w:val="none"/>
        </w:rPr>
        <w:t>日期：</w:t>
      </w:r>
      <w:r>
        <w:rPr>
          <w:rFonts w:ascii="宋体" w:hAnsi="宋体"/>
          <w:bCs/>
          <w:kern w:val="0"/>
          <w:szCs w:val="21"/>
          <w:highlight w:val="none"/>
        </w:rPr>
        <w:br w:type="page"/>
      </w:r>
    </w:p>
    <w:p w14:paraId="656F9955">
      <w:pPr>
        <w:pStyle w:val="5"/>
        <w:ind w:firstLine="0" w:firstLineChars="0"/>
        <w:jc w:val="left"/>
        <w:rPr>
          <w:rFonts w:hint="eastAsia" w:ascii="Times New Roman" w:hAnsi="Times New Roman" w:eastAsia="黑体" w:cs="黑体"/>
          <w:b w:val="0"/>
          <w:bCs/>
          <w:sz w:val="24"/>
          <w:szCs w:val="24"/>
          <w:highlight w:val="none"/>
        </w:rPr>
      </w:pPr>
      <w:bookmarkStart w:id="82" w:name="_Toc988"/>
      <w:bookmarkStart w:id="83" w:name="_Toc21663"/>
      <w:r>
        <w:rPr>
          <w:rFonts w:hint="eastAsia" w:ascii="Times New Roman" w:hAnsi="Times New Roman" w:eastAsia="黑体" w:cs="黑体"/>
          <w:b w:val="0"/>
          <w:bCs/>
          <w:sz w:val="24"/>
          <w:szCs w:val="24"/>
          <w:highlight w:val="none"/>
        </w:rPr>
        <w:t>格式</w:t>
      </w:r>
      <w:r>
        <w:rPr>
          <w:rFonts w:hint="eastAsia" w:ascii="Times New Roman" w:hAnsi="Times New Roman" w:eastAsia="黑体" w:cs="黑体"/>
          <w:b w:val="0"/>
          <w:bCs/>
          <w:sz w:val="24"/>
          <w:szCs w:val="24"/>
          <w:highlight w:val="none"/>
          <w:lang w:val="en-US" w:eastAsia="zh-CN"/>
        </w:rPr>
        <w:t>6</w:t>
      </w:r>
      <w:r>
        <w:rPr>
          <w:rFonts w:hint="eastAsia" w:ascii="Times New Roman" w:hAnsi="Times New Roman" w:eastAsia="黑体" w:cs="黑体"/>
          <w:b w:val="0"/>
          <w:bCs/>
          <w:sz w:val="24"/>
          <w:szCs w:val="24"/>
          <w:highlight w:val="none"/>
        </w:rPr>
        <w:t>：报价表</w:t>
      </w:r>
      <w:bookmarkEnd w:id="82"/>
    </w:p>
    <w:p w14:paraId="7DB0984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highlight w:val="none"/>
        </w:rPr>
      </w:pPr>
      <w:r>
        <w:rPr>
          <w:rFonts w:hint="eastAsia" w:ascii="方正小标宋简体" w:hAnsi="方正小标宋简体" w:eastAsia="方正小标宋简体" w:cs="方正小标宋简体"/>
          <w:b w:val="0"/>
          <w:bCs/>
          <w:sz w:val="44"/>
          <w:szCs w:val="44"/>
          <w:highlight w:val="none"/>
        </w:rPr>
        <w:t>报价表</w:t>
      </w:r>
    </w:p>
    <w:p w14:paraId="43968BC0">
      <w:pPr>
        <w:keepNext w:val="0"/>
        <w:keepLines w:val="0"/>
        <w:pageBreakBefore w:val="0"/>
        <w:widowControl w:val="0"/>
        <w:kinsoku/>
        <w:wordWrap/>
        <w:overflowPunct/>
        <w:topLinePunct w:val="0"/>
        <w:autoSpaceDE/>
        <w:autoSpaceDN/>
        <w:bidi w:val="0"/>
        <w:adjustRightInd/>
        <w:snapToGrid/>
        <w:spacing w:line="280" w:lineRule="exact"/>
        <w:ind w:firstLine="480" w:firstLineChars="200"/>
        <w:textAlignment w:val="auto"/>
        <w:rPr>
          <w:rFonts w:hint="eastAsia" w:ascii="仿宋_GB2312" w:hAnsi="仿宋_GB2312" w:eastAsia="仿宋_GB2312" w:cs="仿宋_GB2312"/>
          <w:b w:val="0"/>
          <w:bCs/>
          <w:sz w:val="24"/>
          <w:szCs w:val="24"/>
          <w:highlight w:val="none"/>
        </w:rPr>
      </w:pPr>
    </w:p>
    <w:p w14:paraId="06E8B83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b w:val="0"/>
          <w:bCs/>
          <w:sz w:val="28"/>
          <w:szCs w:val="28"/>
          <w:highlight w:val="none"/>
        </w:rPr>
      </w:pPr>
      <w:r>
        <w:rPr>
          <w:rFonts w:hint="eastAsia" w:ascii="仿宋_GB2312" w:hAnsi="仿宋_GB2312" w:eastAsia="仿宋_GB2312" w:cs="仿宋_GB2312"/>
          <w:b w:val="0"/>
          <w:bCs/>
          <w:sz w:val="28"/>
          <w:szCs w:val="28"/>
          <w:highlight w:val="none"/>
        </w:rPr>
        <w:t>致：深圳市鹏劳人力资源管理有限公司</w:t>
      </w:r>
    </w:p>
    <w:p w14:paraId="36F1AF65">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ascii="Times New Roman" w:hAnsi="Times New Roman" w:eastAsia="仿宋_GB2312" w:cs="仿宋_GB2312"/>
          <w:b w:val="0"/>
          <w:bCs/>
          <w:sz w:val="28"/>
          <w:szCs w:val="28"/>
          <w:highlight w:val="none"/>
        </w:rPr>
      </w:pPr>
      <w:r>
        <w:rPr>
          <w:rFonts w:hint="eastAsia" w:ascii="Times New Roman" w:hAnsi="Times New Roman" w:eastAsia="仿宋_GB2312" w:cs="仿宋_GB2312"/>
          <w:b w:val="0"/>
          <w:bCs/>
          <w:sz w:val="28"/>
          <w:szCs w:val="28"/>
          <w:highlight w:val="none"/>
        </w:rPr>
        <w:t>外派员工健康体检项目（招标编号：</w:t>
      </w:r>
      <w:r>
        <w:rPr>
          <w:rFonts w:hint="eastAsia" w:ascii="Times New Roman" w:hAnsi="Times New Roman" w:eastAsia="仿宋_GB2312" w:cs="仿宋_GB2312"/>
          <w:b w:val="0"/>
          <w:bCs/>
          <w:color w:val="000000"/>
          <w:sz w:val="28"/>
          <w:szCs w:val="28"/>
          <w:highlight w:val="none"/>
        </w:rPr>
        <w:t>PLHR-ZB-FW-202607</w:t>
      </w:r>
      <w:r>
        <w:rPr>
          <w:rFonts w:hint="eastAsia" w:ascii="Times New Roman" w:hAnsi="Times New Roman" w:eastAsia="仿宋_GB2312" w:cs="仿宋_GB2312"/>
          <w:b w:val="0"/>
          <w:bCs/>
          <w:sz w:val="28"/>
          <w:szCs w:val="28"/>
          <w:highlight w:val="none"/>
        </w:rPr>
        <w:t>）项目投标报价如下：</w:t>
      </w:r>
    </w:p>
    <w:p w14:paraId="1C67ECD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黑体" w:cs="黑体"/>
          <w:b w:val="0"/>
          <w:bCs/>
          <w:sz w:val="28"/>
          <w:szCs w:val="28"/>
          <w:highlight w:val="none"/>
        </w:rPr>
      </w:pPr>
      <w:r>
        <w:rPr>
          <w:rFonts w:hint="eastAsia" w:ascii="Times New Roman" w:hAnsi="Times New Roman" w:eastAsia="黑体" w:cs="黑体"/>
          <w:b w:val="0"/>
          <w:bCs/>
          <w:sz w:val="28"/>
          <w:szCs w:val="28"/>
          <w:highlight w:val="none"/>
          <w:lang w:val="en-US" w:eastAsia="zh-CN"/>
        </w:rPr>
        <w:t>一、体检</w:t>
      </w:r>
      <w:r>
        <w:rPr>
          <w:rFonts w:hint="eastAsia" w:ascii="Times New Roman" w:hAnsi="Times New Roman" w:eastAsia="黑体" w:cs="黑体"/>
          <w:b w:val="0"/>
          <w:bCs/>
          <w:sz w:val="28"/>
          <w:szCs w:val="28"/>
          <w:highlight w:val="none"/>
        </w:rPr>
        <w:t>套餐（限价不超过390元/人）</w:t>
      </w:r>
    </w:p>
    <w:tbl>
      <w:tblPr>
        <w:tblStyle w:val="15"/>
        <w:tblW w:w="797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3667"/>
        <w:gridCol w:w="930"/>
        <w:gridCol w:w="930"/>
        <w:gridCol w:w="2451"/>
      </w:tblGrid>
      <w:tr w14:paraId="145C17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4" w:hRule="atLeast"/>
          <w:jc w:val="center"/>
        </w:trPr>
        <w:tc>
          <w:tcPr>
            <w:tcW w:w="3667" w:type="dxa"/>
            <w:tcBorders>
              <w:tl2br w:val="nil"/>
              <w:tr2bl w:val="nil"/>
            </w:tcBorders>
            <w:noWrap/>
            <w:tcMar>
              <w:top w:w="15" w:type="dxa"/>
              <w:left w:w="15" w:type="dxa"/>
              <w:right w:w="15" w:type="dxa"/>
            </w:tcMar>
            <w:vAlign w:val="center"/>
          </w:tcPr>
          <w:p w14:paraId="4480BF83">
            <w:pPr>
              <w:widowControl/>
              <w:jc w:val="center"/>
              <w:textAlignment w:val="center"/>
              <w:rPr>
                <w:rFonts w:hint="eastAsia" w:ascii="Times New Roman" w:hAnsi="Times New Roman" w:eastAsia="宋体" w:cs="宋体"/>
                <w:b/>
                <w:color w:val="000000"/>
                <w:kern w:val="0"/>
                <w:sz w:val="21"/>
                <w:szCs w:val="21"/>
                <w:highlight w:val="none"/>
                <w:lang w:val="en-US" w:eastAsia="zh-CN"/>
              </w:rPr>
            </w:pPr>
            <w:r>
              <w:rPr>
                <w:rFonts w:hint="eastAsia" w:ascii="Times New Roman" w:hAnsi="Times New Roman" w:eastAsia="宋体" w:cs="宋体"/>
                <w:b/>
                <w:color w:val="000000"/>
                <w:kern w:val="0"/>
                <w:sz w:val="21"/>
                <w:szCs w:val="21"/>
                <w:highlight w:val="none"/>
                <w:lang w:val="en-US" w:eastAsia="zh-CN"/>
              </w:rPr>
              <w:t>序号</w:t>
            </w:r>
          </w:p>
        </w:tc>
        <w:tc>
          <w:tcPr>
            <w:tcW w:w="930" w:type="dxa"/>
            <w:tcBorders>
              <w:tl2br w:val="nil"/>
              <w:tr2bl w:val="nil"/>
            </w:tcBorders>
            <w:noWrap/>
            <w:tcMar>
              <w:top w:w="15" w:type="dxa"/>
              <w:left w:w="15" w:type="dxa"/>
              <w:right w:w="15" w:type="dxa"/>
            </w:tcMar>
            <w:vAlign w:val="center"/>
          </w:tcPr>
          <w:p w14:paraId="404082A1">
            <w:pPr>
              <w:widowControl/>
              <w:jc w:val="center"/>
              <w:textAlignment w:val="center"/>
              <w:rPr>
                <w:rFonts w:hint="eastAsia" w:ascii="Times New Roman" w:hAnsi="Times New Roman" w:eastAsia="宋体" w:cs="宋体"/>
                <w:b/>
                <w:color w:val="000000"/>
                <w:kern w:val="0"/>
                <w:sz w:val="21"/>
                <w:szCs w:val="21"/>
                <w:highlight w:val="none"/>
                <w:lang w:val="en-US" w:eastAsia="zh-CN"/>
              </w:rPr>
            </w:pPr>
            <w:r>
              <w:rPr>
                <w:rFonts w:hint="eastAsia" w:ascii="Times New Roman" w:hAnsi="Times New Roman" w:eastAsia="宋体" w:cs="宋体"/>
                <w:b/>
                <w:color w:val="000000"/>
                <w:kern w:val="0"/>
                <w:sz w:val="21"/>
                <w:szCs w:val="21"/>
                <w:highlight w:val="none"/>
                <w:lang w:val="en-US" w:eastAsia="zh-CN"/>
              </w:rPr>
              <w:t>检查大类</w:t>
            </w:r>
          </w:p>
        </w:tc>
        <w:tc>
          <w:tcPr>
            <w:tcW w:w="930" w:type="dxa"/>
            <w:tcBorders>
              <w:tl2br w:val="nil"/>
              <w:tr2bl w:val="nil"/>
            </w:tcBorders>
            <w:noWrap/>
            <w:tcMar>
              <w:top w:w="15" w:type="dxa"/>
              <w:left w:w="15" w:type="dxa"/>
              <w:right w:w="15" w:type="dxa"/>
            </w:tcMar>
            <w:vAlign w:val="center"/>
          </w:tcPr>
          <w:p w14:paraId="2E242D03">
            <w:pPr>
              <w:widowControl/>
              <w:jc w:val="center"/>
              <w:textAlignment w:val="center"/>
              <w:rPr>
                <w:rFonts w:hint="eastAsia" w:ascii="Times New Roman" w:hAnsi="Times New Roman" w:eastAsia="宋体" w:cs="宋体"/>
                <w:b/>
                <w:color w:val="000000"/>
                <w:kern w:val="0"/>
                <w:sz w:val="21"/>
                <w:szCs w:val="21"/>
                <w:highlight w:val="none"/>
                <w:lang w:val="en-US" w:eastAsia="zh-CN"/>
              </w:rPr>
            </w:pPr>
            <w:r>
              <w:rPr>
                <w:rFonts w:hint="eastAsia" w:ascii="Times New Roman" w:hAnsi="Times New Roman" w:eastAsia="宋体" w:cs="宋体"/>
                <w:b/>
                <w:color w:val="000000"/>
                <w:kern w:val="0"/>
                <w:sz w:val="21"/>
                <w:szCs w:val="21"/>
                <w:highlight w:val="none"/>
                <w:lang w:val="en-US" w:eastAsia="zh-CN"/>
              </w:rPr>
              <w:t>体检项目</w:t>
            </w:r>
          </w:p>
        </w:tc>
        <w:tc>
          <w:tcPr>
            <w:tcW w:w="2451" w:type="dxa"/>
            <w:tcBorders>
              <w:tl2br w:val="nil"/>
              <w:tr2bl w:val="nil"/>
            </w:tcBorders>
            <w:noWrap/>
            <w:tcMar>
              <w:top w:w="15" w:type="dxa"/>
              <w:left w:w="15" w:type="dxa"/>
              <w:right w:w="15" w:type="dxa"/>
            </w:tcMar>
            <w:vAlign w:val="center"/>
          </w:tcPr>
          <w:p w14:paraId="722B8FD4">
            <w:pPr>
              <w:widowControl/>
              <w:jc w:val="center"/>
              <w:textAlignment w:val="center"/>
              <w:rPr>
                <w:rFonts w:hint="eastAsia" w:ascii="Times New Roman" w:hAnsi="Times New Roman" w:eastAsia="宋体" w:cs="宋体"/>
                <w:b/>
                <w:color w:val="000000"/>
                <w:kern w:val="0"/>
                <w:sz w:val="21"/>
                <w:szCs w:val="21"/>
                <w:highlight w:val="none"/>
                <w:lang w:val="en-US" w:eastAsia="zh-CN"/>
              </w:rPr>
            </w:pPr>
            <w:r>
              <w:rPr>
                <w:rFonts w:hint="eastAsia" w:ascii="Times New Roman" w:hAnsi="Times New Roman" w:eastAsia="宋体" w:cs="宋体"/>
                <w:b/>
                <w:color w:val="000000"/>
                <w:kern w:val="0"/>
                <w:sz w:val="21"/>
                <w:szCs w:val="21"/>
                <w:highlight w:val="none"/>
                <w:lang w:val="en-US" w:eastAsia="zh-CN"/>
              </w:rPr>
              <w:t>分项单价（含增值税）</w:t>
            </w:r>
          </w:p>
        </w:tc>
      </w:tr>
      <w:tr w14:paraId="5A439C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3667" w:type="dxa"/>
            <w:tcBorders>
              <w:tl2br w:val="nil"/>
              <w:tr2bl w:val="nil"/>
            </w:tcBorders>
            <w:noWrap/>
            <w:tcMar>
              <w:top w:w="15" w:type="dxa"/>
              <w:left w:w="15" w:type="dxa"/>
              <w:right w:w="15" w:type="dxa"/>
            </w:tcMar>
            <w:vAlign w:val="center"/>
          </w:tcPr>
          <w:p w14:paraId="04820CF6">
            <w:pPr>
              <w:widowControl/>
              <w:jc w:val="center"/>
              <w:textAlignment w:val="center"/>
              <w:rPr>
                <w:rFonts w:ascii="Times New Roman" w:hAnsi="Times New Roman" w:eastAsia="宋体" w:cs="宋体"/>
                <w:bCs/>
                <w:color w:val="000000"/>
                <w:kern w:val="0"/>
                <w:sz w:val="21"/>
                <w:szCs w:val="21"/>
                <w:highlight w:val="none"/>
              </w:rPr>
            </w:pPr>
            <w:r>
              <w:t>1</w:t>
            </w:r>
          </w:p>
        </w:tc>
        <w:tc>
          <w:tcPr>
            <w:tcW w:w="930" w:type="dxa"/>
            <w:tcBorders>
              <w:tl2br w:val="nil"/>
              <w:tr2bl w:val="nil"/>
            </w:tcBorders>
            <w:noWrap/>
            <w:tcMar>
              <w:top w:w="15" w:type="dxa"/>
              <w:left w:w="15" w:type="dxa"/>
              <w:right w:w="15" w:type="dxa"/>
            </w:tcMar>
            <w:vAlign w:val="center"/>
          </w:tcPr>
          <w:p w14:paraId="0E07A7A8">
            <w:pPr>
              <w:widowControl/>
              <w:jc w:val="center"/>
              <w:textAlignment w:val="center"/>
              <w:rPr>
                <w:rFonts w:ascii="Times New Roman" w:hAnsi="Times New Roman" w:eastAsia="宋体" w:cs="宋体"/>
                <w:bCs/>
                <w:color w:val="000000"/>
                <w:kern w:val="0"/>
                <w:sz w:val="21"/>
                <w:szCs w:val="21"/>
                <w:highlight w:val="none"/>
              </w:rPr>
            </w:pPr>
          </w:p>
        </w:tc>
        <w:tc>
          <w:tcPr>
            <w:tcW w:w="930" w:type="dxa"/>
            <w:tcBorders>
              <w:tl2br w:val="nil"/>
              <w:tr2bl w:val="nil"/>
            </w:tcBorders>
            <w:noWrap/>
            <w:tcMar>
              <w:top w:w="15" w:type="dxa"/>
              <w:left w:w="15" w:type="dxa"/>
              <w:right w:w="15" w:type="dxa"/>
            </w:tcMar>
            <w:vAlign w:val="center"/>
          </w:tcPr>
          <w:p w14:paraId="5EF4AF4E">
            <w:pPr>
              <w:widowControl/>
              <w:jc w:val="center"/>
              <w:textAlignment w:val="center"/>
              <w:rPr>
                <w:rFonts w:ascii="Times New Roman" w:hAnsi="Times New Roman" w:eastAsia="宋体" w:cs="宋体"/>
                <w:bCs/>
                <w:color w:val="000000"/>
                <w:kern w:val="0"/>
                <w:sz w:val="21"/>
                <w:szCs w:val="21"/>
                <w:highlight w:val="none"/>
              </w:rPr>
            </w:pPr>
          </w:p>
        </w:tc>
        <w:tc>
          <w:tcPr>
            <w:tcW w:w="2451" w:type="dxa"/>
            <w:tcBorders>
              <w:tl2br w:val="nil"/>
              <w:tr2bl w:val="nil"/>
            </w:tcBorders>
            <w:noWrap/>
            <w:tcMar>
              <w:top w:w="15" w:type="dxa"/>
              <w:left w:w="15" w:type="dxa"/>
              <w:right w:w="15" w:type="dxa"/>
            </w:tcMar>
            <w:vAlign w:val="center"/>
          </w:tcPr>
          <w:p w14:paraId="6C81F2B0">
            <w:pPr>
              <w:widowControl/>
              <w:jc w:val="center"/>
              <w:textAlignment w:val="center"/>
              <w:rPr>
                <w:rFonts w:ascii="Times New Roman" w:hAnsi="Times New Roman" w:eastAsia="宋体" w:cs="宋体"/>
                <w:bCs/>
                <w:color w:val="000000"/>
                <w:kern w:val="0"/>
                <w:sz w:val="21"/>
                <w:szCs w:val="21"/>
                <w:highlight w:val="none"/>
              </w:rPr>
            </w:pPr>
          </w:p>
        </w:tc>
      </w:tr>
      <w:tr w14:paraId="5327D8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3667" w:type="dxa"/>
            <w:tcBorders>
              <w:tl2br w:val="nil"/>
              <w:tr2bl w:val="nil"/>
            </w:tcBorders>
            <w:noWrap/>
            <w:tcMar>
              <w:top w:w="15" w:type="dxa"/>
              <w:left w:w="15" w:type="dxa"/>
              <w:right w:w="15" w:type="dxa"/>
            </w:tcMar>
            <w:vAlign w:val="center"/>
          </w:tcPr>
          <w:p w14:paraId="6075123C">
            <w:pPr>
              <w:widowControl/>
              <w:jc w:val="center"/>
              <w:textAlignment w:val="center"/>
              <w:rPr>
                <w:rFonts w:ascii="Times New Roman" w:hAnsi="Times New Roman" w:eastAsia="宋体" w:cs="宋体"/>
                <w:bCs/>
                <w:color w:val="000000"/>
                <w:kern w:val="0"/>
                <w:sz w:val="21"/>
                <w:szCs w:val="21"/>
                <w:highlight w:val="none"/>
              </w:rPr>
            </w:pPr>
            <w:r>
              <w:t>2</w:t>
            </w:r>
          </w:p>
        </w:tc>
        <w:tc>
          <w:tcPr>
            <w:tcW w:w="930" w:type="dxa"/>
            <w:tcBorders>
              <w:tl2br w:val="nil"/>
              <w:tr2bl w:val="nil"/>
            </w:tcBorders>
            <w:noWrap/>
            <w:tcMar>
              <w:top w:w="15" w:type="dxa"/>
              <w:left w:w="15" w:type="dxa"/>
              <w:right w:w="15" w:type="dxa"/>
            </w:tcMar>
            <w:vAlign w:val="center"/>
          </w:tcPr>
          <w:p w14:paraId="0B085B53">
            <w:pPr>
              <w:widowControl/>
              <w:jc w:val="center"/>
              <w:textAlignment w:val="center"/>
              <w:rPr>
                <w:rFonts w:ascii="Times New Roman" w:hAnsi="Times New Roman" w:eastAsia="宋体" w:cs="宋体"/>
                <w:bCs/>
                <w:color w:val="000000"/>
                <w:kern w:val="0"/>
                <w:sz w:val="21"/>
                <w:szCs w:val="21"/>
                <w:highlight w:val="none"/>
              </w:rPr>
            </w:pPr>
          </w:p>
        </w:tc>
        <w:tc>
          <w:tcPr>
            <w:tcW w:w="930" w:type="dxa"/>
            <w:tcBorders>
              <w:tl2br w:val="nil"/>
              <w:tr2bl w:val="nil"/>
            </w:tcBorders>
            <w:noWrap/>
            <w:tcMar>
              <w:top w:w="15" w:type="dxa"/>
              <w:left w:w="15" w:type="dxa"/>
              <w:right w:w="15" w:type="dxa"/>
            </w:tcMar>
            <w:vAlign w:val="center"/>
          </w:tcPr>
          <w:p w14:paraId="2100C27D">
            <w:pPr>
              <w:widowControl/>
              <w:jc w:val="center"/>
              <w:textAlignment w:val="center"/>
              <w:rPr>
                <w:rFonts w:ascii="Times New Roman" w:hAnsi="Times New Roman" w:eastAsia="宋体" w:cs="宋体"/>
                <w:bCs/>
                <w:color w:val="000000"/>
                <w:kern w:val="0"/>
                <w:sz w:val="21"/>
                <w:szCs w:val="21"/>
                <w:highlight w:val="none"/>
              </w:rPr>
            </w:pPr>
          </w:p>
        </w:tc>
        <w:tc>
          <w:tcPr>
            <w:tcW w:w="2451" w:type="dxa"/>
            <w:tcBorders>
              <w:tl2br w:val="nil"/>
              <w:tr2bl w:val="nil"/>
            </w:tcBorders>
            <w:noWrap/>
            <w:tcMar>
              <w:top w:w="15" w:type="dxa"/>
              <w:left w:w="15" w:type="dxa"/>
              <w:right w:w="15" w:type="dxa"/>
            </w:tcMar>
            <w:vAlign w:val="center"/>
          </w:tcPr>
          <w:p w14:paraId="1E64AC79">
            <w:pPr>
              <w:widowControl/>
              <w:jc w:val="center"/>
              <w:textAlignment w:val="center"/>
              <w:rPr>
                <w:rFonts w:ascii="Times New Roman" w:hAnsi="Times New Roman" w:eastAsia="宋体" w:cs="宋体"/>
                <w:bCs/>
                <w:color w:val="000000"/>
                <w:kern w:val="0"/>
                <w:sz w:val="21"/>
                <w:szCs w:val="21"/>
                <w:highlight w:val="none"/>
              </w:rPr>
            </w:pPr>
          </w:p>
        </w:tc>
      </w:tr>
      <w:tr w14:paraId="3E252C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3667" w:type="dxa"/>
            <w:tcBorders>
              <w:tl2br w:val="nil"/>
              <w:tr2bl w:val="nil"/>
            </w:tcBorders>
            <w:noWrap/>
            <w:tcMar>
              <w:top w:w="15" w:type="dxa"/>
              <w:left w:w="15" w:type="dxa"/>
              <w:right w:w="15" w:type="dxa"/>
            </w:tcMar>
            <w:vAlign w:val="center"/>
          </w:tcPr>
          <w:p w14:paraId="3496EC5C">
            <w:pPr>
              <w:widowControl/>
              <w:jc w:val="center"/>
              <w:textAlignment w:val="center"/>
              <w:rPr>
                <w:rFonts w:ascii="Times New Roman" w:hAnsi="Times New Roman" w:eastAsia="宋体" w:cs="宋体"/>
                <w:bCs/>
                <w:color w:val="000000"/>
                <w:kern w:val="0"/>
                <w:sz w:val="21"/>
                <w:szCs w:val="21"/>
                <w:highlight w:val="none"/>
              </w:rPr>
            </w:pPr>
            <w:r>
              <w:t>...</w:t>
            </w:r>
          </w:p>
        </w:tc>
        <w:tc>
          <w:tcPr>
            <w:tcW w:w="930" w:type="dxa"/>
            <w:tcBorders>
              <w:tl2br w:val="nil"/>
              <w:tr2bl w:val="nil"/>
            </w:tcBorders>
            <w:noWrap/>
            <w:tcMar>
              <w:top w:w="15" w:type="dxa"/>
              <w:left w:w="15" w:type="dxa"/>
              <w:right w:w="15" w:type="dxa"/>
            </w:tcMar>
            <w:vAlign w:val="center"/>
          </w:tcPr>
          <w:p w14:paraId="75482B21">
            <w:pPr>
              <w:widowControl/>
              <w:jc w:val="center"/>
              <w:textAlignment w:val="center"/>
              <w:rPr>
                <w:rFonts w:ascii="Times New Roman" w:hAnsi="Times New Roman" w:eastAsia="宋体" w:cs="宋体"/>
                <w:bCs/>
                <w:color w:val="000000"/>
                <w:kern w:val="0"/>
                <w:sz w:val="21"/>
                <w:szCs w:val="21"/>
                <w:highlight w:val="none"/>
              </w:rPr>
            </w:pPr>
            <w:r>
              <w:t>...</w:t>
            </w:r>
          </w:p>
        </w:tc>
        <w:tc>
          <w:tcPr>
            <w:tcW w:w="930" w:type="dxa"/>
            <w:tcBorders>
              <w:tl2br w:val="nil"/>
              <w:tr2bl w:val="nil"/>
            </w:tcBorders>
            <w:noWrap/>
            <w:tcMar>
              <w:top w:w="15" w:type="dxa"/>
              <w:left w:w="15" w:type="dxa"/>
              <w:right w:w="15" w:type="dxa"/>
            </w:tcMar>
            <w:vAlign w:val="center"/>
          </w:tcPr>
          <w:p w14:paraId="7A90930F">
            <w:pPr>
              <w:widowControl/>
              <w:jc w:val="center"/>
              <w:textAlignment w:val="center"/>
              <w:rPr>
                <w:rFonts w:ascii="Times New Roman" w:hAnsi="Times New Roman" w:eastAsia="宋体" w:cs="宋体"/>
                <w:bCs/>
                <w:color w:val="000000"/>
                <w:kern w:val="0"/>
                <w:sz w:val="21"/>
                <w:szCs w:val="21"/>
                <w:highlight w:val="none"/>
              </w:rPr>
            </w:pPr>
            <w:r>
              <w:t>...</w:t>
            </w:r>
          </w:p>
        </w:tc>
        <w:tc>
          <w:tcPr>
            <w:tcW w:w="2451" w:type="dxa"/>
            <w:tcBorders>
              <w:tl2br w:val="nil"/>
              <w:tr2bl w:val="nil"/>
            </w:tcBorders>
            <w:noWrap/>
            <w:tcMar>
              <w:top w:w="15" w:type="dxa"/>
              <w:left w:w="15" w:type="dxa"/>
              <w:right w:w="15" w:type="dxa"/>
            </w:tcMar>
            <w:vAlign w:val="center"/>
          </w:tcPr>
          <w:p w14:paraId="43CFC83B">
            <w:pPr>
              <w:widowControl/>
              <w:jc w:val="center"/>
              <w:textAlignment w:val="center"/>
              <w:rPr>
                <w:rFonts w:ascii="Times New Roman" w:hAnsi="Times New Roman" w:eastAsia="宋体" w:cs="宋体"/>
                <w:bCs/>
                <w:color w:val="000000"/>
                <w:kern w:val="0"/>
                <w:sz w:val="21"/>
                <w:szCs w:val="21"/>
                <w:highlight w:val="none"/>
              </w:rPr>
            </w:pPr>
          </w:p>
        </w:tc>
      </w:tr>
      <w:tr w14:paraId="30A277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3667" w:type="dxa"/>
            <w:tcBorders>
              <w:tl2br w:val="nil"/>
              <w:tr2bl w:val="nil"/>
            </w:tcBorders>
            <w:noWrap/>
            <w:tcMar>
              <w:top w:w="15" w:type="dxa"/>
              <w:left w:w="15" w:type="dxa"/>
              <w:right w:w="15" w:type="dxa"/>
            </w:tcMar>
            <w:vAlign w:val="center"/>
          </w:tcPr>
          <w:p w14:paraId="2AF20AC2">
            <w:pPr>
              <w:widowControl/>
              <w:jc w:val="center"/>
              <w:textAlignment w:val="center"/>
              <w:rPr>
                <w:rFonts w:ascii="Times New Roman" w:hAnsi="Times New Roman" w:eastAsia="宋体" w:cs="宋体"/>
                <w:bCs/>
                <w:color w:val="000000"/>
                <w:kern w:val="0"/>
                <w:sz w:val="21"/>
                <w:szCs w:val="21"/>
                <w:highlight w:val="none"/>
              </w:rPr>
            </w:pPr>
            <w:r>
              <w:rPr>
                <w:b/>
                <w:color w:val="000000"/>
              </w:rPr>
              <w:t>套餐原价</w:t>
            </w:r>
          </w:p>
        </w:tc>
        <w:tc>
          <w:tcPr>
            <w:tcW w:w="930" w:type="dxa"/>
            <w:tcBorders>
              <w:tl2br w:val="nil"/>
              <w:tr2bl w:val="nil"/>
            </w:tcBorders>
            <w:noWrap/>
            <w:tcMar>
              <w:top w:w="15" w:type="dxa"/>
              <w:left w:w="15" w:type="dxa"/>
              <w:right w:w="15" w:type="dxa"/>
            </w:tcMar>
            <w:vAlign w:val="center"/>
          </w:tcPr>
          <w:p w14:paraId="3C13E11C">
            <w:pPr>
              <w:widowControl/>
              <w:jc w:val="center"/>
              <w:textAlignment w:val="center"/>
              <w:rPr>
                <w:rFonts w:ascii="Times New Roman" w:hAnsi="Times New Roman" w:eastAsia="宋体" w:cs="宋体"/>
                <w:bCs/>
                <w:color w:val="000000"/>
                <w:kern w:val="0"/>
                <w:sz w:val="21"/>
                <w:szCs w:val="21"/>
                <w:highlight w:val="none"/>
              </w:rPr>
            </w:pPr>
          </w:p>
        </w:tc>
        <w:tc>
          <w:tcPr>
            <w:tcW w:w="930" w:type="dxa"/>
            <w:tcBorders>
              <w:tl2br w:val="nil"/>
              <w:tr2bl w:val="nil"/>
            </w:tcBorders>
            <w:noWrap/>
            <w:tcMar>
              <w:top w:w="15" w:type="dxa"/>
              <w:left w:w="15" w:type="dxa"/>
              <w:right w:w="15" w:type="dxa"/>
            </w:tcMar>
            <w:vAlign w:val="center"/>
          </w:tcPr>
          <w:p w14:paraId="265E2DC8">
            <w:pPr>
              <w:widowControl/>
              <w:jc w:val="center"/>
              <w:textAlignment w:val="center"/>
              <w:rPr>
                <w:rFonts w:ascii="Times New Roman" w:hAnsi="Times New Roman" w:eastAsia="宋体" w:cs="宋体"/>
                <w:bCs/>
                <w:color w:val="000000"/>
                <w:kern w:val="0"/>
                <w:sz w:val="21"/>
                <w:szCs w:val="21"/>
                <w:highlight w:val="none"/>
              </w:rPr>
            </w:pPr>
            <w:r>
              <w:rPr>
                <w:color w:val="000000"/>
              </w:rPr>
              <w:t>/</w:t>
            </w:r>
          </w:p>
        </w:tc>
        <w:tc>
          <w:tcPr>
            <w:tcW w:w="2451" w:type="dxa"/>
            <w:tcBorders>
              <w:tl2br w:val="nil"/>
              <w:tr2bl w:val="nil"/>
            </w:tcBorders>
            <w:noWrap/>
            <w:tcMar>
              <w:top w:w="15" w:type="dxa"/>
              <w:left w:w="15" w:type="dxa"/>
              <w:right w:w="15" w:type="dxa"/>
            </w:tcMar>
            <w:vAlign w:val="center"/>
          </w:tcPr>
          <w:p w14:paraId="7C01F03D">
            <w:pPr>
              <w:widowControl/>
              <w:jc w:val="center"/>
              <w:textAlignment w:val="center"/>
              <w:rPr>
                <w:rFonts w:ascii="Times New Roman" w:hAnsi="Times New Roman" w:eastAsia="宋体" w:cs="宋体"/>
                <w:bCs/>
                <w:color w:val="000000"/>
                <w:kern w:val="0"/>
                <w:sz w:val="21"/>
                <w:szCs w:val="21"/>
                <w:highlight w:val="none"/>
              </w:rPr>
            </w:pPr>
          </w:p>
        </w:tc>
      </w:tr>
      <w:tr w14:paraId="24C20F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3667" w:type="dxa"/>
            <w:tcBorders>
              <w:tl2br w:val="nil"/>
              <w:tr2bl w:val="nil"/>
            </w:tcBorders>
            <w:noWrap/>
            <w:tcMar>
              <w:top w:w="15" w:type="dxa"/>
              <w:left w:w="15" w:type="dxa"/>
              <w:right w:w="15" w:type="dxa"/>
            </w:tcMar>
            <w:vAlign w:val="center"/>
          </w:tcPr>
          <w:p w14:paraId="055603D3">
            <w:pPr>
              <w:widowControl/>
              <w:jc w:val="center"/>
              <w:textAlignment w:val="center"/>
              <w:rPr>
                <w:rFonts w:ascii="Times New Roman" w:hAnsi="Times New Roman" w:eastAsia="宋体" w:cs="宋体"/>
                <w:bCs/>
                <w:color w:val="000000"/>
                <w:kern w:val="0"/>
                <w:sz w:val="21"/>
                <w:szCs w:val="21"/>
                <w:highlight w:val="none"/>
              </w:rPr>
            </w:pPr>
            <w:r>
              <w:rPr>
                <w:b/>
                <w:color w:val="000000"/>
              </w:rPr>
              <w:t>套餐小计投标价单价（综合单价不区分男女、婚姻状况、地区）</w:t>
            </w:r>
          </w:p>
        </w:tc>
        <w:tc>
          <w:tcPr>
            <w:tcW w:w="930" w:type="dxa"/>
            <w:tcBorders>
              <w:tl2br w:val="nil"/>
              <w:tr2bl w:val="nil"/>
            </w:tcBorders>
            <w:noWrap/>
            <w:tcMar>
              <w:top w:w="15" w:type="dxa"/>
              <w:left w:w="15" w:type="dxa"/>
              <w:right w:w="15" w:type="dxa"/>
            </w:tcMar>
            <w:vAlign w:val="center"/>
          </w:tcPr>
          <w:p w14:paraId="3CE593D7">
            <w:pPr>
              <w:widowControl/>
              <w:jc w:val="center"/>
              <w:textAlignment w:val="center"/>
              <w:rPr>
                <w:rFonts w:ascii="Times New Roman" w:hAnsi="Times New Roman" w:eastAsia="宋体" w:cs="宋体"/>
                <w:bCs/>
                <w:color w:val="000000"/>
                <w:kern w:val="0"/>
                <w:sz w:val="21"/>
                <w:szCs w:val="21"/>
                <w:highlight w:val="none"/>
              </w:rPr>
            </w:pPr>
          </w:p>
        </w:tc>
        <w:tc>
          <w:tcPr>
            <w:tcW w:w="930" w:type="dxa"/>
            <w:tcBorders>
              <w:tl2br w:val="nil"/>
              <w:tr2bl w:val="nil"/>
            </w:tcBorders>
            <w:noWrap/>
            <w:tcMar>
              <w:top w:w="15" w:type="dxa"/>
              <w:left w:w="15" w:type="dxa"/>
              <w:right w:w="15" w:type="dxa"/>
            </w:tcMar>
            <w:vAlign w:val="center"/>
          </w:tcPr>
          <w:p w14:paraId="49BC2C85">
            <w:pPr>
              <w:widowControl/>
              <w:jc w:val="center"/>
              <w:textAlignment w:val="center"/>
              <w:rPr>
                <w:rFonts w:ascii="Times New Roman" w:hAnsi="Times New Roman" w:eastAsia="宋体" w:cs="宋体"/>
                <w:bCs/>
                <w:color w:val="000000"/>
                <w:kern w:val="0"/>
                <w:sz w:val="21"/>
                <w:szCs w:val="21"/>
                <w:highlight w:val="none"/>
              </w:rPr>
            </w:pPr>
            <w:r>
              <w:rPr>
                <w:color w:val="000000"/>
              </w:rPr>
              <w:t>/</w:t>
            </w:r>
          </w:p>
        </w:tc>
        <w:tc>
          <w:tcPr>
            <w:tcW w:w="2451" w:type="dxa"/>
            <w:tcBorders>
              <w:tl2br w:val="nil"/>
              <w:tr2bl w:val="nil"/>
            </w:tcBorders>
            <w:noWrap/>
            <w:tcMar>
              <w:top w:w="15" w:type="dxa"/>
              <w:left w:w="15" w:type="dxa"/>
              <w:right w:w="15" w:type="dxa"/>
            </w:tcMar>
            <w:vAlign w:val="center"/>
          </w:tcPr>
          <w:p w14:paraId="77BFCC11">
            <w:pPr>
              <w:widowControl/>
              <w:jc w:val="center"/>
              <w:textAlignment w:val="center"/>
              <w:rPr>
                <w:rFonts w:ascii="Times New Roman" w:hAnsi="Times New Roman" w:eastAsia="宋体" w:cs="宋体"/>
                <w:bCs/>
                <w:color w:val="000000"/>
                <w:kern w:val="0"/>
                <w:sz w:val="21"/>
                <w:szCs w:val="21"/>
                <w:highlight w:val="none"/>
              </w:rPr>
            </w:pPr>
          </w:p>
        </w:tc>
      </w:tr>
    </w:tbl>
    <w:p w14:paraId="1F1340B4">
      <w:pPr>
        <w:keepNext w:val="0"/>
        <w:keepLines w:val="0"/>
        <w:pageBreakBefore w:val="0"/>
        <w:widowControl w:val="0"/>
        <w:kinsoku/>
        <w:wordWrap/>
        <w:overflowPunct/>
        <w:topLinePunct w:val="0"/>
        <w:autoSpaceDE/>
        <w:autoSpaceDN/>
        <w:bidi w:val="0"/>
        <w:adjustRightInd w:val="0"/>
        <w:snapToGrid/>
        <w:spacing w:line="560" w:lineRule="exact"/>
        <w:ind w:firstLine="560" w:firstLineChars="200"/>
        <w:textAlignment w:val="auto"/>
        <w:rPr>
          <w:rFonts w:hint="eastAsia" w:ascii="Times New Roman" w:hAnsi="Times New Roman" w:eastAsia="黑体" w:cs="黑体"/>
          <w:b w:val="0"/>
          <w:bCs/>
          <w:sz w:val="28"/>
          <w:szCs w:val="28"/>
          <w:highlight w:val="none"/>
        </w:rPr>
      </w:pPr>
      <w:r>
        <w:rPr>
          <w:rFonts w:hint="eastAsia" w:ascii="Times New Roman" w:hAnsi="Times New Roman" w:eastAsia="黑体" w:cs="黑体"/>
          <w:b w:val="0"/>
          <w:bCs/>
          <w:sz w:val="28"/>
          <w:szCs w:val="28"/>
          <w:highlight w:val="none"/>
          <w:lang w:val="en-US" w:eastAsia="zh-CN"/>
        </w:rPr>
        <w:t>二、体检</w:t>
      </w:r>
      <w:r>
        <w:rPr>
          <w:rFonts w:hint="eastAsia" w:ascii="Times New Roman" w:hAnsi="Times New Roman" w:eastAsia="黑体" w:cs="黑体"/>
          <w:b w:val="0"/>
          <w:bCs/>
          <w:sz w:val="28"/>
          <w:szCs w:val="28"/>
          <w:highlight w:val="none"/>
        </w:rPr>
        <w:t>套餐（限价不超过</w:t>
      </w:r>
      <w:r>
        <w:rPr>
          <w:rFonts w:hint="eastAsia" w:ascii="Times New Roman" w:hAnsi="Times New Roman" w:eastAsia="黑体" w:cs="黑体"/>
          <w:b w:val="0"/>
          <w:bCs/>
          <w:sz w:val="28"/>
          <w:szCs w:val="28"/>
          <w:highlight w:val="none"/>
          <w:lang w:val="en-US" w:eastAsia="zh-CN"/>
        </w:rPr>
        <w:t>500</w:t>
      </w:r>
      <w:r>
        <w:rPr>
          <w:rFonts w:hint="eastAsia" w:ascii="Times New Roman" w:hAnsi="Times New Roman" w:eastAsia="黑体" w:cs="黑体"/>
          <w:b w:val="0"/>
          <w:bCs/>
          <w:sz w:val="28"/>
          <w:szCs w:val="28"/>
          <w:highlight w:val="none"/>
        </w:rPr>
        <w:t>元/人）</w:t>
      </w:r>
    </w:p>
    <w:tbl>
      <w:tblPr>
        <w:tblStyle w:val="15"/>
        <w:tblW w:w="784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248"/>
        <w:gridCol w:w="948"/>
        <w:gridCol w:w="948"/>
        <w:gridCol w:w="3703"/>
      </w:tblGrid>
      <w:tr w14:paraId="2BF6CF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34" w:hRule="atLeast"/>
          <w:jc w:val="center"/>
        </w:trPr>
        <w:tc>
          <w:tcPr>
            <w:tcW w:w="2248" w:type="dxa"/>
            <w:tcBorders>
              <w:tl2br w:val="nil"/>
              <w:tr2bl w:val="nil"/>
            </w:tcBorders>
            <w:noWrap/>
            <w:tcMar>
              <w:top w:w="15" w:type="dxa"/>
              <w:left w:w="15" w:type="dxa"/>
              <w:right w:w="15" w:type="dxa"/>
            </w:tcMar>
            <w:vAlign w:val="center"/>
          </w:tcPr>
          <w:p w14:paraId="40A892F6">
            <w:pPr>
              <w:widowControl/>
              <w:jc w:val="center"/>
              <w:textAlignment w:val="center"/>
              <w:rPr>
                <w:rFonts w:hint="eastAsia" w:ascii="Times New Roman" w:hAnsi="Times New Roman" w:eastAsia="宋体" w:cs="宋体"/>
                <w:b/>
                <w:color w:val="000000"/>
                <w:kern w:val="0"/>
                <w:sz w:val="21"/>
                <w:szCs w:val="21"/>
                <w:highlight w:val="none"/>
                <w:lang w:val="en-US" w:eastAsia="zh-CN"/>
              </w:rPr>
            </w:pPr>
            <w:r>
              <w:rPr>
                <w:rFonts w:hint="eastAsia" w:ascii="Times New Roman" w:hAnsi="Times New Roman" w:eastAsia="宋体" w:cs="宋体"/>
                <w:b/>
                <w:color w:val="000000"/>
                <w:kern w:val="0"/>
                <w:sz w:val="21"/>
                <w:szCs w:val="21"/>
                <w:highlight w:val="none"/>
                <w:lang w:val="en-US" w:eastAsia="zh-CN"/>
              </w:rPr>
              <w:t>序号</w:t>
            </w:r>
          </w:p>
        </w:tc>
        <w:tc>
          <w:tcPr>
            <w:tcW w:w="948" w:type="dxa"/>
            <w:tcBorders>
              <w:tl2br w:val="nil"/>
              <w:tr2bl w:val="nil"/>
            </w:tcBorders>
            <w:noWrap/>
            <w:tcMar>
              <w:top w:w="15" w:type="dxa"/>
              <w:left w:w="15" w:type="dxa"/>
              <w:right w:w="15" w:type="dxa"/>
            </w:tcMar>
            <w:vAlign w:val="center"/>
          </w:tcPr>
          <w:p w14:paraId="35B90F02">
            <w:pPr>
              <w:widowControl/>
              <w:jc w:val="center"/>
              <w:textAlignment w:val="center"/>
              <w:rPr>
                <w:rFonts w:hint="eastAsia" w:ascii="Times New Roman" w:hAnsi="Times New Roman" w:eastAsia="宋体" w:cs="宋体"/>
                <w:b/>
                <w:color w:val="000000"/>
                <w:kern w:val="0"/>
                <w:sz w:val="21"/>
                <w:szCs w:val="21"/>
                <w:highlight w:val="none"/>
                <w:lang w:val="en-US" w:eastAsia="zh-CN"/>
              </w:rPr>
            </w:pPr>
            <w:r>
              <w:rPr>
                <w:rFonts w:hint="eastAsia" w:ascii="Times New Roman" w:hAnsi="Times New Roman" w:eastAsia="宋体" w:cs="宋体"/>
                <w:b/>
                <w:color w:val="000000"/>
                <w:kern w:val="0"/>
                <w:sz w:val="21"/>
                <w:szCs w:val="21"/>
                <w:highlight w:val="none"/>
                <w:lang w:val="en-US" w:eastAsia="zh-CN"/>
              </w:rPr>
              <w:t>检查大类</w:t>
            </w:r>
          </w:p>
        </w:tc>
        <w:tc>
          <w:tcPr>
            <w:tcW w:w="948" w:type="dxa"/>
            <w:tcBorders>
              <w:tl2br w:val="nil"/>
              <w:tr2bl w:val="nil"/>
            </w:tcBorders>
            <w:noWrap/>
            <w:tcMar>
              <w:top w:w="15" w:type="dxa"/>
              <w:left w:w="15" w:type="dxa"/>
              <w:right w:w="15" w:type="dxa"/>
            </w:tcMar>
            <w:vAlign w:val="center"/>
          </w:tcPr>
          <w:p w14:paraId="3466611B">
            <w:pPr>
              <w:widowControl/>
              <w:jc w:val="center"/>
              <w:textAlignment w:val="center"/>
              <w:rPr>
                <w:rFonts w:hint="eastAsia" w:ascii="Times New Roman" w:hAnsi="Times New Roman" w:eastAsia="宋体" w:cs="宋体"/>
                <w:b/>
                <w:color w:val="000000"/>
                <w:kern w:val="0"/>
                <w:sz w:val="21"/>
                <w:szCs w:val="21"/>
                <w:highlight w:val="none"/>
                <w:lang w:val="en-US" w:eastAsia="zh-CN"/>
              </w:rPr>
            </w:pPr>
            <w:r>
              <w:rPr>
                <w:rFonts w:hint="eastAsia" w:ascii="Times New Roman" w:hAnsi="Times New Roman" w:eastAsia="宋体" w:cs="宋体"/>
                <w:b/>
                <w:color w:val="000000"/>
                <w:kern w:val="0"/>
                <w:sz w:val="21"/>
                <w:szCs w:val="21"/>
                <w:highlight w:val="none"/>
                <w:lang w:val="en-US" w:eastAsia="zh-CN"/>
              </w:rPr>
              <w:t>体检项目</w:t>
            </w:r>
          </w:p>
        </w:tc>
        <w:tc>
          <w:tcPr>
            <w:tcW w:w="3703" w:type="dxa"/>
            <w:tcBorders>
              <w:tl2br w:val="nil"/>
              <w:tr2bl w:val="nil"/>
            </w:tcBorders>
            <w:noWrap/>
            <w:tcMar>
              <w:top w:w="15" w:type="dxa"/>
              <w:left w:w="15" w:type="dxa"/>
              <w:right w:w="15" w:type="dxa"/>
            </w:tcMar>
            <w:vAlign w:val="center"/>
          </w:tcPr>
          <w:p w14:paraId="2670767A">
            <w:pPr>
              <w:widowControl/>
              <w:jc w:val="center"/>
              <w:textAlignment w:val="center"/>
              <w:rPr>
                <w:rFonts w:hint="eastAsia" w:ascii="Times New Roman" w:hAnsi="Times New Roman" w:eastAsia="宋体" w:cs="宋体"/>
                <w:b/>
                <w:color w:val="000000"/>
                <w:kern w:val="0"/>
                <w:sz w:val="21"/>
                <w:szCs w:val="21"/>
                <w:highlight w:val="none"/>
                <w:lang w:val="en-US" w:eastAsia="zh-CN"/>
              </w:rPr>
            </w:pPr>
            <w:r>
              <w:rPr>
                <w:rFonts w:hint="eastAsia" w:ascii="Times New Roman" w:hAnsi="Times New Roman" w:eastAsia="宋体" w:cs="宋体"/>
                <w:b/>
                <w:color w:val="000000"/>
                <w:kern w:val="0"/>
                <w:sz w:val="21"/>
                <w:szCs w:val="21"/>
                <w:highlight w:val="none"/>
                <w:lang w:val="en-US" w:eastAsia="zh-CN"/>
              </w:rPr>
              <w:t>分项单价（含增值税）</w:t>
            </w:r>
          </w:p>
        </w:tc>
      </w:tr>
      <w:tr w14:paraId="62CFDB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248" w:type="dxa"/>
            <w:tcBorders>
              <w:tl2br w:val="nil"/>
              <w:tr2bl w:val="nil"/>
            </w:tcBorders>
            <w:noWrap/>
            <w:tcMar>
              <w:top w:w="15" w:type="dxa"/>
              <w:left w:w="15" w:type="dxa"/>
              <w:right w:w="15" w:type="dxa"/>
            </w:tcMar>
            <w:vAlign w:val="center"/>
          </w:tcPr>
          <w:p w14:paraId="3928A821">
            <w:pPr>
              <w:widowControl/>
              <w:jc w:val="center"/>
              <w:textAlignment w:val="center"/>
              <w:rPr>
                <w:rFonts w:ascii="Times New Roman" w:hAnsi="Times New Roman" w:eastAsia="宋体" w:cs="宋体"/>
                <w:bCs/>
                <w:color w:val="000000"/>
                <w:kern w:val="0"/>
                <w:sz w:val="21"/>
                <w:szCs w:val="21"/>
                <w:highlight w:val="none"/>
              </w:rPr>
            </w:pPr>
            <w:r>
              <w:t>1</w:t>
            </w:r>
          </w:p>
        </w:tc>
        <w:tc>
          <w:tcPr>
            <w:tcW w:w="948" w:type="dxa"/>
            <w:tcBorders>
              <w:tl2br w:val="nil"/>
              <w:tr2bl w:val="nil"/>
            </w:tcBorders>
            <w:noWrap/>
            <w:tcMar>
              <w:top w:w="15" w:type="dxa"/>
              <w:left w:w="15" w:type="dxa"/>
              <w:right w:w="15" w:type="dxa"/>
            </w:tcMar>
            <w:vAlign w:val="center"/>
          </w:tcPr>
          <w:p w14:paraId="4AA7C5EB">
            <w:pPr>
              <w:widowControl/>
              <w:jc w:val="center"/>
              <w:textAlignment w:val="center"/>
              <w:rPr>
                <w:rFonts w:ascii="Times New Roman" w:hAnsi="Times New Roman" w:eastAsia="宋体" w:cs="宋体"/>
                <w:bCs/>
                <w:color w:val="000000"/>
                <w:kern w:val="0"/>
                <w:sz w:val="21"/>
                <w:szCs w:val="21"/>
                <w:highlight w:val="none"/>
              </w:rPr>
            </w:pPr>
          </w:p>
        </w:tc>
        <w:tc>
          <w:tcPr>
            <w:tcW w:w="948" w:type="dxa"/>
            <w:tcBorders>
              <w:tl2br w:val="nil"/>
              <w:tr2bl w:val="nil"/>
            </w:tcBorders>
            <w:noWrap/>
            <w:tcMar>
              <w:top w:w="15" w:type="dxa"/>
              <w:left w:w="15" w:type="dxa"/>
              <w:right w:w="15" w:type="dxa"/>
            </w:tcMar>
            <w:vAlign w:val="center"/>
          </w:tcPr>
          <w:p w14:paraId="2C0DABD9">
            <w:pPr>
              <w:widowControl/>
              <w:jc w:val="center"/>
              <w:textAlignment w:val="center"/>
              <w:rPr>
                <w:rFonts w:ascii="Times New Roman" w:hAnsi="Times New Roman" w:eastAsia="宋体" w:cs="宋体"/>
                <w:bCs/>
                <w:color w:val="000000"/>
                <w:kern w:val="0"/>
                <w:sz w:val="21"/>
                <w:szCs w:val="21"/>
                <w:highlight w:val="none"/>
              </w:rPr>
            </w:pPr>
          </w:p>
        </w:tc>
        <w:tc>
          <w:tcPr>
            <w:tcW w:w="3703" w:type="dxa"/>
            <w:tcBorders>
              <w:tl2br w:val="nil"/>
              <w:tr2bl w:val="nil"/>
            </w:tcBorders>
            <w:noWrap/>
            <w:tcMar>
              <w:top w:w="15" w:type="dxa"/>
              <w:left w:w="15" w:type="dxa"/>
              <w:right w:w="15" w:type="dxa"/>
            </w:tcMar>
            <w:vAlign w:val="center"/>
          </w:tcPr>
          <w:p w14:paraId="569D1682">
            <w:pPr>
              <w:widowControl/>
              <w:jc w:val="center"/>
              <w:textAlignment w:val="center"/>
              <w:rPr>
                <w:rFonts w:ascii="Times New Roman" w:hAnsi="Times New Roman" w:eastAsia="宋体" w:cs="宋体"/>
                <w:bCs/>
                <w:color w:val="000000"/>
                <w:kern w:val="0"/>
                <w:sz w:val="21"/>
                <w:szCs w:val="21"/>
                <w:highlight w:val="none"/>
              </w:rPr>
            </w:pPr>
          </w:p>
        </w:tc>
      </w:tr>
      <w:tr w14:paraId="54912D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248" w:type="dxa"/>
            <w:tcBorders>
              <w:tl2br w:val="nil"/>
              <w:tr2bl w:val="nil"/>
            </w:tcBorders>
            <w:noWrap/>
            <w:tcMar>
              <w:top w:w="15" w:type="dxa"/>
              <w:left w:w="15" w:type="dxa"/>
              <w:right w:w="15" w:type="dxa"/>
            </w:tcMar>
            <w:vAlign w:val="center"/>
          </w:tcPr>
          <w:p w14:paraId="327AA9E5">
            <w:pPr>
              <w:widowControl/>
              <w:jc w:val="center"/>
              <w:textAlignment w:val="center"/>
              <w:rPr>
                <w:rFonts w:ascii="Times New Roman" w:hAnsi="Times New Roman" w:eastAsia="宋体" w:cs="宋体"/>
                <w:bCs/>
                <w:color w:val="000000"/>
                <w:kern w:val="0"/>
                <w:sz w:val="21"/>
                <w:szCs w:val="21"/>
                <w:highlight w:val="none"/>
              </w:rPr>
            </w:pPr>
            <w:r>
              <w:t>2</w:t>
            </w:r>
          </w:p>
        </w:tc>
        <w:tc>
          <w:tcPr>
            <w:tcW w:w="948" w:type="dxa"/>
            <w:tcBorders>
              <w:tl2br w:val="nil"/>
              <w:tr2bl w:val="nil"/>
            </w:tcBorders>
            <w:noWrap/>
            <w:tcMar>
              <w:top w:w="15" w:type="dxa"/>
              <w:left w:w="15" w:type="dxa"/>
              <w:right w:w="15" w:type="dxa"/>
            </w:tcMar>
            <w:vAlign w:val="center"/>
          </w:tcPr>
          <w:p w14:paraId="7205EB3A">
            <w:pPr>
              <w:widowControl/>
              <w:jc w:val="center"/>
              <w:textAlignment w:val="center"/>
              <w:rPr>
                <w:rFonts w:ascii="Times New Roman" w:hAnsi="Times New Roman" w:eastAsia="宋体" w:cs="宋体"/>
                <w:bCs/>
                <w:color w:val="000000"/>
                <w:kern w:val="0"/>
                <w:sz w:val="21"/>
                <w:szCs w:val="21"/>
                <w:highlight w:val="none"/>
              </w:rPr>
            </w:pPr>
          </w:p>
        </w:tc>
        <w:tc>
          <w:tcPr>
            <w:tcW w:w="948" w:type="dxa"/>
            <w:tcBorders>
              <w:tl2br w:val="nil"/>
              <w:tr2bl w:val="nil"/>
            </w:tcBorders>
            <w:noWrap/>
            <w:tcMar>
              <w:top w:w="15" w:type="dxa"/>
              <w:left w:w="15" w:type="dxa"/>
              <w:right w:w="15" w:type="dxa"/>
            </w:tcMar>
            <w:vAlign w:val="center"/>
          </w:tcPr>
          <w:p w14:paraId="4319A4CA">
            <w:pPr>
              <w:widowControl/>
              <w:jc w:val="center"/>
              <w:textAlignment w:val="center"/>
              <w:rPr>
                <w:rFonts w:ascii="Times New Roman" w:hAnsi="Times New Roman" w:eastAsia="宋体" w:cs="宋体"/>
                <w:bCs/>
                <w:color w:val="000000"/>
                <w:kern w:val="0"/>
                <w:sz w:val="21"/>
                <w:szCs w:val="21"/>
                <w:highlight w:val="none"/>
              </w:rPr>
            </w:pPr>
          </w:p>
        </w:tc>
        <w:tc>
          <w:tcPr>
            <w:tcW w:w="3703" w:type="dxa"/>
            <w:tcBorders>
              <w:tl2br w:val="nil"/>
              <w:tr2bl w:val="nil"/>
            </w:tcBorders>
            <w:noWrap/>
            <w:tcMar>
              <w:top w:w="15" w:type="dxa"/>
              <w:left w:w="15" w:type="dxa"/>
              <w:right w:w="15" w:type="dxa"/>
            </w:tcMar>
            <w:vAlign w:val="center"/>
          </w:tcPr>
          <w:p w14:paraId="016DAB34">
            <w:pPr>
              <w:widowControl/>
              <w:jc w:val="center"/>
              <w:textAlignment w:val="center"/>
              <w:rPr>
                <w:rFonts w:ascii="Times New Roman" w:hAnsi="Times New Roman" w:eastAsia="宋体" w:cs="宋体"/>
                <w:bCs/>
                <w:color w:val="000000"/>
                <w:kern w:val="0"/>
                <w:sz w:val="21"/>
                <w:szCs w:val="21"/>
                <w:highlight w:val="none"/>
              </w:rPr>
            </w:pPr>
          </w:p>
        </w:tc>
      </w:tr>
      <w:tr w14:paraId="4D76993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248" w:type="dxa"/>
            <w:tcBorders>
              <w:tl2br w:val="nil"/>
              <w:tr2bl w:val="nil"/>
            </w:tcBorders>
            <w:noWrap/>
            <w:tcMar>
              <w:top w:w="15" w:type="dxa"/>
              <w:left w:w="15" w:type="dxa"/>
              <w:right w:w="15" w:type="dxa"/>
            </w:tcMar>
            <w:vAlign w:val="center"/>
          </w:tcPr>
          <w:p w14:paraId="3F579266">
            <w:pPr>
              <w:widowControl/>
              <w:jc w:val="center"/>
              <w:textAlignment w:val="center"/>
              <w:rPr>
                <w:rFonts w:ascii="Times New Roman" w:hAnsi="Times New Roman" w:eastAsia="宋体" w:cs="宋体"/>
                <w:bCs/>
                <w:color w:val="000000"/>
                <w:kern w:val="0"/>
                <w:sz w:val="21"/>
                <w:szCs w:val="21"/>
                <w:highlight w:val="none"/>
              </w:rPr>
            </w:pPr>
            <w:r>
              <w:t>...</w:t>
            </w:r>
          </w:p>
        </w:tc>
        <w:tc>
          <w:tcPr>
            <w:tcW w:w="948" w:type="dxa"/>
            <w:tcBorders>
              <w:tl2br w:val="nil"/>
              <w:tr2bl w:val="nil"/>
            </w:tcBorders>
            <w:noWrap/>
            <w:tcMar>
              <w:top w:w="15" w:type="dxa"/>
              <w:left w:w="15" w:type="dxa"/>
              <w:right w:w="15" w:type="dxa"/>
            </w:tcMar>
            <w:vAlign w:val="center"/>
          </w:tcPr>
          <w:p w14:paraId="1116AD3A">
            <w:pPr>
              <w:widowControl/>
              <w:jc w:val="center"/>
              <w:textAlignment w:val="center"/>
              <w:rPr>
                <w:rFonts w:ascii="Times New Roman" w:hAnsi="Times New Roman" w:eastAsia="宋体" w:cs="宋体"/>
                <w:bCs/>
                <w:color w:val="000000"/>
                <w:kern w:val="0"/>
                <w:sz w:val="21"/>
                <w:szCs w:val="21"/>
                <w:highlight w:val="none"/>
              </w:rPr>
            </w:pPr>
            <w:r>
              <w:t>...</w:t>
            </w:r>
          </w:p>
        </w:tc>
        <w:tc>
          <w:tcPr>
            <w:tcW w:w="948" w:type="dxa"/>
            <w:tcBorders>
              <w:tl2br w:val="nil"/>
              <w:tr2bl w:val="nil"/>
            </w:tcBorders>
            <w:noWrap/>
            <w:tcMar>
              <w:top w:w="15" w:type="dxa"/>
              <w:left w:w="15" w:type="dxa"/>
              <w:right w:w="15" w:type="dxa"/>
            </w:tcMar>
            <w:vAlign w:val="center"/>
          </w:tcPr>
          <w:p w14:paraId="7FBD9E29">
            <w:pPr>
              <w:widowControl/>
              <w:jc w:val="center"/>
              <w:textAlignment w:val="center"/>
              <w:rPr>
                <w:rFonts w:ascii="Times New Roman" w:hAnsi="Times New Roman" w:eastAsia="宋体" w:cs="宋体"/>
                <w:bCs/>
                <w:color w:val="000000"/>
                <w:kern w:val="0"/>
                <w:sz w:val="21"/>
                <w:szCs w:val="21"/>
                <w:highlight w:val="none"/>
              </w:rPr>
            </w:pPr>
            <w:r>
              <w:t>...</w:t>
            </w:r>
          </w:p>
        </w:tc>
        <w:tc>
          <w:tcPr>
            <w:tcW w:w="3703" w:type="dxa"/>
            <w:tcBorders>
              <w:tl2br w:val="nil"/>
              <w:tr2bl w:val="nil"/>
            </w:tcBorders>
            <w:noWrap/>
            <w:tcMar>
              <w:top w:w="15" w:type="dxa"/>
              <w:left w:w="15" w:type="dxa"/>
              <w:right w:w="15" w:type="dxa"/>
            </w:tcMar>
            <w:vAlign w:val="center"/>
          </w:tcPr>
          <w:p w14:paraId="15FF4C8C">
            <w:pPr>
              <w:widowControl/>
              <w:jc w:val="center"/>
              <w:textAlignment w:val="center"/>
              <w:rPr>
                <w:rFonts w:ascii="Times New Roman" w:hAnsi="Times New Roman" w:eastAsia="宋体" w:cs="宋体"/>
                <w:bCs/>
                <w:color w:val="000000"/>
                <w:kern w:val="0"/>
                <w:sz w:val="21"/>
                <w:szCs w:val="21"/>
                <w:highlight w:val="none"/>
              </w:rPr>
            </w:pPr>
          </w:p>
        </w:tc>
      </w:tr>
      <w:tr w14:paraId="47D2AB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248" w:type="dxa"/>
            <w:tcBorders>
              <w:tl2br w:val="nil"/>
              <w:tr2bl w:val="nil"/>
            </w:tcBorders>
            <w:noWrap/>
            <w:tcMar>
              <w:top w:w="15" w:type="dxa"/>
              <w:left w:w="15" w:type="dxa"/>
              <w:right w:w="15" w:type="dxa"/>
            </w:tcMar>
            <w:vAlign w:val="center"/>
          </w:tcPr>
          <w:p w14:paraId="628E91DA">
            <w:pPr>
              <w:widowControl/>
              <w:jc w:val="center"/>
              <w:textAlignment w:val="center"/>
              <w:rPr>
                <w:rFonts w:ascii="Times New Roman" w:hAnsi="Times New Roman" w:eastAsia="宋体" w:cs="宋体"/>
                <w:bCs/>
                <w:color w:val="000000"/>
                <w:kern w:val="0"/>
                <w:sz w:val="21"/>
                <w:szCs w:val="21"/>
                <w:highlight w:val="none"/>
              </w:rPr>
            </w:pPr>
            <w:r>
              <w:rPr>
                <w:b/>
                <w:color w:val="000000"/>
              </w:rPr>
              <w:t>套餐小计投标价单价（综合单价不区分男女、婚姻状况、地区）</w:t>
            </w:r>
          </w:p>
        </w:tc>
        <w:tc>
          <w:tcPr>
            <w:tcW w:w="948" w:type="dxa"/>
            <w:tcBorders>
              <w:tl2br w:val="nil"/>
              <w:tr2bl w:val="nil"/>
            </w:tcBorders>
            <w:noWrap/>
            <w:tcMar>
              <w:top w:w="15" w:type="dxa"/>
              <w:left w:w="15" w:type="dxa"/>
              <w:right w:w="15" w:type="dxa"/>
            </w:tcMar>
            <w:vAlign w:val="center"/>
          </w:tcPr>
          <w:p w14:paraId="41C00DEF">
            <w:pPr>
              <w:widowControl/>
              <w:jc w:val="center"/>
              <w:textAlignment w:val="center"/>
              <w:rPr>
                <w:rFonts w:ascii="Times New Roman" w:hAnsi="Times New Roman" w:eastAsia="宋体" w:cs="宋体"/>
                <w:bCs/>
                <w:color w:val="000000"/>
                <w:kern w:val="0"/>
                <w:sz w:val="21"/>
                <w:szCs w:val="21"/>
                <w:highlight w:val="none"/>
              </w:rPr>
            </w:pPr>
          </w:p>
        </w:tc>
        <w:tc>
          <w:tcPr>
            <w:tcW w:w="948" w:type="dxa"/>
            <w:tcBorders>
              <w:tl2br w:val="nil"/>
              <w:tr2bl w:val="nil"/>
            </w:tcBorders>
            <w:noWrap/>
            <w:tcMar>
              <w:top w:w="15" w:type="dxa"/>
              <w:left w:w="15" w:type="dxa"/>
              <w:right w:w="15" w:type="dxa"/>
            </w:tcMar>
            <w:vAlign w:val="center"/>
          </w:tcPr>
          <w:p w14:paraId="49EC8A03">
            <w:pPr>
              <w:widowControl/>
              <w:jc w:val="center"/>
              <w:textAlignment w:val="center"/>
              <w:rPr>
                <w:rFonts w:ascii="Times New Roman" w:hAnsi="Times New Roman" w:eastAsia="宋体" w:cs="宋体"/>
                <w:bCs/>
                <w:color w:val="000000"/>
                <w:kern w:val="0"/>
                <w:sz w:val="21"/>
                <w:szCs w:val="21"/>
                <w:highlight w:val="none"/>
              </w:rPr>
            </w:pPr>
            <w:r>
              <w:rPr>
                <w:color w:val="000000"/>
              </w:rPr>
              <w:t>/</w:t>
            </w:r>
          </w:p>
        </w:tc>
        <w:tc>
          <w:tcPr>
            <w:tcW w:w="3703" w:type="dxa"/>
            <w:tcBorders>
              <w:tl2br w:val="nil"/>
              <w:tr2bl w:val="nil"/>
            </w:tcBorders>
            <w:noWrap/>
            <w:tcMar>
              <w:top w:w="15" w:type="dxa"/>
              <w:left w:w="15" w:type="dxa"/>
              <w:right w:w="15" w:type="dxa"/>
            </w:tcMar>
            <w:vAlign w:val="center"/>
          </w:tcPr>
          <w:p w14:paraId="4B34C3AE">
            <w:pPr>
              <w:widowControl/>
              <w:jc w:val="center"/>
              <w:textAlignment w:val="center"/>
              <w:rPr>
                <w:rFonts w:ascii="Times New Roman" w:hAnsi="Times New Roman" w:eastAsia="宋体" w:cs="宋体"/>
                <w:bCs/>
                <w:color w:val="000000"/>
                <w:kern w:val="0"/>
                <w:sz w:val="21"/>
                <w:szCs w:val="21"/>
                <w:highlight w:val="none"/>
              </w:rPr>
            </w:pPr>
          </w:p>
        </w:tc>
      </w:tr>
    </w:tbl>
    <w:p w14:paraId="4E3DD4C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sz w:val="32"/>
          <w:szCs w:val="32"/>
          <w:highlight w:val="none"/>
          <w:lang w:val="zh-CN"/>
        </w:rPr>
      </w:pPr>
      <w:r>
        <w:rPr>
          <w:rFonts w:hint="eastAsia" w:ascii="黑体" w:hAnsi="黑体" w:eastAsia="黑体" w:cs="黑体"/>
          <w:b w:val="0"/>
          <w:bCs/>
          <w:color w:val="000000"/>
          <w:sz w:val="32"/>
          <w:szCs w:val="32"/>
          <w:highlight w:val="none"/>
          <w:lang w:val="en-US" w:eastAsia="zh-CN"/>
        </w:rPr>
        <w:t>三、体检套餐（限价不超过1000元/人）</w:t>
      </w:r>
    </w:p>
    <w:tbl>
      <w:tblPr>
        <w:tblStyle w:val="15"/>
        <w:tblW w:w="754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071"/>
        <w:gridCol w:w="2193"/>
        <w:gridCol w:w="930"/>
        <w:gridCol w:w="2355"/>
      </w:tblGrid>
      <w:tr w14:paraId="3179A8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071" w:type="dxa"/>
            <w:tcBorders>
              <w:tl2br w:val="nil"/>
              <w:tr2bl w:val="nil"/>
            </w:tcBorders>
            <w:noWrap/>
            <w:tcMar>
              <w:top w:w="15" w:type="dxa"/>
              <w:left w:w="15" w:type="dxa"/>
              <w:right w:w="15" w:type="dxa"/>
            </w:tcMar>
            <w:vAlign w:val="center"/>
          </w:tcPr>
          <w:p w14:paraId="32DA61C4">
            <w:pPr>
              <w:widowControl/>
              <w:jc w:val="center"/>
              <w:textAlignment w:val="center"/>
              <w:rPr>
                <w:rFonts w:hint="eastAsia" w:ascii="Times New Roman" w:hAnsi="Times New Roman" w:eastAsia="宋体" w:cs="宋体"/>
                <w:b/>
                <w:color w:val="000000"/>
                <w:kern w:val="0"/>
                <w:sz w:val="21"/>
                <w:szCs w:val="21"/>
                <w:highlight w:val="none"/>
                <w:lang w:val="en-US" w:eastAsia="zh-CN"/>
              </w:rPr>
            </w:pPr>
            <w:r>
              <w:rPr>
                <w:rFonts w:hint="eastAsia" w:ascii="Times New Roman" w:hAnsi="Times New Roman" w:eastAsia="宋体" w:cs="宋体"/>
                <w:b/>
                <w:color w:val="000000"/>
                <w:kern w:val="0"/>
                <w:sz w:val="21"/>
                <w:szCs w:val="21"/>
                <w:highlight w:val="none"/>
                <w:lang w:val="en-US" w:eastAsia="zh-CN"/>
              </w:rPr>
              <w:t>序号</w:t>
            </w:r>
          </w:p>
        </w:tc>
        <w:tc>
          <w:tcPr>
            <w:tcW w:w="2193" w:type="dxa"/>
            <w:tcBorders>
              <w:tl2br w:val="nil"/>
              <w:tr2bl w:val="nil"/>
            </w:tcBorders>
            <w:noWrap/>
            <w:tcMar>
              <w:top w:w="15" w:type="dxa"/>
              <w:left w:w="15" w:type="dxa"/>
              <w:right w:w="15" w:type="dxa"/>
            </w:tcMar>
            <w:vAlign w:val="center"/>
          </w:tcPr>
          <w:p w14:paraId="2E25F776">
            <w:pPr>
              <w:widowControl/>
              <w:jc w:val="center"/>
              <w:textAlignment w:val="center"/>
              <w:rPr>
                <w:rFonts w:hint="eastAsia" w:ascii="Times New Roman" w:hAnsi="Times New Roman" w:eastAsia="宋体" w:cs="宋体"/>
                <w:b/>
                <w:color w:val="000000"/>
                <w:kern w:val="0"/>
                <w:sz w:val="21"/>
                <w:szCs w:val="21"/>
                <w:highlight w:val="none"/>
                <w:lang w:val="en-US" w:eastAsia="zh-CN"/>
              </w:rPr>
            </w:pPr>
            <w:r>
              <w:rPr>
                <w:rFonts w:hint="eastAsia" w:ascii="Times New Roman" w:hAnsi="Times New Roman" w:eastAsia="宋体" w:cs="宋体"/>
                <w:b/>
                <w:color w:val="000000"/>
                <w:kern w:val="0"/>
                <w:sz w:val="21"/>
                <w:szCs w:val="21"/>
                <w:highlight w:val="none"/>
                <w:lang w:val="en-US" w:eastAsia="zh-CN"/>
              </w:rPr>
              <w:t>检查大类</w:t>
            </w:r>
          </w:p>
        </w:tc>
        <w:tc>
          <w:tcPr>
            <w:tcW w:w="930" w:type="dxa"/>
            <w:tcBorders>
              <w:tl2br w:val="nil"/>
              <w:tr2bl w:val="nil"/>
            </w:tcBorders>
            <w:noWrap/>
            <w:tcMar>
              <w:top w:w="15" w:type="dxa"/>
              <w:left w:w="15" w:type="dxa"/>
              <w:right w:w="15" w:type="dxa"/>
            </w:tcMar>
            <w:vAlign w:val="center"/>
          </w:tcPr>
          <w:p w14:paraId="1D2A2DE9">
            <w:pPr>
              <w:widowControl/>
              <w:jc w:val="center"/>
              <w:textAlignment w:val="center"/>
              <w:rPr>
                <w:rFonts w:hint="eastAsia" w:ascii="Times New Roman" w:hAnsi="Times New Roman" w:eastAsia="宋体" w:cs="宋体"/>
                <w:b/>
                <w:color w:val="000000"/>
                <w:kern w:val="0"/>
                <w:sz w:val="21"/>
                <w:szCs w:val="21"/>
                <w:highlight w:val="none"/>
                <w:lang w:val="en-US" w:eastAsia="zh-CN"/>
              </w:rPr>
            </w:pPr>
            <w:r>
              <w:rPr>
                <w:rFonts w:hint="eastAsia" w:ascii="Times New Roman" w:hAnsi="Times New Roman" w:eastAsia="宋体" w:cs="宋体"/>
                <w:b/>
                <w:color w:val="000000"/>
                <w:kern w:val="0"/>
                <w:sz w:val="21"/>
                <w:szCs w:val="21"/>
                <w:highlight w:val="none"/>
                <w:lang w:val="en-US" w:eastAsia="zh-CN"/>
              </w:rPr>
              <w:t>体检项目</w:t>
            </w:r>
          </w:p>
        </w:tc>
        <w:tc>
          <w:tcPr>
            <w:tcW w:w="2355" w:type="dxa"/>
            <w:tcBorders>
              <w:tl2br w:val="nil"/>
              <w:tr2bl w:val="nil"/>
            </w:tcBorders>
            <w:noWrap/>
            <w:tcMar>
              <w:top w:w="15" w:type="dxa"/>
              <w:left w:w="15" w:type="dxa"/>
              <w:right w:w="15" w:type="dxa"/>
            </w:tcMar>
            <w:vAlign w:val="center"/>
          </w:tcPr>
          <w:p w14:paraId="7098E5EB">
            <w:pPr>
              <w:widowControl/>
              <w:jc w:val="center"/>
              <w:textAlignment w:val="center"/>
              <w:rPr>
                <w:rFonts w:hint="eastAsia" w:ascii="Times New Roman" w:hAnsi="Times New Roman" w:eastAsia="宋体" w:cs="宋体"/>
                <w:b/>
                <w:color w:val="000000"/>
                <w:kern w:val="0"/>
                <w:sz w:val="21"/>
                <w:szCs w:val="21"/>
                <w:highlight w:val="none"/>
                <w:lang w:val="en-US" w:eastAsia="zh-CN"/>
              </w:rPr>
            </w:pPr>
            <w:r>
              <w:rPr>
                <w:rFonts w:hint="eastAsia" w:ascii="Times New Roman" w:hAnsi="Times New Roman" w:eastAsia="宋体" w:cs="宋体"/>
                <w:b/>
                <w:color w:val="000000"/>
                <w:kern w:val="0"/>
                <w:sz w:val="21"/>
                <w:szCs w:val="21"/>
                <w:highlight w:val="none"/>
                <w:lang w:val="en-US" w:eastAsia="zh-CN"/>
              </w:rPr>
              <w:t>分项单价（含增值税）</w:t>
            </w:r>
          </w:p>
        </w:tc>
      </w:tr>
      <w:tr w14:paraId="7F2659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071" w:type="dxa"/>
            <w:tcBorders>
              <w:tl2br w:val="nil"/>
              <w:tr2bl w:val="nil"/>
            </w:tcBorders>
            <w:noWrap/>
            <w:tcMar>
              <w:top w:w="15" w:type="dxa"/>
              <w:left w:w="15" w:type="dxa"/>
              <w:right w:w="15" w:type="dxa"/>
            </w:tcMar>
            <w:vAlign w:val="center"/>
          </w:tcPr>
          <w:p w14:paraId="71246B32">
            <w:pPr>
              <w:widowControl/>
              <w:jc w:val="center"/>
              <w:textAlignment w:val="center"/>
              <w:rPr>
                <w:rFonts w:ascii="Times New Roman" w:hAnsi="Times New Roman" w:eastAsia="宋体" w:cs="宋体"/>
                <w:bCs/>
                <w:color w:val="000000"/>
                <w:kern w:val="0"/>
                <w:sz w:val="21"/>
                <w:szCs w:val="21"/>
                <w:highlight w:val="none"/>
              </w:rPr>
            </w:pPr>
            <w:r>
              <w:t>1</w:t>
            </w:r>
          </w:p>
        </w:tc>
        <w:tc>
          <w:tcPr>
            <w:tcW w:w="2193" w:type="dxa"/>
            <w:tcBorders>
              <w:tl2br w:val="nil"/>
              <w:tr2bl w:val="nil"/>
            </w:tcBorders>
            <w:noWrap/>
            <w:tcMar>
              <w:top w:w="15" w:type="dxa"/>
              <w:left w:w="15" w:type="dxa"/>
              <w:right w:w="15" w:type="dxa"/>
            </w:tcMar>
            <w:vAlign w:val="center"/>
          </w:tcPr>
          <w:p w14:paraId="3EAC9A0F">
            <w:pPr>
              <w:widowControl/>
              <w:jc w:val="center"/>
              <w:textAlignment w:val="center"/>
              <w:rPr>
                <w:rFonts w:ascii="Times New Roman" w:hAnsi="Times New Roman" w:eastAsia="宋体" w:cs="宋体"/>
                <w:bCs/>
                <w:color w:val="000000"/>
                <w:kern w:val="0"/>
                <w:sz w:val="21"/>
                <w:szCs w:val="21"/>
                <w:highlight w:val="none"/>
              </w:rPr>
            </w:pPr>
          </w:p>
        </w:tc>
        <w:tc>
          <w:tcPr>
            <w:tcW w:w="930" w:type="dxa"/>
            <w:tcBorders>
              <w:tl2br w:val="nil"/>
              <w:tr2bl w:val="nil"/>
            </w:tcBorders>
            <w:noWrap/>
            <w:tcMar>
              <w:top w:w="15" w:type="dxa"/>
              <w:left w:w="15" w:type="dxa"/>
              <w:right w:w="15" w:type="dxa"/>
            </w:tcMar>
            <w:vAlign w:val="center"/>
          </w:tcPr>
          <w:p w14:paraId="68DB6ECC">
            <w:pPr>
              <w:widowControl/>
              <w:jc w:val="center"/>
              <w:textAlignment w:val="center"/>
              <w:rPr>
                <w:rFonts w:ascii="Times New Roman" w:hAnsi="Times New Roman" w:eastAsia="宋体" w:cs="宋体"/>
                <w:bCs/>
                <w:color w:val="000000"/>
                <w:kern w:val="0"/>
                <w:sz w:val="21"/>
                <w:szCs w:val="21"/>
                <w:highlight w:val="none"/>
              </w:rPr>
            </w:pPr>
          </w:p>
        </w:tc>
        <w:tc>
          <w:tcPr>
            <w:tcW w:w="2355" w:type="dxa"/>
            <w:tcBorders>
              <w:tl2br w:val="nil"/>
              <w:tr2bl w:val="nil"/>
            </w:tcBorders>
            <w:noWrap/>
            <w:tcMar>
              <w:top w:w="15" w:type="dxa"/>
              <w:left w:w="15" w:type="dxa"/>
              <w:right w:w="15" w:type="dxa"/>
            </w:tcMar>
            <w:vAlign w:val="center"/>
          </w:tcPr>
          <w:p w14:paraId="6B778A58">
            <w:pPr>
              <w:widowControl/>
              <w:jc w:val="center"/>
              <w:textAlignment w:val="center"/>
              <w:rPr>
                <w:rFonts w:ascii="Times New Roman" w:hAnsi="Times New Roman" w:eastAsia="宋体" w:cs="宋体"/>
                <w:bCs/>
                <w:color w:val="000000"/>
                <w:kern w:val="0"/>
                <w:sz w:val="21"/>
                <w:szCs w:val="21"/>
                <w:highlight w:val="none"/>
              </w:rPr>
            </w:pPr>
          </w:p>
        </w:tc>
      </w:tr>
      <w:tr w14:paraId="17AA79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071" w:type="dxa"/>
            <w:tcBorders>
              <w:tl2br w:val="nil"/>
              <w:tr2bl w:val="nil"/>
            </w:tcBorders>
            <w:noWrap/>
            <w:tcMar>
              <w:top w:w="15" w:type="dxa"/>
              <w:left w:w="15" w:type="dxa"/>
              <w:right w:w="15" w:type="dxa"/>
            </w:tcMar>
            <w:vAlign w:val="center"/>
          </w:tcPr>
          <w:p w14:paraId="00A77921">
            <w:pPr>
              <w:widowControl/>
              <w:jc w:val="center"/>
              <w:textAlignment w:val="center"/>
              <w:rPr>
                <w:rFonts w:ascii="Times New Roman" w:hAnsi="Times New Roman" w:eastAsia="宋体" w:cs="宋体"/>
                <w:bCs/>
                <w:color w:val="000000"/>
                <w:kern w:val="0"/>
                <w:sz w:val="21"/>
                <w:szCs w:val="21"/>
                <w:highlight w:val="none"/>
              </w:rPr>
            </w:pPr>
            <w:r>
              <w:t>2</w:t>
            </w:r>
          </w:p>
        </w:tc>
        <w:tc>
          <w:tcPr>
            <w:tcW w:w="2193" w:type="dxa"/>
            <w:tcBorders>
              <w:tl2br w:val="nil"/>
              <w:tr2bl w:val="nil"/>
            </w:tcBorders>
            <w:noWrap/>
            <w:tcMar>
              <w:top w:w="15" w:type="dxa"/>
              <w:left w:w="15" w:type="dxa"/>
              <w:right w:w="15" w:type="dxa"/>
            </w:tcMar>
            <w:vAlign w:val="center"/>
          </w:tcPr>
          <w:p w14:paraId="404D6CAC">
            <w:pPr>
              <w:widowControl/>
              <w:jc w:val="center"/>
              <w:textAlignment w:val="center"/>
              <w:rPr>
                <w:rFonts w:ascii="Times New Roman" w:hAnsi="Times New Roman" w:eastAsia="宋体" w:cs="宋体"/>
                <w:bCs/>
                <w:color w:val="000000"/>
                <w:kern w:val="0"/>
                <w:sz w:val="21"/>
                <w:szCs w:val="21"/>
                <w:highlight w:val="none"/>
              </w:rPr>
            </w:pPr>
          </w:p>
        </w:tc>
        <w:tc>
          <w:tcPr>
            <w:tcW w:w="930" w:type="dxa"/>
            <w:tcBorders>
              <w:tl2br w:val="nil"/>
              <w:tr2bl w:val="nil"/>
            </w:tcBorders>
            <w:noWrap/>
            <w:tcMar>
              <w:top w:w="15" w:type="dxa"/>
              <w:left w:w="15" w:type="dxa"/>
              <w:right w:w="15" w:type="dxa"/>
            </w:tcMar>
            <w:vAlign w:val="center"/>
          </w:tcPr>
          <w:p w14:paraId="354A8EB9">
            <w:pPr>
              <w:widowControl/>
              <w:jc w:val="center"/>
              <w:textAlignment w:val="center"/>
              <w:rPr>
                <w:rFonts w:ascii="Times New Roman" w:hAnsi="Times New Roman" w:eastAsia="宋体" w:cs="宋体"/>
                <w:bCs/>
                <w:color w:val="000000"/>
                <w:kern w:val="0"/>
                <w:sz w:val="21"/>
                <w:szCs w:val="21"/>
                <w:highlight w:val="none"/>
              </w:rPr>
            </w:pPr>
          </w:p>
        </w:tc>
        <w:tc>
          <w:tcPr>
            <w:tcW w:w="2355" w:type="dxa"/>
            <w:tcBorders>
              <w:tl2br w:val="nil"/>
              <w:tr2bl w:val="nil"/>
            </w:tcBorders>
            <w:noWrap/>
            <w:tcMar>
              <w:top w:w="15" w:type="dxa"/>
              <w:left w:w="15" w:type="dxa"/>
              <w:right w:w="15" w:type="dxa"/>
            </w:tcMar>
            <w:vAlign w:val="center"/>
          </w:tcPr>
          <w:p w14:paraId="0405450B">
            <w:pPr>
              <w:widowControl/>
              <w:jc w:val="center"/>
              <w:textAlignment w:val="center"/>
              <w:rPr>
                <w:rFonts w:ascii="Times New Roman" w:hAnsi="Times New Roman" w:eastAsia="宋体" w:cs="宋体"/>
                <w:bCs/>
                <w:color w:val="000000"/>
                <w:kern w:val="0"/>
                <w:sz w:val="21"/>
                <w:szCs w:val="21"/>
                <w:highlight w:val="none"/>
              </w:rPr>
            </w:pPr>
          </w:p>
        </w:tc>
      </w:tr>
      <w:tr w14:paraId="6B9967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071" w:type="dxa"/>
            <w:tcBorders>
              <w:tl2br w:val="nil"/>
              <w:tr2bl w:val="nil"/>
            </w:tcBorders>
            <w:noWrap/>
            <w:tcMar>
              <w:top w:w="15" w:type="dxa"/>
              <w:left w:w="15" w:type="dxa"/>
              <w:right w:w="15" w:type="dxa"/>
            </w:tcMar>
            <w:vAlign w:val="center"/>
          </w:tcPr>
          <w:p w14:paraId="0D482FD9">
            <w:pPr>
              <w:widowControl/>
              <w:jc w:val="center"/>
              <w:textAlignment w:val="center"/>
              <w:rPr>
                <w:rFonts w:ascii="Times New Roman" w:hAnsi="Times New Roman" w:eastAsia="宋体" w:cs="宋体"/>
                <w:bCs/>
                <w:color w:val="000000"/>
                <w:kern w:val="0"/>
                <w:sz w:val="21"/>
                <w:szCs w:val="21"/>
                <w:highlight w:val="none"/>
              </w:rPr>
            </w:pPr>
            <w:r>
              <w:t>...</w:t>
            </w:r>
          </w:p>
        </w:tc>
        <w:tc>
          <w:tcPr>
            <w:tcW w:w="2193" w:type="dxa"/>
            <w:tcBorders>
              <w:tl2br w:val="nil"/>
              <w:tr2bl w:val="nil"/>
            </w:tcBorders>
            <w:noWrap/>
            <w:tcMar>
              <w:top w:w="15" w:type="dxa"/>
              <w:left w:w="15" w:type="dxa"/>
              <w:right w:w="15" w:type="dxa"/>
            </w:tcMar>
            <w:vAlign w:val="center"/>
          </w:tcPr>
          <w:p w14:paraId="4FCE1E85">
            <w:pPr>
              <w:widowControl/>
              <w:jc w:val="center"/>
              <w:textAlignment w:val="center"/>
              <w:rPr>
                <w:rFonts w:ascii="Times New Roman" w:hAnsi="Times New Roman" w:eastAsia="宋体" w:cs="宋体"/>
                <w:bCs/>
                <w:color w:val="000000"/>
                <w:kern w:val="0"/>
                <w:sz w:val="21"/>
                <w:szCs w:val="21"/>
                <w:highlight w:val="none"/>
              </w:rPr>
            </w:pPr>
            <w:r>
              <w:t>...</w:t>
            </w:r>
          </w:p>
        </w:tc>
        <w:tc>
          <w:tcPr>
            <w:tcW w:w="930" w:type="dxa"/>
            <w:tcBorders>
              <w:tl2br w:val="nil"/>
              <w:tr2bl w:val="nil"/>
            </w:tcBorders>
            <w:noWrap/>
            <w:tcMar>
              <w:top w:w="15" w:type="dxa"/>
              <w:left w:w="15" w:type="dxa"/>
              <w:right w:w="15" w:type="dxa"/>
            </w:tcMar>
            <w:vAlign w:val="center"/>
          </w:tcPr>
          <w:p w14:paraId="4EA62B00">
            <w:pPr>
              <w:widowControl/>
              <w:jc w:val="center"/>
              <w:textAlignment w:val="center"/>
              <w:rPr>
                <w:rFonts w:ascii="Times New Roman" w:hAnsi="Times New Roman" w:eastAsia="宋体" w:cs="宋体"/>
                <w:bCs/>
                <w:color w:val="000000"/>
                <w:kern w:val="0"/>
                <w:sz w:val="21"/>
                <w:szCs w:val="21"/>
                <w:highlight w:val="none"/>
              </w:rPr>
            </w:pPr>
            <w:r>
              <w:t>...</w:t>
            </w:r>
          </w:p>
        </w:tc>
        <w:tc>
          <w:tcPr>
            <w:tcW w:w="2355" w:type="dxa"/>
            <w:tcBorders>
              <w:tl2br w:val="nil"/>
              <w:tr2bl w:val="nil"/>
            </w:tcBorders>
            <w:noWrap/>
            <w:tcMar>
              <w:top w:w="15" w:type="dxa"/>
              <w:left w:w="15" w:type="dxa"/>
              <w:right w:w="15" w:type="dxa"/>
            </w:tcMar>
            <w:vAlign w:val="center"/>
          </w:tcPr>
          <w:p w14:paraId="4B4A0D47">
            <w:pPr>
              <w:widowControl/>
              <w:jc w:val="center"/>
              <w:textAlignment w:val="center"/>
              <w:rPr>
                <w:rFonts w:ascii="Times New Roman" w:hAnsi="Times New Roman" w:eastAsia="宋体" w:cs="宋体"/>
                <w:bCs/>
                <w:color w:val="000000"/>
                <w:kern w:val="0"/>
                <w:sz w:val="21"/>
                <w:szCs w:val="21"/>
                <w:highlight w:val="none"/>
              </w:rPr>
            </w:pPr>
          </w:p>
        </w:tc>
      </w:tr>
      <w:tr w14:paraId="7F2C10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071" w:type="dxa"/>
            <w:tcBorders>
              <w:tl2br w:val="nil"/>
              <w:tr2bl w:val="nil"/>
            </w:tcBorders>
            <w:noWrap/>
            <w:tcMar>
              <w:top w:w="15" w:type="dxa"/>
              <w:left w:w="15" w:type="dxa"/>
              <w:right w:w="15" w:type="dxa"/>
            </w:tcMar>
            <w:vAlign w:val="center"/>
          </w:tcPr>
          <w:p w14:paraId="760F534E">
            <w:pPr>
              <w:widowControl/>
              <w:jc w:val="center"/>
              <w:textAlignment w:val="center"/>
              <w:rPr>
                <w:rFonts w:ascii="Times New Roman" w:hAnsi="Times New Roman" w:eastAsia="宋体" w:cs="宋体"/>
                <w:bCs/>
                <w:color w:val="000000"/>
                <w:kern w:val="0"/>
                <w:sz w:val="21"/>
                <w:szCs w:val="21"/>
                <w:highlight w:val="none"/>
              </w:rPr>
            </w:pPr>
            <w:r>
              <w:rPr>
                <w:b/>
                <w:color w:val="000000"/>
              </w:rPr>
              <w:t>套餐小计限价单价（综合单价不区分男女、婚姻状况、地区）</w:t>
            </w:r>
          </w:p>
        </w:tc>
        <w:tc>
          <w:tcPr>
            <w:tcW w:w="2193" w:type="dxa"/>
            <w:tcBorders>
              <w:tl2br w:val="nil"/>
              <w:tr2bl w:val="nil"/>
            </w:tcBorders>
            <w:noWrap/>
            <w:tcMar>
              <w:top w:w="15" w:type="dxa"/>
              <w:left w:w="15" w:type="dxa"/>
              <w:right w:w="15" w:type="dxa"/>
            </w:tcMar>
            <w:vAlign w:val="center"/>
          </w:tcPr>
          <w:p w14:paraId="7D2FDBA7">
            <w:pPr>
              <w:widowControl/>
              <w:jc w:val="center"/>
              <w:textAlignment w:val="center"/>
              <w:rPr>
                <w:rFonts w:ascii="Times New Roman" w:hAnsi="Times New Roman" w:eastAsia="宋体" w:cs="宋体"/>
                <w:bCs/>
                <w:color w:val="000000"/>
                <w:kern w:val="0"/>
                <w:sz w:val="21"/>
                <w:szCs w:val="21"/>
                <w:highlight w:val="none"/>
              </w:rPr>
            </w:pPr>
          </w:p>
        </w:tc>
        <w:tc>
          <w:tcPr>
            <w:tcW w:w="930" w:type="dxa"/>
            <w:tcBorders>
              <w:tl2br w:val="nil"/>
              <w:tr2bl w:val="nil"/>
            </w:tcBorders>
            <w:noWrap/>
            <w:tcMar>
              <w:top w:w="15" w:type="dxa"/>
              <w:left w:w="15" w:type="dxa"/>
              <w:right w:w="15" w:type="dxa"/>
            </w:tcMar>
            <w:vAlign w:val="center"/>
          </w:tcPr>
          <w:p w14:paraId="53AEC473">
            <w:pPr>
              <w:widowControl/>
              <w:jc w:val="center"/>
              <w:textAlignment w:val="center"/>
              <w:rPr>
                <w:rFonts w:ascii="Times New Roman" w:hAnsi="Times New Roman" w:eastAsia="宋体" w:cs="宋体"/>
                <w:bCs/>
                <w:color w:val="000000"/>
                <w:kern w:val="0"/>
                <w:sz w:val="21"/>
                <w:szCs w:val="21"/>
                <w:highlight w:val="none"/>
              </w:rPr>
            </w:pPr>
            <w:r>
              <w:rPr>
                <w:color w:val="000000"/>
              </w:rPr>
              <w:t>/</w:t>
            </w:r>
          </w:p>
        </w:tc>
        <w:tc>
          <w:tcPr>
            <w:tcW w:w="2355" w:type="dxa"/>
            <w:tcBorders>
              <w:tl2br w:val="nil"/>
              <w:tr2bl w:val="nil"/>
            </w:tcBorders>
            <w:noWrap/>
            <w:tcMar>
              <w:top w:w="15" w:type="dxa"/>
              <w:left w:w="15" w:type="dxa"/>
              <w:right w:w="15" w:type="dxa"/>
            </w:tcMar>
            <w:vAlign w:val="center"/>
          </w:tcPr>
          <w:p w14:paraId="0CDC61A9">
            <w:pPr>
              <w:widowControl/>
              <w:jc w:val="center"/>
              <w:textAlignment w:val="center"/>
              <w:rPr>
                <w:rFonts w:ascii="Times New Roman" w:hAnsi="Times New Roman" w:eastAsia="宋体" w:cs="宋体"/>
                <w:bCs/>
                <w:color w:val="000000"/>
                <w:kern w:val="0"/>
                <w:sz w:val="21"/>
                <w:szCs w:val="21"/>
                <w:highlight w:val="none"/>
              </w:rPr>
            </w:pPr>
            <w:r>
              <w:rPr>
                <w:rFonts w:hint="eastAsia"/>
                <w:color w:val="000000"/>
                <w:lang w:val="en-US" w:eastAsia="zh-CN"/>
              </w:rPr>
              <w:t xml:space="preserve">  </w:t>
            </w:r>
            <w:r>
              <w:rPr>
                <w:color w:val="000000"/>
              </w:rPr>
              <w:t>元/人</w:t>
            </w:r>
          </w:p>
        </w:tc>
      </w:tr>
    </w:tbl>
    <w:p w14:paraId="6A33F12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sz w:val="32"/>
          <w:szCs w:val="32"/>
          <w:highlight w:val="none"/>
          <w:lang w:val="zh-CN"/>
        </w:rPr>
      </w:pPr>
      <w:r>
        <w:rPr>
          <w:rFonts w:hint="eastAsia" w:ascii="黑体" w:hAnsi="黑体" w:eastAsia="黑体" w:cs="黑体"/>
          <w:b w:val="0"/>
          <w:bCs/>
          <w:color w:val="000000"/>
          <w:sz w:val="32"/>
          <w:szCs w:val="32"/>
          <w:highlight w:val="none"/>
          <w:lang w:val="en-US" w:eastAsia="zh-CN"/>
        </w:rPr>
        <w:t>四、体检套餐（限价不超过360元/人）</w:t>
      </w:r>
    </w:p>
    <w:tbl>
      <w:tblPr>
        <w:tblStyle w:val="15"/>
        <w:tblW w:w="760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229"/>
        <w:gridCol w:w="930"/>
        <w:gridCol w:w="930"/>
        <w:gridCol w:w="3513"/>
      </w:tblGrid>
      <w:tr w14:paraId="04D0CF9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4" w:hRule="atLeast"/>
          <w:jc w:val="center"/>
        </w:trPr>
        <w:tc>
          <w:tcPr>
            <w:tcW w:w="2229" w:type="dxa"/>
            <w:tcBorders>
              <w:tl2br w:val="nil"/>
              <w:tr2bl w:val="nil"/>
            </w:tcBorders>
            <w:noWrap/>
            <w:tcMar>
              <w:top w:w="15" w:type="dxa"/>
              <w:left w:w="15" w:type="dxa"/>
              <w:right w:w="15" w:type="dxa"/>
            </w:tcMar>
            <w:vAlign w:val="center"/>
          </w:tcPr>
          <w:p w14:paraId="562C7E39">
            <w:pPr>
              <w:widowControl/>
              <w:jc w:val="center"/>
              <w:textAlignment w:val="center"/>
              <w:rPr>
                <w:rFonts w:hint="eastAsia" w:ascii="Times New Roman" w:hAnsi="Times New Roman" w:eastAsia="宋体" w:cs="宋体"/>
                <w:b/>
                <w:color w:val="000000"/>
                <w:kern w:val="0"/>
                <w:sz w:val="21"/>
                <w:szCs w:val="21"/>
                <w:highlight w:val="none"/>
                <w:lang w:val="en-US" w:eastAsia="zh-CN"/>
              </w:rPr>
            </w:pPr>
            <w:r>
              <w:rPr>
                <w:rFonts w:hint="eastAsia" w:ascii="Times New Roman" w:hAnsi="Times New Roman" w:eastAsia="宋体" w:cs="宋体"/>
                <w:b/>
                <w:color w:val="000000"/>
                <w:kern w:val="0"/>
                <w:sz w:val="21"/>
                <w:szCs w:val="21"/>
                <w:highlight w:val="none"/>
                <w:lang w:val="en-US" w:eastAsia="zh-CN"/>
              </w:rPr>
              <w:t>序号</w:t>
            </w:r>
          </w:p>
        </w:tc>
        <w:tc>
          <w:tcPr>
            <w:tcW w:w="930" w:type="dxa"/>
            <w:tcBorders>
              <w:tl2br w:val="nil"/>
              <w:tr2bl w:val="nil"/>
            </w:tcBorders>
            <w:noWrap/>
            <w:tcMar>
              <w:top w:w="15" w:type="dxa"/>
              <w:left w:w="15" w:type="dxa"/>
              <w:right w:w="15" w:type="dxa"/>
            </w:tcMar>
            <w:vAlign w:val="center"/>
          </w:tcPr>
          <w:p w14:paraId="6BFCA111">
            <w:pPr>
              <w:widowControl/>
              <w:jc w:val="center"/>
              <w:textAlignment w:val="center"/>
              <w:rPr>
                <w:rFonts w:hint="eastAsia" w:ascii="Times New Roman" w:hAnsi="Times New Roman" w:eastAsia="宋体" w:cs="宋体"/>
                <w:b/>
                <w:color w:val="000000"/>
                <w:kern w:val="0"/>
                <w:sz w:val="21"/>
                <w:szCs w:val="21"/>
                <w:highlight w:val="none"/>
                <w:lang w:val="en-US" w:eastAsia="zh-CN"/>
              </w:rPr>
            </w:pPr>
            <w:r>
              <w:rPr>
                <w:rFonts w:hint="eastAsia" w:ascii="Times New Roman" w:hAnsi="Times New Roman" w:eastAsia="宋体" w:cs="宋体"/>
                <w:b/>
                <w:color w:val="000000"/>
                <w:kern w:val="0"/>
                <w:sz w:val="21"/>
                <w:szCs w:val="21"/>
                <w:highlight w:val="none"/>
                <w:lang w:val="en-US" w:eastAsia="zh-CN"/>
              </w:rPr>
              <w:t>检查大类</w:t>
            </w:r>
          </w:p>
        </w:tc>
        <w:tc>
          <w:tcPr>
            <w:tcW w:w="930" w:type="dxa"/>
            <w:tcBorders>
              <w:tl2br w:val="nil"/>
              <w:tr2bl w:val="nil"/>
            </w:tcBorders>
            <w:noWrap/>
            <w:tcMar>
              <w:top w:w="15" w:type="dxa"/>
              <w:left w:w="15" w:type="dxa"/>
              <w:right w:w="15" w:type="dxa"/>
            </w:tcMar>
            <w:vAlign w:val="center"/>
          </w:tcPr>
          <w:p w14:paraId="021FE4CF">
            <w:pPr>
              <w:widowControl/>
              <w:jc w:val="center"/>
              <w:textAlignment w:val="center"/>
              <w:rPr>
                <w:rFonts w:hint="eastAsia" w:ascii="Times New Roman" w:hAnsi="Times New Roman" w:eastAsia="宋体" w:cs="宋体"/>
                <w:b/>
                <w:color w:val="000000"/>
                <w:kern w:val="0"/>
                <w:sz w:val="21"/>
                <w:szCs w:val="21"/>
                <w:highlight w:val="none"/>
                <w:lang w:val="en-US" w:eastAsia="zh-CN"/>
              </w:rPr>
            </w:pPr>
            <w:r>
              <w:rPr>
                <w:rFonts w:hint="eastAsia" w:ascii="Times New Roman" w:hAnsi="Times New Roman" w:eastAsia="宋体" w:cs="宋体"/>
                <w:b/>
                <w:color w:val="000000"/>
                <w:kern w:val="0"/>
                <w:sz w:val="21"/>
                <w:szCs w:val="21"/>
                <w:highlight w:val="none"/>
                <w:lang w:val="en-US" w:eastAsia="zh-CN"/>
              </w:rPr>
              <w:t>体检项目</w:t>
            </w:r>
          </w:p>
        </w:tc>
        <w:tc>
          <w:tcPr>
            <w:tcW w:w="3513" w:type="dxa"/>
            <w:tcBorders>
              <w:tl2br w:val="nil"/>
              <w:tr2bl w:val="nil"/>
            </w:tcBorders>
            <w:noWrap/>
            <w:tcMar>
              <w:top w:w="15" w:type="dxa"/>
              <w:left w:w="15" w:type="dxa"/>
              <w:right w:w="15" w:type="dxa"/>
            </w:tcMar>
            <w:vAlign w:val="center"/>
          </w:tcPr>
          <w:p w14:paraId="0C966C73">
            <w:pPr>
              <w:widowControl/>
              <w:jc w:val="center"/>
              <w:textAlignment w:val="center"/>
              <w:rPr>
                <w:rFonts w:hint="eastAsia" w:ascii="Times New Roman" w:hAnsi="Times New Roman" w:eastAsia="宋体" w:cs="宋体"/>
                <w:b/>
                <w:color w:val="000000"/>
                <w:kern w:val="0"/>
                <w:sz w:val="21"/>
                <w:szCs w:val="21"/>
                <w:highlight w:val="none"/>
                <w:lang w:val="en-US" w:eastAsia="zh-CN"/>
              </w:rPr>
            </w:pPr>
            <w:r>
              <w:rPr>
                <w:rFonts w:hint="eastAsia" w:ascii="Times New Roman" w:hAnsi="Times New Roman" w:eastAsia="宋体" w:cs="宋体"/>
                <w:b/>
                <w:color w:val="000000"/>
                <w:kern w:val="0"/>
                <w:sz w:val="21"/>
                <w:szCs w:val="21"/>
                <w:highlight w:val="none"/>
                <w:lang w:val="en-US" w:eastAsia="zh-CN"/>
              </w:rPr>
              <w:t>分项单价（含增值税）</w:t>
            </w:r>
          </w:p>
        </w:tc>
      </w:tr>
      <w:tr w14:paraId="784A78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229" w:type="dxa"/>
            <w:tcBorders>
              <w:tl2br w:val="nil"/>
              <w:tr2bl w:val="nil"/>
            </w:tcBorders>
            <w:noWrap/>
            <w:tcMar>
              <w:top w:w="15" w:type="dxa"/>
              <w:left w:w="15" w:type="dxa"/>
              <w:right w:w="15" w:type="dxa"/>
            </w:tcMar>
            <w:vAlign w:val="center"/>
          </w:tcPr>
          <w:p w14:paraId="6BF6437E">
            <w:pPr>
              <w:widowControl/>
              <w:jc w:val="center"/>
              <w:textAlignment w:val="center"/>
              <w:rPr>
                <w:rFonts w:ascii="Times New Roman" w:hAnsi="Times New Roman" w:eastAsia="宋体" w:cs="宋体"/>
                <w:bCs/>
                <w:color w:val="000000"/>
                <w:kern w:val="0"/>
                <w:sz w:val="21"/>
                <w:szCs w:val="21"/>
                <w:highlight w:val="none"/>
              </w:rPr>
            </w:pPr>
            <w:r>
              <w:t>1</w:t>
            </w:r>
          </w:p>
        </w:tc>
        <w:tc>
          <w:tcPr>
            <w:tcW w:w="930" w:type="dxa"/>
            <w:tcBorders>
              <w:tl2br w:val="nil"/>
              <w:tr2bl w:val="nil"/>
            </w:tcBorders>
            <w:noWrap/>
            <w:tcMar>
              <w:top w:w="15" w:type="dxa"/>
              <w:left w:w="15" w:type="dxa"/>
              <w:right w:w="15" w:type="dxa"/>
            </w:tcMar>
            <w:vAlign w:val="center"/>
          </w:tcPr>
          <w:p w14:paraId="10128924">
            <w:pPr>
              <w:widowControl/>
              <w:jc w:val="center"/>
              <w:textAlignment w:val="center"/>
              <w:rPr>
                <w:rFonts w:ascii="Times New Roman" w:hAnsi="Times New Roman" w:eastAsia="宋体" w:cs="宋体"/>
                <w:bCs/>
                <w:color w:val="000000"/>
                <w:kern w:val="0"/>
                <w:sz w:val="21"/>
                <w:szCs w:val="21"/>
                <w:highlight w:val="none"/>
              </w:rPr>
            </w:pPr>
          </w:p>
        </w:tc>
        <w:tc>
          <w:tcPr>
            <w:tcW w:w="930" w:type="dxa"/>
            <w:tcBorders>
              <w:tl2br w:val="nil"/>
              <w:tr2bl w:val="nil"/>
            </w:tcBorders>
            <w:noWrap/>
            <w:tcMar>
              <w:top w:w="15" w:type="dxa"/>
              <w:left w:w="15" w:type="dxa"/>
              <w:right w:w="15" w:type="dxa"/>
            </w:tcMar>
            <w:vAlign w:val="center"/>
          </w:tcPr>
          <w:p w14:paraId="3EE314F2">
            <w:pPr>
              <w:widowControl/>
              <w:jc w:val="center"/>
              <w:textAlignment w:val="center"/>
              <w:rPr>
                <w:rFonts w:ascii="Times New Roman" w:hAnsi="Times New Roman" w:eastAsia="宋体" w:cs="宋体"/>
                <w:bCs/>
                <w:color w:val="000000"/>
                <w:kern w:val="0"/>
                <w:sz w:val="21"/>
                <w:szCs w:val="21"/>
                <w:highlight w:val="none"/>
              </w:rPr>
            </w:pPr>
          </w:p>
        </w:tc>
        <w:tc>
          <w:tcPr>
            <w:tcW w:w="3513" w:type="dxa"/>
            <w:tcBorders>
              <w:tl2br w:val="nil"/>
              <w:tr2bl w:val="nil"/>
            </w:tcBorders>
            <w:noWrap/>
            <w:tcMar>
              <w:top w:w="15" w:type="dxa"/>
              <w:left w:w="15" w:type="dxa"/>
              <w:right w:w="15" w:type="dxa"/>
            </w:tcMar>
            <w:vAlign w:val="center"/>
          </w:tcPr>
          <w:p w14:paraId="0B048FBB">
            <w:pPr>
              <w:widowControl/>
              <w:jc w:val="center"/>
              <w:textAlignment w:val="center"/>
              <w:rPr>
                <w:rFonts w:ascii="Times New Roman" w:hAnsi="Times New Roman" w:eastAsia="宋体" w:cs="宋体"/>
                <w:bCs/>
                <w:color w:val="000000"/>
                <w:kern w:val="0"/>
                <w:sz w:val="21"/>
                <w:szCs w:val="21"/>
                <w:highlight w:val="none"/>
              </w:rPr>
            </w:pPr>
          </w:p>
        </w:tc>
      </w:tr>
      <w:tr w14:paraId="09F7B2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229" w:type="dxa"/>
            <w:tcBorders>
              <w:tl2br w:val="nil"/>
              <w:tr2bl w:val="nil"/>
            </w:tcBorders>
            <w:noWrap/>
            <w:tcMar>
              <w:top w:w="15" w:type="dxa"/>
              <w:left w:w="15" w:type="dxa"/>
              <w:right w:w="15" w:type="dxa"/>
            </w:tcMar>
            <w:vAlign w:val="center"/>
          </w:tcPr>
          <w:p w14:paraId="63D7FF98">
            <w:pPr>
              <w:widowControl/>
              <w:jc w:val="center"/>
              <w:textAlignment w:val="center"/>
              <w:rPr>
                <w:rFonts w:ascii="Times New Roman" w:hAnsi="Times New Roman" w:eastAsia="宋体" w:cs="宋体"/>
                <w:bCs/>
                <w:color w:val="000000"/>
                <w:kern w:val="0"/>
                <w:sz w:val="21"/>
                <w:szCs w:val="21"/>
                <w:highlight w:val="none"/>
              </w:rPr>
            </w:pPr>
            <w:r>
              <w:t>2</w:t>
            </w:r>
          </w:p>
        </w:tc>
        <w:tc>
          <w:tcPr>
            <w:tcW w:w="930" w:type="dxa"/>
            <w:tcBorders>
              <w:tl2br w:val="nil"/>
              <w:tr2bl w:val="nil"/>
            </w:tcBorders>
            <w:noWrap/>
            <w:tcMar>
              <w:top w:w="15" w:type="dxa"/>
              <w:left w:w="15" w:type="dxa"/>
              <w:right w:w="15" w:type="dxa"/>
            </w:tcMar>
            <w:vAlign w:val="center"/>
          </w:tcPr>
          <w:p w14:paraId="61922E6E">
            <w:pPr>
              <w:widowControl/>
              <w:jc w:val="center"/>
              <w:textAlignment w:val="center"/>
              <w:rPr>
                <w:rFonts w:ascii="Times New Roman" w:hAnsi="Times New Roman" w:eastAsia="宋体" w:cs="宋体"/>
                <w:bCs/>
                <w:color w:val="000000"/>
                <w:kern w:val="0"/>
                <w:sz w:val="21"/>
                <w:szCs w:val="21"/>
                <w:highlight w:val="none"/>
              </w:rPr>
            </w:pPr>
          </w:p>
        </w:tc>
        <w:tc>
          <w:tcPr>
            <w:tcW w:w="930" w:type="dxa"/>
            <w:tcBorders>
              <w:tl2br w:val="nil"/>
              <w:tr2bl w:val="nil"/>
            </w:tcBorders>
            <w:noWrap/>
            <w:tcMar>
              <w:top w:w="15" w:type="dxa"/>
              <w:left w:w="15" w:type="dxa"/>
              <w:right w:w="15" w:type="dxa"/>
            </w:tcMar>
            <w:vAlign w:val="center"/>
          </w:tcPr>
          <w:p w14:paraId="63AA7476">
            <w:pPr>
              <w:widowControl/>
              <w:jc w:val="center"/>
              <w:textAlignment w:val="center"/>
              <w:rPr>
                <w:rFonts w:ascii="Times New Roman" w:hAnsi="Times New Roman" w:eastAsia="宋体" w:cs="宋体"/>
                <w:bCs/>
                <w:color w:val="000000"/>
                <w:kern w:val="0"/>
                <w:sz w:val="21"/>
                <w:szCs w:val="21"/>
                <w:highlight w:val="none"/>
              </w:rPr>
            </w:pPr>
          </w:p>
        </w:tc>
        <w:tc>
          <w:tcPr>
            <w:tcW w:w="3513" w:type="dxa"/>
            <w:tcBorders>
              <w:tl2br w:val="nil"/>
              <w:tr2bl w:val="nil"/>
            </w:tcBorders>
            <w:noWrap/>
            <w:tcMar>
              <w:top w:w="15" w:type="dxa"/>
              <w:left w:w="15" w:type="dxa"/>
              <w:right w:w="15" w:type="dxa"/>
            </w:tcMar>
            <w:vAlign w:val="center"/>
          </w:tcPr>
          <w:p w14:paraId="3FBFD1E6">
            <w:pPr>
              <w:widowControl/>
              <w:jc w:val="center"/>
              <w:textAlignment w:val="center"/>
              <w:rPr>
                <w:rFonts w:ascii="Times New Roman" w:hAnsi="Times New Roman" w:eastAsia="宋体" w:cs="宋体"/>
                <w:bCs/>
                <w:color w:val="000000"/>
                <w:kern w:val="0"/>
                <w:sz w:val="21"/>
                <w:szCs w:val="21"/>
                <w:highlight w:val="none"/>
              </w:rPr>
            </w:pPr>
          </w:p>
        </w:tc>
      </w:tr>
      <w:tr w14:paraId="5D6CBA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229" w:type="dxa"/>
            <w:tcBorders>
              <w:tl2br w:val="nil"/>
              <w:tr2bl w:val="nil"/>
            </w:tcBorders>
            <w:noWrap/>
            <w:tcMar>
              <w:top w:w="15" w:type="dxa"/>
              <w:left w:w="15" w:type="dxa"/>
              <w:right w:w="15" w:type="dxa"/>
            </w:tcMar>
            <w:vAlign w:val="center"/>
          </w:tcPr>
          <w:p w14:paraId="64586A58">
            <w:pPr>
              <w:widowControl/>
              <w:jc w:val="center"/>
              <w:textAlignment w:val="center"/>
              <w:rPr>
                <w:rFonts w:ascii="Times New Roman" w:hAnsi="Times New Roman" w:eastAsia="宋体" w:cs="宋体"/>
                <w:bCs/>
                <w:color w:val="000000"/>
                <w:kern w:val="0"/>
                <w:sz w:val="21"/>
                <w:szCs w:val="21"/>
                <w:highlight w:val="none"/>
              </w:rPr>
            </w:pPr>
            <w:r>
              <w:t>...</w:t>
            </w:r>
          </w:p>
        </w:tc>
        <w:tc>
          <w:tcPr>
            <w:tcW w:w="930" w:type="dxa"/>
            <w:tcBorders>
              <w:tl2br w:val="nil"/>
              <w:tr2bl w:val="nil"/>
            </w:tcBorders>
            <w:noWrap/>
            <w:tcMar>
              <w:top w:w="15" w:type="dxa"/>
              <w:left w:w="15" w:type="dxa"/>
              <w:right w:w="15" w:type="dxa"/>
            </w:tcMar>
            <w:vAlign w:val="center"/>
          </w:tcPr>
          <w:p w14:paraId="23E4C38C">
            <w:pPr>
              <w:widowControl/>
              <w:jc w:val="center"/>
              <w:textAlignment w:val="center"/>
              <w:rPr>
                <w:rFonts w:ascii="Times New Roman" w:hAnsi="Times New Roman" w:eastAsia="宋体" w:cs="宋体"/>
                <w:bCs/>
                <w:color w:val="000000"/>
                <w:kern w:val="0"/>
                <w:sz w:val="21"/>
                <w:szCs w:val="21"/>
                <w:highlight w:val="none"/>
              </w:rPr>
            </w:pPr>
            <w:r>
              <w:t>...</w:t>
            </w:r>
          </w:p>
        </w:tc>
        <w:tc>
          <w:tcPr>
            <w:tcW w:w="930" w:type="dxa"/>
            <w:tcBorders>
              <w:tl2br w:val="nil"/>
              <w:tr2bl w:val="nil"/>
            </w:tcBorders>
            <w:noWrap/>
            <w:tcMar>
              <w:top w:w="15" w:type="dxa"/>
              <w:left w:w="15" w:type="dxa"/>
              <w:right w:w="15" w:type="dxa"/>
            </w:tcMar>
            <w:vAlign w:val="center"/>
          </w:tcPr>
          <w:p w14:paraId="5C4991A7">
            <w:pPr>
              <w:widowControl/>
              <w:jc w:val="center"/>
              <w:textAlignment w:val="center"/>
              <w:rPr>
                <w:rFonts w:ascii="Times New Roman" w:hAnsi="Times New Roman" w:eastAsia="宋体" w:cs="宋体"/>
                <w:bCs/>
                <w:color w:val="000000"/>
                <w:kern w:val="0"/>
                <w:sz w:val="21"/>
                <w:szCs w:val="21"/>
                <w:highlight w:val="none"/>
              </w:rPr>
            </w:pPr>
            <w:r>
              <w:t>...</w:t>
            </w:r>
          </w:p>
        </w:tc>
        <w:tc>
          <w:tcPr>
            <w:tcW w:w="3513" w:type="dxa"/>
            <w:tcBorders>
              <w:tl2br w:val="nil"/>
              <w:tr2bl w:val="nil"/>
            </w:tcBorders>
            <w:noWrap/>
            <w:tcMar>
              <w:top w:w="15" w:type="dxa"/>
              <w:left w:w="15" w:type="dxa"/>
              <w:right w:w="15" w:type="dxa"/>
            </w:tcMar>
            <w:vAlign w:val="center"/>
          </w:tcPr>
          <w:p w14:paraId="0AF120F8">
            <w:pPr>
              <w:widowControl/>
              <w:jc w:val="center"/>
              <w:textAlignment w:val="center"/>
              <w:rPr>
                <w:rFonts w:ascii="Times New Roman" w:hAnsi="Times New Roman" w:eastAsia="宋体" w:cs="宋体"/>
                <w:bCs/>
                <w:color w:val="000000"/>
                <w:kern w:val="0"/>
                <w:sz w:val="21"/>
                <w:szCs w:val="21"/>
                <w:highlight w:val="none"/>
              </w:rPr>
            </w:pPr>
          </w:p>
        </w:tc>
      </w:tr>
      <w:tr w14:paraId="275FE1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7" w:hRule="atLeast"/>
          <w:jc w:val="center"/>
        </w:trPr>
        <w:tc>
          <w:tcPr>
            <w:tcW w:w="2229" w:type="dxa"/>
            <w:tcBorders>
              <w:tl2br w:val="nil"/>
              <w:tr2bl w:val="nil"/>
            </w:tcBorders>
            <w:noWrap/>
            <w:tcMar>
              <w:top w:w="15" w:type="dxa"/>
              <w:left w:w="15" w:type="dxa"/>
              <w:right w:w="15" w:type="dxa"/>
            </w:tcMar>
            <w:vAlign w:val="center"/>
          </w:tcPr>
          <w:p w14:paraId="2A29A5A0">
            <w:pPr>
              <w:widowControl/>
              <w:jc w:val="center"/>
              <w:textAlignment w:val="center"/>
              <w:rPr>
                <w:rFonts w:ascii="Times New Roman" w:hAnsi="Times New Roman" w:eastAsia="宋体" w:cs="宋体"/>
                <w:bCs/>
                <w:color w:val="000000"/>
                <w:kern w:val="0"/>
                <w:sz w:val="21"/>
                <w:szCs w:val="21"/>
                <w:highlight w:val="none"/>
              </w:rPr>
            </w:pPr>
            <w:r>
              <w:rPr>
                <w:b/>
                <w:color w:val="000000"/>
              </w:rPr>
              <w:t>套餐小计限价单价（综合单价不区分男女、婚姻状况、地区）</w:t>
            </w:r>
          </w:p>
        </w:tc>
        <w:tc>
          <w:tcPr>
            <w:tcW w:w="930" w:type="dxa"/>
            <w:tcBorders>
              <w:tl2br w:val="nil"/>
              <w:tr2bl w:val="nil"/>
            </w:tcBorders>
            <w:noWrap/>
            <w:tcMar>
              <w:top w:w="15" w:type="dxa"/>
              <w:left w:w="15" w:type="dxa"/>
              <w:right w:w="15" w:type="dxa"/>
            </w:tcMar>
            <w:vAlign w:val="center"/>
          </w:tcPr>
          <w:p w14:paraId="619436E7">
            <w:pPr>
              <w:widowControl/>
              <w:jc w:val="center"/>
              <w:textAlignment w:val="center"/>
              <w:rPr>
                <w:rFonts w:ascii="Times New Roman" w:hAnsi="Times New Roman" w:eastAsia="宋体" w:cs="宋体"/>
                <w:bCs/>
                <w:color w:val="000000"/>
                <w:kern w:val="0"/>
                <w:sz w:val="21"/>
                <w:szCs w:val="21"/>
                <w:highlight w:val="none"/>
              </w:rPr>
            </w:pPr>
          </w:p>
        </w:tc>
        <w:tc>
          <w:tcPr>
            <w:tcW w:w="930" w:type="dxa"/>
            <w:tcBorders>
              <w:tl2br w:val="nil"/>
              <w:tr2bl w:val="nil"/>
            </w:tcBorders>
            <w:noWrap/>
            <w:tcMar>
              <w:top w:w="15" w:type="dxa"/>
              <w:left w:w="15" w:type="dxa"/>
              <w:right w:w="15" w:type="dxa"/>
            </w:tcMar>
            <w:vAlign w:val="center"/>
          </w:tcPr>
          <w:p w14:paraId="4A69E3BD">
            <w:pPr>
              <w:widowControl/>
              <w:jc w:val="center"/>
              <w:textAlignment w:val="center"/>
              <w:rPr>
                <w:rFonts w:ascii="Times New Roman" w:hAnsi="Times New Roman" w:eastAsia="宋体" w:cs="宋体"/>
                <w:bCs/>
                <w:color w:val="000000"/>
                <w:kern w:val="0"/>
                <w:sz w:val="21"/>
                <w:szCs w:val="21"/>
                <w:highlight w:val="none"/>
              </w:rPr>
            </w:pPr>
            <w:r>
              <w:rPr>
                <w:color w:val="000000"/>
              </w:rPr>
              <w:t>/</w:t>
            </w:r>
          </w:p>
        </w:tc>
        <w:tc>
          <w:tcPr>
            <w:tcW w:w="3513" w:type="dxa"/>
            <w:tcBorders>
              <w:tl2br w:val="nil"/>
              <w:tr2bl w:val="nil"/>
            </w:tcBorders>
            <w:noWrap/>
            <w:tcMar>
              <w:top w:w="15" w:type="dxa"/>
              <w:left w:w="15" w:type="dxa"/>
              <w:right w:w="15" w:type="dxa"/>
            </w:tcMar>
            <w:vAlign w:val="center"/>
          </w:tcPr>
          <w:p w14:paraId="364EB417">
            <w:pPr>
              <w:widowControl/>
              <w:jc w:val="center"/>
              <w:textAlignment w:val="center"/>
              <w:rPr>
                <w:rFonts w:ascii="Times New Roman" w:hAnsi="Times New Roman" w:eastAsia="宋体" w:cs="宋体"/>
                <w:bCs/>
                <w:color w:val="000000"/>
                <w:kern w:val="0"/>
                <w:sz w:val="21"/>
                <w:szCs w:val="21"/>
                <w:highlight w:val="none"/>
              </w:rPr>
            </w:pPr>
            <w:r>
              <w:rPr>
                <w:rFonts w:hint="eastAsia"/>
                <w:color w:val="000000"/>
                <w:lang w:val="en-US" w:eastAsia="zh-CN"/>
              </w:rPr>
              <w:t xml:space="preserve">  </w:t>
            </w:r>
            <w:r>
              <w:rPr>
                <w:color w:val="000000"/>
              </w:rPr>
              <w:t>元/人</w:t>
            </w:r>
          </w:p>
        </w:tc>
      </w:tr>
    </w:tbl>
    <w:p w14:paraId="5411A135">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hint="eastAsia" w:ascii="黑体" w:hAnsi="黑体" w:eastAsia="黑体" w:cs="黑体"/>
          <w:b w:val="0"/>
          <w:bCs/>
          <w:sz w:val="24"/>
          <w:szCs w:val="24"/>
          <w:highlight w:val="none"/>
          <w:lang w:val="en-US" w:eastAsia="zh-CN"/>
        </w:rPr>
      </w:pPr>
      <w:r>
        <w:rPr>
          <w:rFonts w:hint="eastAsia" w:ascii="黑体" w:hAnsi="黑体" w:eastAsia="黑体" w:cs="黑体"/>
          <w:b w:val="0"/>
          <w:bCs/>
          <w:sz w:val="24"/>
          <w:szCs w:val="24"/>
          <w:highlight w:val="none"/>
          <w:lang w:val="en-US" w:eastAsia="zh-CN"/>
        </w:rPr>
        <w:t>三、价格合计：</w:t>
      </w:r>
    </w:p>
    <w:tbl>
      <w:tblPr>
        <w:tblStyle w:val="16"/>
        <w:tblW w:w="892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50"/>
        <w:gridCol w:w="2974"/>
        <w:gridCol w:w="1981"/>
        <w:gridCol w:w="2317"/>
      </w:tblGrid>
      <w:tr w14:paraId="640651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650" w:type="dxa"/>
            <w:tcBorders>
              <w:tl2br w:val="nil"/>
              <w:tr2bl w:val="nil"/>
            </w:tcBorders>
            <w:vAlign w:val="center"/>
          </w:tcPr>
          <w:p w14:paraId="13EB5187">
            <w:pPr>
              <w:jc w:val="center"/>
              <w:rPr>
                <w:rFonts w:hint="eastAsia" w:ascii="Times New Roman" w:hAnsi="Times New Roman" w:eastAsia="宋体"/>
                <w:b/>
                <w:highlight w:val="none"/>
                <w:lang w:val="en-US" w:eastAsia="zh-CN"/>
              </w:rPr>
            </w:pPr>
            <w:r>
              <w:rPr>
                <w:rFonts w:hint="eastAsia" w:ascii="Times New Roman" w:hAnsi="Times New Roman" w:eastAsia="宋体"/>
                <w:b/>
                <w:highlight w:val="none"/>
              </w:rPr>
              <w:t>采购标准</w:t>
            </w:r>
          </w:p>
        </w:tc>
        <w:tc>
          <w:tcPr>
            <w:tcW w:w="2974" w:type="dxa"/>
            <w:tcBorders>
              <w:tl2br w:val="nil"/>
              <w:tr2bl w:val="nil"/>
            </w:tcBorders>
            <w:vAlign w:val="center"/>
          </w:tcPr>
          <w:p w14:paraId="2B977A31">
            <w:pPr>
              <w:jc w:val="center"/>
              <w:rPr>
                <w:rFonts w:hint="eastAsia" w:ascii="Times New Roman" w:hAnsi="Times New Roman" w:eastAsia="宋体"/>
                <w:b/>
                <w:highlight w:val="none"/>
                <w:lang w:val="en-US" w:eastAsia="zh-CN"/>
              </w:rPr>
            </w:pPr>
            <w:r>
              <w:rPr>
                <w:rFonts w:hint="eastAsia" w:ascii="Times New Roman" w:hAnsi="Times New Roman" w:eastAsia="宋体"/>
                <w:b/>
                <w:highlight w:val="none"/>
              </w:rPr>
              <w:t>每单人体检套餐价格（含增值税）</w:t>
            </w:r>
          </w:p>
        </w:tc>
        <w:tc>
          <w:tcPr>
            <w:tcW w:w="1981" w:type="dxa"/>
            <w:tcBorders>
              <w:tl2br w:val="nil"/>
              <w:tr2bl w:val="nil"/>
            </w:tcBorders>
            <w:vAlign w:val="center"/>
          </w:tcPr>
          <w:p w14:paraId="1D060F05">
            <w:pPr>
              <w:jc w:val="center"/>
              <w:rPr>
                <w:rFonts w:hint="eastAsia" w:ascii="Times New Roman" w:hAnsi="Times New Roman" w:eastAsia="宋体"/>
                <w:b/>
                <w:highlight w:val="none"/>
                <w:lang w:val="en-US" w:eastAsia="zh-CN"/>
              </w:rPr>
            </w:pPr>
            <w:r>
              <w:rPr>
                <w:rFonts w:hint="eastAsia" w:ascii="Times New Roman" w:hAnsi="Times New Roman" w:eastAsia="宋体"/>
                <w:b/>
                <w:highlight w:val="none"/>
              </w:rPr>
              <w:t>预计体检人数</w:t>
            </w:r>
          </w:p>
        </w:tc>
        <w:tc>
          <w:tcPr>
            <w:tcW w:w="2317" w:type="dxa"/>
            <w:tcBorders>
              <w:tl2br w:val="nil"/>
              <w:tr2bl w:val="nil"/>
            </w:tcBorders>
            <w:vAlign w:val="center"/>
          </w:tcPr>
          <w:p w14:paraId="6C223B22">
            <w:pPr>
              <w:jc w:val="center"/>
              <w:rPr>
                <w:rFonts w:hint="eastAsia" w:ascii="Times New Roman" w:hAnsi="Times New Roman" w:eastAsia="宋体"/>
                <w:b/>
                <w:highlight w:val="none"/>
                <w:lang w:val="en-US" w:eastAsia="zh-CN"/>
              </w:rPr>
            </w:pPr>
            <w:r>
              <w:rPr>
                <w:rFonts w:hint="eastAsia" w:ascii="Times New Roman" w:hAnsi="Times New Roman" w:eastAsia="宋体"/>
                <w:b/>
                <w:highlight w:val="none"/>
              </w:rPr>
              <w:t>价格小计（含增值税）</w:t>
            </w:r>
          </w:p>
        </w:tc>
      </w:tr>
      <w:tr w14:paraId="572BF0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650" w:type="dxa"/>
            <w:tcBorders>
              <w:tl2br w:val="nil"/>
              <w:tr2bl w:val="nil"/>
            </w:tcBorders>
            <w:vAlign w:val="center"/>
          </w:tcPr>
          <w:p w14:paraId="57C2A89B">
            <w:pPr>
              <w:widowControl/>
              <w:jc w:val="center"/>
              <w:rPr>
                <w:rFonts w:ascii="Times New Roman" w:hAnsi="Times New Roman" w:eastAsia="宋体" w:cs="宋体"/>
                <w:bCs/>
                <w:kern w:val="0"/>
                <w:szCs w:val="21"/>
                <w:highlight w:val="none"/>
              </w:rPr>
            </w:pPr>
            <w:r>
              <w:rPr>
                <w:color w:val="000000"/>
              </w:rPr>
              <w:t>体检套餐（限价360元/人）</w:t>
            </w:r>
          </w:p>
        </w:tc>
        <w:tc>
          <w:tcPr>
            <w:tcW w:w="2974" w:type="dxa"/>
            <w:tcBorders>
              <w:tl2br w:val="nil"/>
              <w:tr2bl w:val="nil"/>
            </w:tcBorders>
            <w:vAlign w:val="center"/>
          </w:tcPr>
          <w:p w14:paraId="57B7BEAB">
            <w:pPr>
              <w:widowControl/>
              <w:jc w:val="center"/>
              <w:rPr>
                <w:rFonts w:ascii="Times New Roman" w:hAnsi="Times New Roman" w:eastAsia="宋体" w:cs="宋体"/>
                <w:bCs/>
                <w:kern w:val="0"/>
                <w:szCs w:val="21"/>
                <w:highlight w:val="none"/>
              </w:rPr>
            </w:pPr>
          </w:p>
        </w:tc>
        <w:tc>
          <w:tcPr>
            <w:tcW w:w="1981" w:type="dxa"/>
            <w:tcBorders>
              <w:tl2br w:val="nil"/>
              <w:tr2bl w:val="nil"/>
            </w:tcBorders>
            <w:vAlign w:val="center"/>
          </w:tcPr>
          <w:p w14:paraId="144629B2">
            <w:pPr>
              <w:widowControl/>
              <w:jc w:val="center"/>
              <w:rPr>
                <w:rFonts w:ascii="Times New Roman" w:hAnsi="Times New Roman" w:eastAsia="宋体" w:cs="宋体"/>
                <w:bCs/>
                <w:kern w:val="0"/>
                <w:szCs w:val="21"/>
                <w:highlight w:val="none"/>
              </w:rPr>
            </w:pPr>
            <w:r>
              <w:rPr>
                <w:color w:val="000000"/>
              </w:rPr>
              <w:t>150</w:t>
            </w:r>
          </w:p>
        </w:tc>
        <w:tc>
          <w:tcPr>
            <w:tcW w:w="2317" w:type="dxa"/>
            <w:tcBorders>
              <w:tl2br w:val="nil"/>
              <w:tr2bl w:val="nil"/>
            </w:tcBorders>
            <w:vAlign w:val="center"/>
          </w:tcPr>
          <w:p w14:paraId="713E4E52">
            <w:pPr>
              <w:widowControl/>
              <w:jc w:val="center"/>
              <w:rPr>
                <w:rFonts w:ascii="Times New Roman" w:hAnsi="Times New Roman" w:eastAsia="宋体" w:cs="宋体"/>
                <w:bCs/>
                <w:kern w:val="0"/>
                <w:szCs w:val="21"/>
                <w:highlight w:val="none"/>
              </w:rPr>
            </w:pPr>
          </w:p>
        </w:tc>
      </w:tr>
      <w:tr w14:paraId="59A50E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650" w:type="dxa"/>
            <w:tcBorders>
              <w:tl2br w:val="nil"/>
              <w:tr2bl w:val="nil"/>
            </w:tcBorders>
            <w:vAlign w:val="center"/>
          </w:tcPr>
          <w:p w14:paraId="3AB34C28">
            <w:pPr>
              <w:widowControl/>
              <w:jc w:val="center"/>
              <w:rPr>
                <w:rFonts w:ascii="Times New Roman" w:hAnsi="Times New Roman" w:eastAsia="宋体" w:cs="宋体"/>
                <w:bCs/>
                <w:kern w:val="0"/>
                <w:szCs w:val="21"/>
                <w:highlight w:val="none"/>
              </w:rPr>
            </w:pPr>
            <w:r>
              <w:rPr>
                <w:color w:val="000000"/>
              </w:rPr>
              <w:t>体检套餐（限价390元/人）</w:t>
            </w:r>
          </w:p>
        </w:tc>
        <w:tc>
          <w:tcPr>
            <w:tcW w:w="2974" w:type="dxa"/>
            <w:tcBorders>
              <w:tl2br w:val="nil"/>
              <w:tr2bl w:val="nil"/>
            </w:tcBorders>
            <w:vAlign w:val="center"/>
          </w:tcPr>
          <w:p w14:paraId="26FF6880">
            <w:pPr>
              <w:widowControl/>
              <w:jc w:val="center"/>
              <w:rPr>
                <w:rFonts w:ascii="Times New Roman" w:hAnsi="Times New Roman" w:eastAsia="宋体" w:cs="宋体"/>
                <w:bCs/>
                <w:kern w:val="0"/>
                <w:szCs w:val="21"/>
                <w:highlight w:val="none"/>
              </w:rPr>
            </w:pPr>
          </w:p>
        </w:tc>
        <w:tc>
          <w:tcPr>
            <w:tcW w:w="1981" w:type="dxa"/>
            <w:tcBorders>
              <w:tl2br w:val="nil"/>
              <w:tr2bl w:val="nil"/>
            </w:tcBorders>
            <w:vAlign w:val="center"/>
          </w:tcPr>
          <w:p w14:paraId="4E026F90">
            <w:pPr>
              <w:widowControl/>
              <w:jc w:val="center"/>
              <w:rPr>
                <w:rFonts w:ascii="Times New Roman" w:hAnsi="Times New Roman" w:eastAsia="宋体" w:cs="宋体"/>
                <w:bCs/>
                <w:kern w:val="0"/>
                <w:szCs w:val="21"/>
                <w:highlight w:val="none"/>
              </w:rPr>
            </w:pPr>
            <w:r>
              <w:rPr>
                <w:color w:val="000000"/>
              </w:rPr>
              <w:t>208</w:t>
            </w:r>
          </w:p>
        </w:tc>
        <w:tc>
          <w:tcPr>
            <w:tcW w:w="2317" w:type="dxa"/>
            <w:tcBorders>
              <w:tl2br w:val="nil"/>
              <w:tr2bl w:val="nil"/>
            </w:tcBorders>
            <w:vAlign w:val="center"/>
          </w:tcPr>
          <w:p w14:paraId="042186E2">
            <w:pPr>
              <w:widowControl/>
              <w:jc w:val="center"/>
              <w:rPr>
                <w:rFonts w:ascii="Times New Roman" w:hAnsi="Times New Roman" w:eastAsia="宋体" w:cs="宋体"/>
                <w:bCs/>
                <w:kern w:val="0"/>
                <w:szCs w:val="21"/>
                <w:highlight w:val="none"/>
              </w:rPr>
            </w:pPr>
          </w:p>
        </w:tc>
      </w:tr>
      <w:tr w14:paraId="54EFCE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650" w:type="dxa"/>
            <w:tcBorders>
              <w:tl2br w:val="nil"/>
              <w:tr2bl w:val="nil"/>
            </w:tcBorders>
            <w:vAlign w:val="center"/>
          </w:tcPr>
          <w:p w14:paraId="67C4030E">
            <w:pPr>
              <w:widowControl/>
              <w:jc w:val="center"/>
              <w:rPr>
                <w:rFonts w:ascii="Times New Roman" w:hAnsi="Times New Roman" w:eastAsia="宋体" w:cs="宋体"/>
                <w:bCs/>
                <w:kern w:val="0"/>
                <w:szCs w:val="21"/>
                <w:highlight w:val="none"/>
              </w:rPr>
            </w:pPr>
            <w:r>
              <w:rPr>
                <w:color w:val="000000"/>
              </w:rPr>
              <w:t>体检套餐（限价500元/人）</w:t>
            </w:r>
          </w:p>
        </w:tc>
        <w:tc>
          <w:tcPr>
            <w:tcW w:w="2974" w:type="dxa"/>
            <w:tcBorders>
              <w:tl2br w:val="nil"/>
              <w:tr2bl w:val="nil"/>
            </w:tcBorders>
            <w:vAlign w:val="center"/>
          </w:tcPr>
          <w:p w14:paraId="6574442B">
            <w:pPr>
              <w:widowControl/>
              <w:jc w:val="center"/>
              <w:rPr>
                <w:rFonts w:ascii="Times New Roman" w:hAnsi="Times New Roman" w:eastAsia="宋体" w:cs="宋体"/>
                <w:bCs/>
                <w:kern w:val="0"/>
                <w:szCs w:val="21"/>
                <w:highlight w:val="none"/>
              </w:rPr>
            </w:pPr>
          </w:p>
        </w:tc>
        <w:tc>
          <w:tcPr>
            <w:tcW w:w="1981" w:type="dxa"/>
            <w:tcBorders>
              <w:tl2br w:val="nil"/>
              <w:tr2bl w:val="nil"/>
            </w:tcBorders>
            <w:vAlign w:val="center"/>
          </w:tcPr>
          <w:p w14:paraId="31E44538">
            <w:pPr>
              <w:widowControl/>
              <w:jc w:val="center"/>
              <w:rPr>
                <w:rFonts w:ascii="Times New Roman" w:hAnsi="Times New Roman" w:eastAsia="宋体" w:cs="宋体"/>
                <w:bCs/>
                <w:kern w:val="0"/>
                <w:szCs w:val="21"/>
                <w:highlight w:val="none"/>
              </w:rPr>
            </w:pPr>
            <w:r>
              <w:rPr>
                <w:color w:val="000000"/>
              </w:rPr>
              <w:t>625</w:t>
            </w:r>
          </w:p>
        </w:tc>
        <w:tc>
          <w:tcPr>
            <w:tcW w:w="2317" w:type="dxa"/>
            <w:tcBorders>
              <w:tl2br w:val="nil"/>
              <w:tr2bl w:val="nil"/>
            </w:tcBorders>
            <w:vAlign w:val="center"/>
          </w:tcPr>
          <w:p w14:paraId="5AB08DA2">
            <w:pPr>
              <w:widowControl/>
              <w:jc w:val="center"/>
              <w:rPr>
                <w:rFonts w:ascii="Times New Roman" w:hAnsi="Times New Roman" w:eastAsia="宋体" w:cs="宋体"/>
                <w:bCs/>
                <w:kern w:val="0"/>
                <w:szCs w:val="21"/>
                <w:highlight w:val="none"/>
              </w:rPr>
            </w:pPr>
          </w:p>
        </w:tc>
      </w:tr>
      <w:tr w14:paraId="4E75E6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650" w:type="dxa"/>
            <w:tcBorders>
              <w:tl2br w:val="nil"/>
              <w:tr2bl w:val="nil"/>
            </w:tcBorders>
            <w:vAlign w:val="center"/>
          </w:tcPr>
          <w:p w14:paraId="0CB46B3E">
            <w:pPr>
              <w:widowControl/>
              <w:jc w:val="center"/>
              <w:rPr>
                <w:rFonts w:ascii="Times New Roman" w:hAnsi="Times New Roman" w:eastAsia="宋体" w:cs="宋体"/>
                <w:bCs/>
                <w:kern w:val="0"/>
                <w:szCs w:val="21"/>
                <w:highlight w:val="none"/>
              </w:rPr>
            </w:pPr>
            <w:r>
              <w:rPr>
                <w:color w:val="000000"/>
              </w:rPr>
              <w:t>体检套餐（限价1000元/人）</w:t>
            </w:r>
          </w:p>
        </w:tc>
        <w:tc>
          <w:tcPr>
            <w:tcW w:w="2974" w:type="dxa"/>
            <w:tcBorders>
              <w:tl2br w:val="nil"/>
              <w:tr2bl w:val="nil"/>
            </w:tcBorders>
            <w:vAlign w:val="center"/>
          </w:tcPr>
          <w:p w14:paraId="1E599167">
            <w:pPr>
              <w:widowControl/>
              <w:jc w:val="center"/>
              <w:rPr>
                <w:rFonts w:ascii="Times New Roman" w:hAnsi="Times New Roman" w:eastAsia="宋体" w:cs="宋体"/>
                <w:bCs/>
                <w:kern w:val="0"/>
                <w:szCs w:val="21"/>
                <w:highlight w:val="none"/>
              </w:rPr>
            </w:pPr>
          </w:p>
        </w:tc>
        <w:tc>
          <w:tcPr>
            <w:tcW w:w="1981" w:type="dxa"/>
            <w:tcBorders>
              <w:tl2br w:val="nil"/>
              <w:tr2bl w:val="nil"/>
            </w:tcBorders>
            <w:vAlign w:val="center"/>
          </w:tcPr>
          <w:p w14:paraId="46184ED3">
            <w:pPr>
              <w:widowControl/>
              <w:jc w:val="center"/>
              <w:rPr>
                <w:rFonts w:ascii="Times New Roman" w:hAnsi="Times New Roman" w:eastAsia="宋体" w:cs="宋体"/>
                <w:bCs/>
                <w:kern w:val="0"/>
                <w:szCs w:val="21"/>
                <w:highlight w:val="none"/>
              </w:rPr>
            </w:pPr>
            <w:r>
              <w:rPr>
                <w:color w:val="000000"/>
              </w:rPr>
              <w:t>15</w:t>
            </w:r>
          </w:p>
        </w:tc>
        <w:tc>
          <w:tcPr>
            <w:tcW w:w="2317" w:type="dxa"/>
            <w:tcBorders>
              <w:tl2br w:val="nil"/>
              <w:tr2bl w:val="nil"/>
            </w:tcBorders>
            <w:vAlign w:val="center"/>
          </w:tcPr>
          <w:p w14:paraId="4C6E9807">
            <w:pPr>
              <w:widowControl/>
              <w:jc w:val="center"/>
              <w:rPr>
                <w:rFonts w:ascii="Times New Roman" w:hAnsi="Times New Roman" w:eastAsia="宋体" w:cs="宋体"/>
                <w:bCs/>
                <w:kern w:val="0"/>
                <w:szCs w:val="21"/>
                <w:highlight w:val="none"/>
              </w:rPr>
            </w:pPr>
          </w:p>
        </w:tc>
      </w:tr>
      <w:tr w14:paraId="0662CC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650" w:type="dxa"/>
            <w:tcBorders>
              <w:tl2br w:val="nil"/>
              <w:tr2bl w:val="nil"/>
            </w:tcBorders>
            <w:vAlign w:val="center"/>
          </w:tcPr>
          <w:p w14:paraId="53AA7FEA">
            <w:pPr>
              <w:widowControl/>
              <w:jc w:val="center"/>
              <w:rPr>
                <w:rFonts w:ascii="Times New Roman" w:hAnsi="Times New Roman" w:eastAsia="宋体" w:cs="宋体"/>
                <w:bCs/>
                <w:kern w:val="0"/>
                <w:szCs w:val="21"/>
                <w:highlight w:val="none"/>
              </w:rPr>
            </w:pPr>
            <w:r>
              <w:rPr>
                <w:b/>
                <w:color w:val="000000"/>
              </w:rPr>
              <w:t>项目总报价（含增值税）</w:t>
            </w:r>
          </w:p>
        </w:tc>
        <w:tc>
          <w:tcPr>
            <w:tcW w:w="7272" w:type="dxa"/>
            <w:gridSpan w:val="3"/>
            <w:tcBorders>
              <w:tl2br w:val="nil"/>
              <w:tr2bl w:val="nil"/>
            </w:tcBorders>
            <w:vAlign w:val="center"/>
          </w:tcPr>
          <w:p w14:paraId="0204030D">
            <w:pPr>
              <w:widowControl/>
              <w:jc w:val="center"/>
              <w:rPr>
                <w:rFonts w:ascii="Times New Roman" w:hAnsi="Times New Roman" w:eastAsia="宋体" w:cs="宋体"/>
                <w:bCs/>
                <w:kern w:val="0"/>
                <w:szCs w:val="21"/>
                <w:highlight w:val="none"/>
              </w:rPr>
            </w:pPr>
          </w:p>
        </w:tc>
      </w:tr>
    </w:tbl>
    <w:p w14:paraId="2251FD0E">
      <w:pPr>
        <w:keepNext w:val="0"/>
        <w:keepLines w:val="0"/>
        <w:pageBreakBefore w:val="0"/>
        <w:widowControl w:val="0"/>
        <w:kinsoku/>
        <w:wordWrap/>
        <w:overflowPunct/>
        <w:topLinePunct w:val="0"/>
        <w:autoSpaceDE/>
        <w:autoSpaceDN/>
        <w:bidi w:val="0"/>
        <w:adjustRightInd w:val="0"/>
        <w:snapToGrid/>
        <w:spacing w:line="280" w:lineRule="exact"/>
        <w:ind w:firstLine="482" w:firstLineChars="200"/>
        <w:textAlignment w:val="auto"/>
        <w:rPr>
          <w:rFonts w:hint="eastAsia" w:ascii="Times New Roman" w:hAnsi="Times New Roman" w:eastAsia="仿宋_GB2312" w:cs="仿宋"/>
          <w:b/>
          <w:bCs w:val="0"/>
          <w:sz w:val="24"/>
          <w:szCs w:val="24"/>
          <w:highlight w:val="none"/>
          <w:lang w:val="en-US" w:eastAsia="zh-CN"/>
        </w:rPr>
      </w:pPr>
      <w:r>
        <w:rPr>
          <w:rFonts w:hint="eastAsia" w:ascii="Times New Roman" w:hAnsi="Times New Roman" w:eastAsia="仿宋_GB2312" w:cs="仿宋"/>
          <w:b/>
          <w:bCs w:val="0"/>
          <w:sz w:val="24"/>
          <w:szCs w:val="24"/>
          <w:highlight w:val="none"/>
          <w:lang w:val="en-US" w:eastAsia="zh-CN"/>
        </w:rPr>
        <w:t xml:space="preserve">报价要求： </w:t>
      </w:r>
    </w:p>
    <w:p w14:paraId="72E90A87">
      <w:pPr>
        <w:keepNext w:val="0"/>
        <w:keepLines w:val="0"/>
        <w:pageBreakBefore w:val="0"/>
        <w:widowControl w:val="0"/>
        <w:numPr>
          <w:ilvl w:val="0"/>
          <w:numId w:val="20"/>
        </w:numPr>
        <w:kinsoku/>
        <w:wordWrap/>
        <w:overflowPunct/>
        <w:topLinePunct w:val="0"/>
        <w:autoSpaceDE/>
        <w:autoSpaceDN/>
        <w:bidi w:val="0"/>
        <w:adjustRightInd/>
        <w:snapToGrid/>
        <w:spacing w:line="280" w:lineRule="exact"/>
        <w:ind w:firstLine="480" w:firstLineChars="200"/>
        <w:textAlignment w:val="auto"/>
        <w:rPr>
          <w:rFonts w:hint="eastAsia" w:ascii="Times New Roman" w:hAnsi="Times New Roman" w:eastAsia="仿宋_GB2312" w:cs="仿宋_GB2312"/>
          <w:bCs/>
          <w:sz w:val="24"/>
          <w:szCs w:val="24"/>
          <w:highlight w:val="none"/>
        </w:rPr>
      </w:pPr>
      <w:r>
        <w:rPr>
          <w:rFonts w:hint="eastAsia" w:ascii="Times New Roman" w:hAnsi="Times New Roman" w:eastAsia="仿宋_GB2312" w:cs="仿宋_GB2312"/>
          <w:bCs/>
          <w:sz w:val="24"/>
          <w:szCs w:val="24"/>
          <w:highlight w:val="none"/>
        </w:rPr>
        <w:t>投标总报价不得超过本项目限价</w:t>
      </w:r>
      <w:r>
        <w:rPr>
          <w:rFonts w:hint="eastAsia" w:ascii="Times New Roman" w:hAnsi="Times New Roman" w:eastAsia="仿宋_GB2312" w:cs="仿宋_GB2312"/>
          <w:bCs/>
          <w:sz w:val="24"/>
          <w:szCs w:val="24"/>
          <w:highlight w:val="none"/>
          <w:lang w:val="en-US" w:eastAsia="zh-CN"/>
        </w:rPr>
        <w:t>人民币462,620</w:t>
      </w:r>
      <w:r>
        <w:rPr>
          <w:rFonts w:hint="eastAsia" w:ascii="Times New Roman" w:hAnsi="Times New Roman" w:eastAsia="仿宋_GB2312" w:cs="仿宋_GB2312"/>
          <w:bCs/>
          <w:sz w:val="24"/>
          <w:szCs w:val="24"/>
          <w:highlight w:val="none"/>
        </w:rPr>
        <w:t>元</w:t>
      </w:r>
      <w:r>
        <w:rPr>
          <w:rFonts w:hint="eastAsia" w:ascii="Times New Roman" w:hAnsi="Times New Roman" w:eastAsia="仿宋_GB2312" w:cs="仿宋_GB2312"/>
          <w:bCs/>
          <w:sz w:val="24"/>
          <w:szCs w:val="24"/>
          <w:highlight w:val="none"/>
          <w:lang w:eastAsia="zh-CN"/>
        </w:rPr>
        <w:t>（</w:t>
      </w:r>
      <w:r>
        <w:rPr>
          <w:rFonts w:hint="eastAsia" w:ascii="Times New Roman" w:hAnsi="Times New Roman" w:eastAsia="仿宋_GB2312" w:cs="仿宋_GB2312"/>
          <w:bCs/>
          <w:sz w:val="24"/>
          <w:szCs w:val="24"/>
          <w:highlight w:val="none"/>
          <w:lang w:val="en-US" w:eastAsia="zh-CN"/>
        </w:rPr>
        <w:t>含增值税）</w:t>
      </w:r>
      <w:r>
        <w:rPr>
          <w:rFonts w:hint="eastAsia" w:ascii="Times New Roman" w:hAnsi="Times New Roman" w:eastAsia="仿宋_GB2312" w:cs="仿宋_GB2312"/>
          <w:bCs/>
          <w:sz w:val="24"/>
          <w:szCs w:val="24"/>
          <w:highlight w:val="none"/>
        </w:rPr>
        <w:t>，套餐分项价格不得超过对应限价，否则按废标处理。</w:t>
      </w:r>
    </w:p>
    <w:p w14:paraId="1CA30F2E">
      <w:pPr>
        <w:keepNext w:val="0"/>
        <w:keepLines w:val="0"/>
        <w:pageBreakBefore w:val="0"/>
        <w:widowControl w:val="0"/>
        <w:numPr>
          <w:ilvl w:val="0"/>
          <w:numId w:val="20"/>
        </w:numPr>
        <w:kinsoku/>
        <w:wordWrap/>
        <w:overflowPunct/>
        <w:topLinePunct w:val="0"/>
        <w:autoSpaceDE/>
        <w:autoSpaceDN/>
        <w:bidi w:val="0"/>
        <w:adjustRightInd/>
        <w:snapToGrid/>
        <w:spacing w:line="280" w:lineRule="exact"/>
        <w:ind w:firstLine="480" w:firstLineChars="200"/>
        <w:textAlignment w:val="auto"/>
        <w:rPr>
          <w:rFonts w:hint="eastAsia" w:ascii="Times New Roman" w:hAnsi="Times New Roman" w:eastAsia="仿宋_GB2312" w:cs="仿宋_GB2312"/>
          <w:bCs/>
          <w:sz w:val="24"/>
          <w:szCs w:val="24"/>
          <w:highlight w:val="none"/>
        </w:rPr>
      </w:pPr>
      <w:r>
        <w:rPr>
          <w:rFonts w:hint="eastAsia" w:ascii="Times New Roman" w:hAnsi="Times New Roman" w:eastAsia="仿宋_GB2312" w:cs="仿宋_GB2312"/>
          <w:bCs/>
          <w:sz w:val="24"/>
          <w:szCs w:val="24"/>
          <w:highlight w:val="none"/>
        </w:rPr>
        <w:t>本表数据逻辑应保持一致，否则应由投标人进行澄清，澄清后价格不可突破投标报价上限，如拒不澄清或澄清后价格突破投标文件中报价上限的，按废标处理；</w:t>
      </w:r>
    </w:p>
    <w:p w14:paraId="115BC71D">
      <w:pPr>
        <w:keepNext w:val="0"/>
        <w:keepLines w:val="0"/>
        <w:pageBreakBefore w:val="0"/>
        <w:widowControl w:val="0"/>
        <w:numPr>
          <w:ilvl w:val="0"/>
          <w:numId w:val="20"/>
        </w:numPr>
        <w:kinsoku/>
        <w:wordWrap/>
        <w:overflowPunct/>
        <w:topLinePunct w:val="0"/>
        <w:autoSpaceDE/>
        <w:autoSpaceDN/>
        <w:bidi w:val="0"/>
        <w:adjustRightInd/>
        <w:snapToGrid/>
        <w:spacing w:line="280" w:lineRule="exact"/>
        <w:ind w:firstLine="480" w:firstLineChars="200"/>
        <w:textAlignment w:val="auto"/>
        <w:rPr>
          <w:rFonts w:hint="eastAsia" w:ascii="Times New Roman" w:hAnsi="Times New Roman" w:eastAsia="仿宋_GB2312" w:cs="仿宋_GB2312"/>
          <w:bCs/>
          <w:sz w:val="24"/>
          <w:szCs w:val="24"/>
          <w:highlight w:val="none"/>
          <w:lang w:val="en-US" w:eastAsia="zh-CN"/>
        </w:rPr>
      </w:pPr>
      <w:r>
        <w:rPr>
          <w:rFonts w:hint="eastAsia" w:ascii="Times New Roman" w:hAnsi="Times New Roman" w:eastAsia="仿宋_GB2312" w:cs="仿宋_GB2312"/>
          <w:bCs/>
          <w:sz w:val="24"/>
          <w:szCs w:val="24"/>
          <w:highlight w:val="none"/>
        </w:rPr>
        <w:t>此表应经法定代表人或授权代表人签名，并加盖投标人单位公章，否则无效，作废标处理</w:t>
      </w:r>
      <w:r>
        <w:rPr>
          <w:rFonts w:hint="eastAsia" w:ascii="Times New Roman" w:hAnsi="Times New Roman" w:eastAsia="仿宋_GB2312" w:cs="仿宋_GB2312"/>
          <w:bCs/>
          <w:sz w:val="24"/>
          <w:szCs w:val="24"/>
          <w:highlight w:val="none"/>
          <w:lang w:eastAsia="zh-CN"/>
        </w:rPr>
        <w:t>。</w:t>
      </w:r>
    </w:p>
    <w:p w14:paraId="07BE9925">
      <w:pPr>
        <w:keepNext w:val="0"/>
        <w:keepLines w:val="0"/>
        <w:pageBreakBefore w:val="0"/>
        <w:widowControl w:val="0"/>
        <w:numPr>
          <w:ilvl w:val="0"/>
          <w:numId w:val="20"/>
        </w:numPr>
        <w:kinsoku/>
        <w:wordWrap/>
        <w:overflowPunct/>
        <w:topLinePunct w:val="0"/>
        <w:autoSpaceDE/>
        <w:autoSpaceDN/>
        <w:bidi w:val="0"/>
        <w:adjustRightInd/>
        <w:snapToGrid/>
        <w:spacing w:line="280" w:lineRule="exact"/>
        <w:ind w:firstLine="480" w:firstLineChars="200"/>
        <w:textAlignment w:val="auto"/>
        <w:rPr>
          <w:rFonts w:hint="eastAsia" w:ascii="Times New Roman" w:hAnsi="Times New Roman" w:eastAsia="仿宋_GB2312" w:cs="仿宋_GB2312"/>
          <w:bCs/>
          <w:sz w:val="24"/>
          <w:szCs w:val="24"/>
          <w:highlight w:val="none"/>
          <w:lang w:val="en-US" w:eastAsia="zh-CN"/>
        </w:rPr>
      </w:pPr>
      <w:r>
        <w:rPr>
          <w:rFonts w:hint="eastAsia" w:ascii="Times New Roman" w:hAnsi="Times New Roman" w:eastAsia="仿宋_GB2312" w:cs="仿宋_GB2312"/>
          <w:bCs/>
          <w:sz w:val="24"/>
          <w:szCs w:val="24"/>
          <w:highlight w:val="none"/>
          <w:lang w:val="en-US" w:eastAsia="zh-CN"/>
        </w:rPr>
        <w:t>投标人应保证本表与本项目 投标文件格式4体检套餐及项目清单 所承诺的体检项目内容均一致，如内容不一致的，按有利于招标人及招标人外派员工利益的理解执行。</w:t>
      </w:r>
    </w:p>
    <w:p w14:paraId="7613FE4F">
      <w:pPr>
        <w:keepNext w:val="0"/>
        <w:keepLines w:val="0"/>
        <w:pageBreakBefore w:val="0"/>
        <w:widowControl w:val="0"/>
        <w:numPr>
          <w:ilvl w:val="0"/>
          <w:numId w:val="20"/>
        </w:numPr>
        <w:kinsoku/>
        <w:wordWrap/>
        <w:overflowPunct/>
        <w:topLinePunct w:val="0"/>
        <w:autoSpaceDE/>
        <w:autoSpaceDN/>
        <w:bidi w:val="0"/>
        <w:adjustRightInd/>
        <w:snapToGrid/>
        <w:spacing w:line="280" w:lineRule="exact"/>
        <w:ind w:firstLine="480" w:firstLineChars="200"/>
        <w:textAlignment w:val="auto"/>
        <w:rPr>
          <w:rFonts w:hint="eastAsia" w:ascii="Times New Roman" w:hAnsi="Times New Roman" w:eastAsia="仿宋_GB2312" w:cs="仿宋_GB2312"/>
          <w:bCs/>
          <w:sz w:val="24"/>
          <w:szCs w:val="24"/>
          <w:highlight w:val="none"/>
        </w:rPr>
      </w:pPr>
      <w:r>
        <w:rPr>
          <w:rFonts w:hint="eastAsia" w:ascii="Times New Roman" w:hAnsi="Times New Roman" w:eastAsia="仿宋_GB2312" w:cs="仿宋_GB2312"/>
          <w:bCs/>
          <w:sz w:val="24"/>
          <w:szCs w:val="24"/>
          <w:highlight w:val="none"/>
        </w:rPr>
        <w:t>投标人应按</w:t>
      </w:r>
      <w:r>
        <w:rPr>
          <w:rFonts w:hint="eastAsia" w:ascii="Times New Roman" w:hAnsi="Times New Roman" w:eastAsia="仿宋_GB2312" w:cs="仿宋_GB2312"/>
          <w:bCs/>
          <w:sz w:val="24"/>
          <w:szCs w:val="24"/>
          <w:highlight w:val="none"/>
          <w:lang w:val="en-US" w:eastAsia="zh-CN"/>
        </w:rPr>
        <w:t>本项目招标文件要求填写本表</w:t>
      </w:r>
      <w:r>
        <w:rPr>
          <w:rFonts w:hint="eastAsia" w:ascii="Times New Roman" w:hAnsi="Times New Roman" w:eastAsia="仿宋_GB2312" w:cs="仿宋_GB2312"/>
          <w:bCs/>
          <w:sz w:val="24"/>
          <w:szCs w:val="24"/>
          <w:highlight w:val="none"/>
        </w:rPr>
        <w:t>，不可缺项、漏项、错项，否则</w:t>
      </w:r>
      <w:r>
        <w:rPr>
          <w:rFonts w:hint="eastAsia" w:ascii="Times New Roman" w:hAnsi="Times New Roman" w:eastAsia="仿宋_GB2312" w:cs="仿宋_GB2312"/>
          <w:bCs/>
          <w:sz w:val="24"/>
          <w:szCs w:val="24"/>
          <w:highlight w:val="none"/>
          <w:lang w:val="en-US" w:eastAsia="zh-CN"/>
        </w:rPr>
        <w:t>将</w:t>
      </w:r>
      <w:r>
        <w:rPr>
          <w:rFonts w:hint="eastAsia" w:ascii="Times New Roman" w:hAnsi="Times New Roman" w:eastAsia="仿宋_GB2312" w:cs="仿宋_GB2312"/>
          <w:bCs/>
          <w:sz w:val="24"/>
          <w:szCs w:val="24"/>
          <w:highlight w:val="none"/>
        </w:rPr>
        <w:t>导致</w:t>
      </w:r>
      <w:r>
        <w:rPr>
          <w:rFonts w:hint="eastAsia" w:ascii="Times New Roman" w:hAnsi="Times New Roman" w:eastAsia="仿宋_GB2312" w:cs="仿宋_GB2312"/>
          <w:bCs/>
          <w:sz w:val="24"/>
          <w:szCs w:val="24"/>
          <w:highlight w:val="none"/>
          <w:lang w:val="en-US" w:eastAsia="zh-CN"/>
        </w:rPr>
        <w:t>投标无效</w:t>
      </w:r>
      <w:r>
        <w:rPr>
          <w:rFonts w:hint="eastAsia" w:ascii="Times New Roman" w:hAnsi="Times New Roman" w:eastAsia="仿宋_GB2312" w:cs="仿宋_GB2312"/>
          <w:bCs/>
          <w:sz w:val="24"/>
          <w:szCs w:val="24"/>
          <w:highlight w:val="none"/>
        </w:rPr>
        <w:t>；</w:t>
      </w:r>
    </w:p>
    <w:p w14:paraId="04F9E9C8">
      <w:pPr>
        <w:keepNext w:val="0"/>
        <w:keepLines w:val="0"/>
        <w:pageBreakBefore w:val="0"/>
        <w:widowControl w:val="0"/>
        <w:numPr>
          <w:ilvl w:val="0"/>
          <w:numId w:val="20"/>
        </w:numPr>
        <w:kinsoku/>
        <w:wordWrap/>
        <w:overflowPunct/>
        <w:topLinePunct w:val="0"/>
        <w:autoSpaceDE/>
        <w:autoSpaceDN/>
        <w:bidi w:val="0"/>
        <w:adjustRightInd/>
        <w:snapToGrid/>
        <w:spacing w:line="280" w:lineRule="exact"/>
        <w:ind w:firstLine="480" w:firstLineChars="200"/>
        <w:textAlignment w:val="auto"/>
        <w:rPr>
          <w:rFonts w:hint="eastAsia" w:ascii="Times New Roman" w:hAnsi="Times New Roman" w:eastAsia="仿宋_GB2312" w:cs="仿宋_GB2312"/>
          <w:bCs/>
          <w:sz w:val="24"/>
          <w:szCs w:val="24"/>
          <w:highlight w:val="none"/>
        </w:rPr>
      </w:pPr>
      <w:r>
        <w:rPr>
          <w:rFonts w:hint="eastAsia" w:ascii="Times New Roman" w:hAnsi="Times New Roman" w:eastAsia="仿宋_GB2312" w:cs="仿宋_GB2312"/>
          <w:bCs/>
          <w:sz w:val="24"/>
          <w:szCs w:val="24"/>
          <w:highlight w:val="none"/>
        </w:rPr>
        <w:t>投标人如需对报价或其它内容加以说明，可在备注栏填写；</w:t>
      </w:r>
    </w:p>
    <w:p w14:paraId="45925603">
      <w:pPr>
        <w:keepNext w:val="0"/>
        <w:keepLines w:val="0"/>
        <w:pageBreakBefore w:val="0"/>
        <w:widowControl w:val="0"/>
        <w:numPr>
          <w:ilvl w:val="0"/>
          <w:numId w:val="20"/>
        </w:numPr>
        <w:kinsoku/>
        <w:wordWrap/>
        <w:overflowPunct/>
        <w:topLinePunct w:val="0"/>
        <w:autoSpaceDE/>
        <w:autoSpaceDN/>
        <w:bidi w:val="0"/>
        <w:adjustRightInd/>
        <w:snapToGrid/>
        <w:spacing w:line="280" w:lineRule="exact"/>
        <w:ind w:firstLine="480" w:firstLineChars="200"/>
        <w:textAlignment w:val="auto"/>
        <w:rPr>
          <w:rFonts w:hint="eastAsia" w:ascii="Times New Roman" w:hAnsi="Times New Roman" w:eastAsia="仿宋_GB2312" w:cs="仿宋_GB2312"/>
          <w:bCs/>
          <w:sz w:val="24"/>
          <w:szCs w:val="24"/>
          <w:highlight w:val="none"/>
        </w:rPr>
      </w:pPr>
      <w:r>
        <w:rPr>
          <w:rFonts w:hint="eastAsia" w:ascii="Times New Roman" w:hAnsi="Times New Roman" w:eastAsia="仿宋_GB2312" w:cs="仿宋_GB2312"/>
          <w:bCs/>
          <w:sz w:val="24"/>
          <w:szCs w:val="24"/>
          <w:highlight w:val="none"/>
        </w:rPr>
        <w:t>投标金额大小写不一致的以大写为准。电子文档与纸质文档不一致的以纸质文档为准。正本与副本不一致的以正本为准。总价填列与计算结果不一致的以最终计算与修正结果为准。</w:t>
      </w:r>
    </w:p>
    <w:p w14:paraId="41BDDFB2">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765D9C9D">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6D34B890">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5B720CA7">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65DD05C0">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651AF6E3">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4660392E">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5B87E759">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3682C880">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3FE6A478">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72E0FDE3">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5CA785EE">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3A118825">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190975AD">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1BACA018">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1399EAEA">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40EC1BAC">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765D733F">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3188739B">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4F9E34CD">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6E7097FC">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7BD8A1A1">
      <w:pPr>
        <w:keepNext w:val="0"/>
        <w:keepLines w:val="0"/>
        <w:pageBreakBefore w:val="0"/>
        <w:widowControl w:val="0"/>
        <w:kinsoku/>
        <w:wordWrap/>
        <w:overflowPunct/>
        <w:topLinePunct w:val="0"/>
        <w:autoSpaceDE/>
        <w:autoSpaceDN/>
        <w:bidi w:val="0"/>
        <w:adjustRightInd/>
        <w:snapToGrid/>
        <w:spacing w:line="280" w:lineRule="exact"/>
        <w:ind w:firstLine="440" w:firstLineChars="200"/>
        <w:textAlignment w:val="auto"/>
        <w:rPr>
          <w:rFonts w:hint="eastAsia" w:ascii="仿宋" w:hAnsi="仿宋" w:eastAsia="仿宋" w:cs="仿宋"/>
          <w:bCs/>
          <w:sz w:val="22"/>
          <w:szCs w:val="22"/>
          <w:highlight w:val="none"/>
        </w:rPr>
      </w:pPr>
    </w:p>
    <w:p w14:paraId="2EE25DB5">
      <w:pPr>
        <w:pStyle w:val="5"/>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Times New Roman" w:hAnsi="Times New Roman" w:eastAsia="黑体" w:cs="黑体"/>
          <w:b w:val="0"/>
          <w:bCs/>
          <w:sz w:val="24"/>
          <w:szCs w:val="28"/>
          <w:highlight w:val="none"/>
          <w:lang w:val="zh-CN"/>
        </w:rPr>
      </w:pPr>
      <w:bookmarkStart w:id="84" w:name="_Toc11171"/>
      <w:r>
        <w:rPr>
          <w:rFonts w:hint="eastAsia" w:ascii="Times New Roman" w:hAnsi="Times New Roman" w:eastAsia="黑体" w:cs="黑体"/>
          <w:b w:val="0"/>
          <w:bCs/>
          <w:sz w:val="24"/>
          <w:szCs w:val="28"/>
          <w:highlight w:val="none"/>
          <w:lang w:val="zh-CN"/>
        </w:rPr>
        <w:t>格式</w:t>
      </w:r>
      <w:r>
        <w:rPr>
          <w:rFonts w:hint="eastAsia" w:ascii="Times New Roman" w:hAnsi="Times New Roman" w:eastAsia="黑体" w:cs="黑体"/>
          <w:b w:val="0"/>
          <w:bCs/>
          <w:sz w:val="24"/>
          <w:szCs w:val="28"/>
          <w:highlight w:val="none"/>
          <w:lang w:val="en-US" w:eastAsia="zh-CN"/>
        </w:rPr>
        <w:t>7</w:t>
      </w:r>
      <w:r>
        <w:rPr>
          <w:rFonts w:hint="eastAsia" w:ascii="Times New Roman" w:hAnsi="Times New Roman" w:eastAsia="黑体" w:cs="黑体"/>
          <w:b w:val="0"/>
          <w:bCs/>
          <w:sz w:val="24"/>
          <w:szCs w:val="28"/>
          <w:highlight w:val="none"/>
          <w:lang w:val="zh-CN"/>
        </w:rPr>
        <w:t>：</w:t>
      </w:r>
      <w:r>
        <w:rPr>
          <w:rFonts w:hint="eastAsia" w:ascii="Times New Roman" w:hAnsi="Times New Roman" w:eastAsia="黑体" w:cs="黑体"/>
          <w:b w:val="0"/>
          <w:bCs/>
          <w:sz w:val="24"/>
          <w:szCs w:val="28"/>
          <w:highlight w:val="none"/>
          <w:lang w:val="en-US" w:eastAsia="zh-CN"/>
        </w:rPr>
        <w:t>廉洁</w:t>
      </w:r>
      <w:r>
        <w:rPr>
          <w:rFonts w:hint="eastAsia" w:ascii="Times New Roman" w:hAnsi="Times New Roman" w:eastAsia="黑体" w:cs="黑体"/>
          <w:b w:val="0"/>
          <w:bCs/>
          <w:sz w:val="24"/>
          <w:szCs w:val="28"/>
          <w:highlight w:val="none"/>
          <w:lang w:val="zh-CN"/>
        </w:rPr>
        <w:t>承诺函</w:t>
      </w:r>
      <w:bookmarkEnd w:id="83"/>
      <w:bookmarkEnd w:id="84"/>
    </w:p>
    <w:p w14:paraId="024C15EE">
      <w:pPr>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highlight w:val="none"/>
        </w:rPr>
      </w:pPr>
      <w:r>
        <w:rPr>
          <w:rFonts w:hint="eastAsia" w:ascii="方正小标宋简体" w:hAnsi="方正小标宋简体" w:eastAsia="方正小标宋简体" w:cs="方正小标宋简体"/>
          <w:b w:val="0"/>
          <w:bCs/>
          <w:sz w:val="44"/>
          <w:szCs w:val="44"/>
          <w:highlight w:val="none"/>
          <w:lang w:val="en-US" w:eastAsia="zh-CN"/>
        </w:rPr>
        <w:t>廉洁</w:t>
      </w:r>
      <w:r>
        <w:rPr>
          <w:rFonts w:hint="eastAsia" w:ascii="方正小标宋简体" w:hAnsi="方正小标宋简体" w:eastAsia="方正小标宋简体" w:cs="方正小标宋简体"/>
          <w:b w:val="0"/>
          <w:bCs/>
          <w:sz w:val="44"/>
          <w:szCs w:val="44"/>
          <w:highlight w:val="none"/>
        </w:rPr>
        <w:t>承诺函</w:t>
      </w:r>
    </w:p>
    <w:p w14:paraId="7C0D310A">
      <w:pPr>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sz w:val="28"/>
          <w:szCs w:val="28"/>
          <w:highlight w:val="none"/>
        </w:rPr>
      </w:pPr>
    </w:p>
    <w:p w14:paraId="3AD1FB8F">
      <w:pPr>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致 深圳市鹏劳人力资源管理有限公司：</w:t>
      </w:r>
    </w:p>
    <w:p w14:paraId="65DEB8CA">
      <w:pPr>
        <w:pageBreakBefore w:val="0"/>
        <w:widowControl/>
        <w:kinsoku/>
        <w:wordWrap/>
        <w:overflowPunct/>
        <w:topLinePunct w:val="0"/>
        <w:autoSpaceDE/>
        <w:autoSpaceDN/>
        <w:bidi w:val="0"/>
        <w:adjustRightInd/>
        <w:snapToGrid/>
        <w:spacing w:line="280" w:lineRule="exact"/>
        <w:ind w:firstLine="547" w:firstLineChars="228"/>
        <w:jc w:val="left"/>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我司有意参与贵司【</w:t>
      </w:r>
      <w:r>
        <w:rPr>
          <w:rFonts w:hint="eastAsia" w:ascii="仿宋_GB2312" w:hAnsi="仿宋_GB2312" w:eastAsia="仿宋_GB2312" w:cs="仿宋_GB2312"/>
          <w:bCs/>
          <w:sz w:val="24"/>
          <w:szCs w:val="24"/>
          <w:highlight w:val="none"/>
          <w:u w:val="single"/>
        </w:rPr>
        <w:t>项目名称</w:t>
      </w:r>
      <w:r>
        <w:rPr>
          <w:rFonts w:hint="eastAsia" w:ascii="仿宋_GB2312" w:hAnsi="仿宋_GB2312" w:eastAsia="仿宋_GB2312" w:cs="仿宋_GB2312"/>
          <w:bCs/>
          <w:sz w:val="24"/>
          <w:szCs w:val="24"/>
          <w:highlight w:val="none"/>
        </w:rPr>
        <w:t>】投标，为保证招投标工作的公平公正及充分竞争，在此，我司郑重承诺如下：</w:t>
      </w:r>
    </w:p>
    <w:p w14:paraId="75B0C9CF">
      <w:pPr>
        <w:pageBreakBefore w:val="0"/>
        <w:widowControl/>
        <w:kinsoku/>
        <w:wordWrap/>
        <w:overflowPunct/>
        <w:topLinePunct w:val="0"/>
        <w:autoSpaceDE/>
        <w:autoSpaceDN/>
        <w:bidi w:val="0"/>
        <w:adjustRightInd/>
        <w:snapToGrid/>
        <w:spacing w:line="280" w:lineRule="exact"/>
        <w:ind w:firstLine="547" w:firstLineChars="228"/>
        <w:jc w:val="left"/>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一、我司承诺在投标过程中对于如下行为坚决抵制并向贵司及时通报：</w:t>
      </w:r>
    </w:p>
    <w:p w14:paraId="116C7C53">
      <w:pPr>
        <w:pageBreakBefore w:val="0"/>
        <w:widowControl/>
        <w:kinsoku/>
        <w:wordWrap/>
        <w:overflowPunct/>
        <w:topLinePunct w:val="0"/>
        <w:autoSpaceDE/>
        <w:autoSpaceDN/>
        <w:bidi w:val="0"/>
        <w:adjustRightInd/>
        <w:snapToGrid/>
        <w:spacing w:line="280" w:lineRule="exact"/>
        <w:ind w:firstLine="547" w:firstLineChars="228"/>
        <w:jc w:val="left"/>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1.招标人或招标相关单位人员利用职务上的便利，自行或通过他人向我司推荐供应商（分包商）；</w:t>
      </w:r>
    </w:p>
    <w:p w14:paraId="72B111BB">
      <w:pPr>
        <w:pageBreakBefore w:val="0"/>
        <w:widowControl/>
        <w:kinsoku/>
        <w:wordWrap/>
        <w:overflowPunct/>
        <w:topLinePunct w:val="0"/>
        <w:autoSpaceDE/>
        <w:autoSpaceDN/>
        <w:bidi w:val="0"/>
        <w:adjustRightInd/>
        <w:snapToGrid/>
        <w:spacing w:line="280" w:lineRule="exact"/>
        <w:ind w:firstLine="547" w:firstLineChars="228"/>
        <w:jc w:val="left"/>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2.其他投标参与方自行或委托他人私下与我司联系串通投标事宜；</w:t>
      </w:r>
    </w:p>
    <w:p w14:paraId="4EEE9D73">
      <w:pPr>
        <w:pageBreakBefore w:val="0"/>
        <w:widowControl/>
        <w:kinsoku/>
        <w:wordWrap/>
        <w:overflowPunct/>
        <w:topLinePunct w:val="0"/>
        <w:autoSpaceDE/>
        <w:autoSpaceDN/>
        <w:bidi w:val="0"/>
        <w:adjustRightInd/>
        <w:snapToGrid/>
        <w:spacing w:line="280" w:lineRule="exact"/>
        <w:ind w:firstLine="547" w:firstLineChars="228"/>
        <w:jc w:val="left"/>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3.招标人、及招标相关单位的人员在招标投标过程中，人为设置障碍，索要或暗示索要现金、股票、股权、各种有价证券、支付凭证或贵重物品等。</w:t>
      </w:r>
    </w:p>
    <w:p w14:paraId="6558F219">
      <w:pPr>
        <w:pageBreakBefore w:val="0"/>
        <w:widowControl/>
        <w:kinsoku/>
        <w:wordWrap/>
        <w:overflowPunct/>
        <w:topLinePunct w:val="0"/>
        <w:autoSpaceDE/>
        <w:autoSpaceDN/>
        <w:bidi w:val="0"/>
        <w:adjustRightInd/>
        <w:snapToGrid/>
        <w:spacing w:line="280" w:lineRule="exact"/>
        <w:ind w:firstLine="547" w:firstLineChars="228"/>
        <w:jc w:val="left"/>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二、我司承诺依法合规参与本项目竞争，严格本公司投标代表及相关员工管理，具体内容如下：</w:t>
      </w:r>
    </w:p>
    <w:p w14:paraId="68206BD2">
      <w:pPr>
        <w:pageBreakBefore w:val="0"/>
        <w:widowControl/>
        <w:kinsoku/>
        <w:wordWrap/>
        <w:overflowPunct/>
        <w:topLinePunct w:val="0"/>
        <w:autoSpaceDE/>
        <w:autoSpaceDN/>
        <w:bidi w:val="0"/>
        <w:adjustRightInd/>
        <w:snapToGrid/>
        <w:spacing w:line="280" w:lineRule="exact"/>
        <w:ind w:firstLine="547" w:firstLineChars="228"/>
        <w:jc w:val="left"/>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1.我司不会以任何理由任何方式进行串通投标等不正当竞争的违法违规行为；</w:t>
      </w:r>
    </w:p>
    <w:p w14:paraId="3A12EE2B">
      <w:pPr>
        <w:pageBreakBefore w:val="0"/>
        <w:widowControl/>
        <w:kinsoku/>
        <w:wordWrap/>
        <w:overflowPunct/>
        <w:topLinePunct w:val="0"/>
        <w:autoSpaceDE/>
        <w:autoSpaceDN/>
        <w:bidi w:val="0"/>
        <w:adjustRightInd/>
        <w:snapToGrid/>
        <w:spacing w:line="280" w:lineRule="exact"/>
        <w:ind w:firstLine="547" w:firstLineChars="228"/>
        <w:jc w:val="left"/>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2.我司或我司员工不以任何理由任何方式，向贵司、及招标相关单位的人员赠送现金、股票、股权、各种有价证券、支付凭证或贵重物品等；</w:t>
      </w:r>
    </w:p>
    <w:p w14:paraId="5B53FB5F">
      <w:pPr>
        <w:pageBreakBefore w:val="0"/>
        <w:widowControl/>
        <w:kinsoku/>
        <w:wordWrap/>
        <w:overflowPunct/>
        <w:topLinePunct w:val="0"/>
        <w:autoSpaceDE/>
        <w:autoSpaceDN/>
        <w:bidi w:val="0"/>
        <w:adjustRightInd/>
        <w:snapToGrid/>
        <w:spacing w:line="280" w:lineRule="exact"/>
        <w:ind w:firstLine="547" w:firstLineChars="228"/>
        <w:jc w:val="left"/>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3.我司或我司员工不以任何理由任何方式，向贵司、及招标相关单位的人员发出健身、娱乐活动的邀请，或对贵司及招标相关单位的人员进行超标准接待；</w:t>
      </w:r>
    </w:p>
    <w:p w14:paraId="5C1E5205">
      <w:pPr>
        <w:pageBreakBefore w:val="0"/>
        <w:widowControl/>
        <w:kinsoku/>
        <w:wordWrap/>
        <w:overflowPunct/>
        <w:topLinePunct w:val="0"/>
        <w:autoSpaceDE/>
        <w:autoSpaceDN/>
        <w:bidi w:val="0"/>
        <w:adjustRightInd/>
        <w:snapToGrid/>
        <w:spacing w:line="280" w:lineRule="exact"/>
        <w:ind w:firstLine="547" w:firstLineChars="228"/>
        <w:jc w:val="left"/>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4.参与贵司项目投标及与投标相关的交流调研过程中，我司保证向贵司所提供信息的真实性和准确性，且不会将拟投标项目进行任何形式的转包或挂靠。</w:t>
      </w:r>
    </w:p>
    <w:p w14:paraId="5F6894A6">
      <w:pPr>
        <w:pageBreakBefore w:val="0"/>
        <w:widowControl/>
        <w:kinsoku/>
        <w:wordWrap/>
        <w:overflowPunct/>
        <w:topLinePunct w:val="0"/>
        <w:autoSpaceDE/>
        <w:autoSpaceDN/>
        <w:bidi w:val="0"/>
        <w:adjustRightInd/>
        <w:snapToGrid/>
        <w:spacing w:line="280" w:lineRule="exact"/>
        <w:ind w:firstLine="547" w:firstLineChars="228"/>
        <w:jc w:val="left"/>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5.参与贵司招标项目投标过程中，我司承诺所有招标相关信息交流在工作场所公开进行，文件传递应通过公司传真或工作邮箱。不私下打探招标项目非公开信息（如其他投标人信息、标底详细信息、评标专家信息、评标过程信息等），不与贵司、及招标相关单位的人员就招标相关信息进行私下商谈或者达成利益默契。</w:t>
      </w:r>
    </w:p>
    <w:p w14:paraId="2C7F5572">
      <w:pPr>
        <w:pageBreakBefore w:val="0"/>
        <w:widowControl/>
        <w:kinsoku/>
        <w:wordWrap/>
        <w:overflowPunct/>
        <w:topLinePunct w:val="0"/>
        <w:autoSpaceDE/>
        <w:autoSpaceDN/>
        <w:bidi w:val="0"/>
        <w:adjustRightInd/>
        <w:snapToGrid/>
        <w:spacing w:line="280" w:lineRule="exact"/>
        <w:ind w:firstLine="547" w:firstLineChars="228"/>
        <w:jc w:val="left"/>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6.我司及我司派出的投标代表及工作人员授权贵司对本项目下我司投标工作进行监督，在贵司办公场所内合理使用包括录音录像、派员监督等手段开展监督工作。</w:t>
      </w:r>
    </w:p>
    <w:p w14:paraId="232DBCFE">
      <w:pPr>
        <w:pageBreakBefore w:val="0"/>
        <w:widowControl/>
        <w:kinsoku/>
        <w:wordWrap/>
        <w:overflowPunct/>
        <w:topLinePunct w:val="0"/>
        <w:autoSpaceDE/>
        <w:autoSpaceDN/>
        <w:bidi w:val="0"/>
        <w:adjustRightInd/>
        <w:snapToGrid/>
        <w:spacing w:line="280" w:lineRule="exact"/>
        <w:ind w:firstLine="547" w:firstLineChars="228"/>
        <w:jc w:val="left"/>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7.如果我司中标，将严格遵照本项目招标文件需求、投标承诺及合同约定做到诚信履约，为贵司提供最优服务；</w:t>
      </w:r>
    </w:p>
    <w:p w14:paraId="0BDAA09D">
      <w:pPr>
        <w:pageBreakBefore w:val="0"/>
        <w:widowControl/>
        <w:kinsoku/>
        <w:wordWrap/>
        <w:overflowPunct/>
        <w:topLinePunct w:val="0"/>
        <w:autoSpaceDE/>
        <w:autoSpaceDN/>
        <w:bidi w:val="0"/>
        <w:adjustRightInd/>
        <w:snapToGrid/>
        <w:spacing w:line="280" w:lineRule="exact"/>
        <w:ind w:firstLine="547" w:firstLineChars="228"/>
        <w:jc w:val="left"/>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8.我司已认真核实了投标文件的全部资料，所有资料均为真实资料。我公司对投标文件中全部投标资料的真实性负责。</w:t>
      </w:r>
    </w:p>
    <w:p w14:paraId="1B53AE55">
      <w:pPr>
        <w:pageBreakBefore w:val="0"/>
        <w:widowControl/>
        <w:kinsoku/>
        <w:wordWrap/>
        <w:overflowPunct/>
        <w:topLinePunct w:val="0"/>
        <w:autoSpaceDE/>
        <w:autoSpaceDN/>
        <w:bidi w:val="0"/>
        <w:adjustRightInd/>
        <w:snapToGrid/>
        <w:spacing w:line="280" w:lineRule="exact"/>
        <w:ind w:firstLine="547" w:firstLineChars="228"/>
        <w:jc w:val="left"/>
        <w:textAlignment w:val="auto"/>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以上承诺，如有违反，我司将配合贵司进行调查和严肃处理，并自行承担不能参与本项目投标或承包本项目的资格、以及今后可能不能参加贵司其他项目的投标、无法进入贵司供应商库等一切不利后果，并承担由此给贵司带来的损失。</w:t>
      </w:r>
    </w:p>
    <w:p w14:paraId="69A0ECF5">
      <w:pPr>
        <w:pageBreakBefore w:val="0"/>
        <w:widowControl/>
        <w:kinsoku/>
        <w:wordWrap/>
        <w:overflowPunct/>
        <w:topLinePunct w:val="0"/>
        <w:autoSpaceDE/>
        <w:autoSpaceDN/>
        <w:bidi w:val="0"/>
        <w:adjustRightInd/>
        <w:snapToGrid/>
        <w:spacing w:line="280" w:lineRule="exact"/>
        <w:ind w:firstLine="547" w:firstLineChars="228"/>
        <w:jc w:val="left"/>
        <w:textAlignment w:val="auto"/>
        <w:rPr>
          <w:rFonts w:hint="eastAsia" w:ascii="仿宋_GB2312" w:hAnsi="仿宋_GB2312" w:eastAsia="仿宋_GB2312" w:cs="仿宋_GB2312"/>
          <w:bCs/>
          <w:sz w:val="24"/>
          <w:szCs w:val="24"/>
          <w:highlight w:val="none"/>
        </w:rPr>
      </w:pPr>
    </w:p>
    <w:p w14:paraId="3B7D9D01">
      <w:pPr>
        <w:pageBreakBefore w:val="0"/>
        <w:widowControl/>
        <w:kinsoku/>
        <w:wordWrap/>
        <w:overflowPunct/>
        <w:topLinePunct w:val="0"/>
        <w:autoSpaceDE/>
        <w:autoSpaceDN/>
        <w:bidi w:val="0"/>
        <w:adjustRightInd/>
        <w:snapToGrid/>
        <w:spacing w:line="280" w:lineRule="exact"/>
        <w:ind w:firstLine="547" w:firstLineChars="228"/>
        <w:jc w:val="left"/>
        <w:textAlignment w:val="auto"/>
        <w:rPr>
          <w:rFonts w:hint="eastAsia" w:ascii="仿宋_GB2312" w:hAnsi="仿宋_GB2312" w:eastAsia="仿宋_GB2312" w:cs="仿宋_GB2312"/>
          <w:bCs/>
          <w:sz w:val="24"/>
          <w:szCs w:val="24"/>
          <w:highlight w:val="none"/>
        </w:rPr>
      </w:pPr>
    </w:p>
    <w:p w14:paraId="518E4B3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kern w:val="0"/>
          <w:sz w:val="24"/>
          <w:szCs w:val="24"/>
          <w:highlight w:val="none"/>
        </w:rPr>
      </w:pPr>
      <w:r>
        <w:rPr>
          <w:rFonts w:hint="eastAsia" w:ascii="仿宋_GB2312" w:hAnsi="仿宋_GB2312" w:eastAsia="仿宋_GB2312" w:cs="仿宋_GB2312"/>
          <w:b w:val="0"/>
          <w:bCs/>
          <w:kern w:val="0"/>
          <w:sz w:val="24"/>
          <w:szCs w:val="24"/>
          <w:highlight w:val="none"/>
        </w:rPr>
        <w:t>投标方名称（公章）：</w:t>
      </w:r>
    </w:p>
    <w:p w14:paraId="25E7460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kern w:val="0"/>
          <w:sz w:val="24"/>
          <w:szCs w:val="24"/>
          <w:highlight w:val="none"/>
        </w:rPr>
      </w:pPr>
      <w:r>
        <w:rPr>
          <w:rFonts w:hint="eastAsia" w:ascii="仿宋_GB2312" w:hAnsi="仿宋_GB2312" w:eastAsia="仿宋_GB2312" w:cs="仿宋_GB2312"/>
          <w:b w:val="0"/>
          <w:bCs/>
          <w:kern w:val="0"/>
          <w:sz w:val="24"/>
          <w:szCs w:val="24"/>
          <w:highlight w:val="none"/>
        </w:rPr>
        <w:t>法定代表人（法定授权代表人）签名：</w:t>
      </w:r>
    </w:p>
    <w:p w14:paraId="2FC0F4B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kern w:val="0"/>
          <w:sz w:val="24"/>
          <w:szCs w:val="24"/>
          <w:highlight w:val="none"/>
        </w:rPr>
      </w:pPr>
      <w:r>
        <w:rPr>
          <w:rFonts w:hint="eastAsia" w:ascii="仿宋_GB2312" w:hAnsi="仿宋_GB2312" w:eastAsia="仿宋_GB2312" w:cs="仿宋_GB2312"/>
          <w:b w:val="0"/>
          <w:bCs/>
          <w:kern w:val="0"/>
          <w:sz w:val="24"/>
          <w:szCs w:val="24"/>
          <w:highlight w:val="none"/>
        </w:rPr>
        <w:t>日期：</w:t>
      </w:r>
    </w:p>
    <w:p w14:paraId="4C6975B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kern w:val="0"/>
          <w:sz w:val="22"/>
          <w:szCs w:val="22"/>
          <w:highlight w:val="none"/>
        </w:rPr>
      </w:pPr>
    </w:p>
    <w:p w14:paraId="3B6E86E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kern w:val="0"/>
          <w:sz w:val="22"/>
          <w:szCs w:val="22"/>
          <w:highlight w:val="none"/>
        </w:rPr>
      </w:pPr>
    </w:p>
    <w:p w14:paraId="12CF43C5">
      <w:pPr>
        <w:pStyle w:val="5"/>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Times New Roman" w:hAnsi="Times New Roman" w:eastAsia="黑体" w:cs="黑体"/>
          <w:b w:val="0"/>
          <w:bCs/>
          <w:sz w:val="24"/>
          <w:szCs w:val="28"/>
          <w:highlight w:val="none"/>
          <w:lang w:val="zh-CN"/>
        </w:rPr>
      </w:pPr>
      <w:bookmarkStart w:id="85" w:name="_Toc18809"/>
      <w:bookmarkStart w:id="86" w:name="_Toc20655"/>
      <w:r>
        <w:rPr>
          <w:rFonts w:hint="eastAsia" w:ascii="Times New Roman" w:hAnsi="Times New Roman" w:eastAsia="黑体" w:cs="黑体"/>
          <w:b w:val="0"/>
          <w:bCs/>
          <w:sz w:val="24"/>
          <w:szCs w:val="28"/>
          <w:highlight w:val="none"/>
          <w:lang w:val="zh-CN"/>
        </w:rPr>
        <w:t>格式</w:t>
      </w:r>
      <w:r>
        <w:rPr>
          <w:rFonts w:hint="eastAsia" w:ascii="Times New Roman" w:hAnsi="Times New Roman" w:eastAsia="黑体" w:cs="黑体"/>
          <w:b w:val="0"/>
          <w:bCs/>
          <w:sz w:val="24"/>
          <w:szCs w:val="28"/>
          <w:highlight w:val="none"/>
          <w:lang w:val="en-US" w:eastAsia="zh-CN"/>
        </w:rPr>
        <w:t>8</w:t>
      </w:r>
      <w:r>
        <w:rPr>
          <w:rFonts w:hint="eastAsia" w:ascii="Times New Roman" w:hAnsi="Times New Roman" w:eastAsia="黑体" w:cs="黑体"/>
          <w:b w:val="0"/>
          <w:bCs/>
          <w:sz w:val="24"/>
          <w:szCs w:val="28"/>
          <w:highlight w:val="none"/>
          <w:lang w:val="zh-CN"/>
        </w:rPr>
        <w:t>：</w:t>
      </w:r>
      <w:r>
        <w:rPr>
          <w:rFonts w:hint="eastAsia" w:ascii="Times New Roman" w:hAnsi="Times New Roman" w:eastAsia="黑体" w:cs="黑体"/>
          <w:b w:val="0"/>
          <w:bCs/>
          <w:sz w:val="24"/>
          <w:szCs w:val="28"/>
          <w:highlight w:val="none"/>
          <w:lang w:val="en-US" w:eastAsia="zh-CN"/>
        </w:rPr>
        <w:t>服务保价</w:t>
      </w:r>
      <w:r>
        <w:rPr>
          <w:rFonts w:hint="eastAsia" w:ascii="Times New Roman" w:hAnsi="Times New Roman" w:eastAsia="黑体" w:cs="黑体"/>
          <w:b w:val="0"/>
          <w:bCs/>
          <w:sz w:val="24"/>
          <w:szCs w:val="28"/>
          <w:highlight w:val="none"/>
          <w:lang w:val="zh-CN"/>
        </w:rPr>
        <w:t>承诺函</w:t>
      </w:r>
      <w:bookmarkEnd w:id="85"/>
      <w:bookmarkEnd w:id="86"/>
    </w:p>
    <w:p w14:paraId="1F3FB000">
      <w:pPr>
        <w:keepNext w:val="0"/>
        <w:keepLines w:val="0"/>
        <w:pageBreakBefore w:val="0"/>
        <w:widowControl w:val="0"/>
        <w:kinsoku/>
        <w:overflowPunct/>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lang w:val="en-US" w:eastAsia="zh-CN"/>
        </w:rPr>
      </w:pPr>
    </w:p>
    <w:p w14:paraId="65F2CAB4">
      <w:pPr>
        <w:keepNext w:val="0"/>
        <w:keepLines w:val="0"/>
        <w:pageBreakBefore w:val="0"/>
        <w:widowControl w:val="0"/>
        <w:kinsoku/>
        <w:overflowPunct/>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服务保价承诺函</w:t>
      </w:r>
    </w:p>
    <w:p w14:paraId="270DD9CC">
      <w:pPr>
        <w:keepNext w:val="0"/>
        <w:keepLines w:val="0"/>
        <w:pageBreakBefore w:val="0"/>
        <w:widowControl w:val="0"/>
        <w:kinsoku/>
        <w:overflowPunct/>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lang w:val="en-US" w:eastAsia="zh-CN"/>
        </w:rPr>
      </w:pPr>
    </w:p>
    <w:p w14:paraId="025B0AFF">
      <w:pPr>
        <w:keepNext w:val="0"/>
        <w:keepLines w:val="0"/>
        <w:pageBreakBefore w:val="0"/>
        <w:widowControl w:val="0"/>
        <w:kinsoku/>
        <w:overflowPunct/>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致：深圳市鹏劳人力资源管理有限公司</w:t>
      </w:r>
    </w:p>
    <w:p w14:paraId="72184E23">
      <w:pPr>
        <w:keepNext w:val="0"/>
        <w:keepLines w:val="0"/>
        <w:pageBreakBefore w:val="0"/>
        <w:widowControl w:val="0"/>
        <w:kinsoku/>
        <w:wordWrap w:val="0"/>
        <w:overflowPunct/>
        <w:topLinePunct/>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highlight w:val="none"/>
          <w:lang w:val="en-US" w:eastAsia="zh-CN"/>
        </w:rPr>
      </w:pPr>
      <w:r>
        <w:rPr>
          <w:rFonts w:hint="eastAsia" w:ascii="Times New Roman" w:hAnsi="Times New Roman" w:eastAsia="仿宋_GB2312" w:cs="仿宋_GB2312"/>
          <w:sz w:val="32"/>
          <w:szCs w:val="32"/>
          <w:highlight w:val="none"/>
          <w:lang w:val="en-US" w:eastAsia="zh-CN"/>
        </w:rPr>
        <w:t>我方参与贵司2026年度外派员工健康体检项目投标，如我司中标本项目，我司就本项目所有项目体检价格折扣优惠作出承诺，如获选中标，在实际履约过程中违反承诺的，视同违约并承担不利后果，具体承诺内容如下：</w:t>
      </w:r>
    </w:p>
    <w:p w14:paraId="6955A1C9">
      <w:pPr>
        <w:keepNext w:val="0"/>
        <w:keepLines w:val="0"/>
        <w:pageBreakBefore w:val="0"/>
        <w:widowControl w:val="0"/>
        <w:kinsoku/>
        <w:wordWrap w:val="0"/>
        <w:overflowPunct/>
        <w:topLinePunct/>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highlight w:val="none"/>
          <w:lang w:val="en-US" w:eastAsia="zh-CN"/>
        </w:rPr>
      </w:pPr>
      <w:r>
        <w:rPr>
          <w:rFonts w:hint="eastAsia" w:ascii="Times New Roman" w:hAnsi="Times New Roman" w:eastAsia="仿宋_GB2312" w:cs="仿宋_GB2312"/>
          <w:sz w:val="32"/>
          <w:szCs w:val="32"/>
          <w:highlight w:val="none"/>
          <w:lang w:val="en-US" w:eastAsia="zh-CN"/>
        </w:rPr>
        <w:t>我司承诺本项目下，包括投标、谈判阶段所作出的所有体检价格折扣基础均按我司对统一门市价</w:t>
      </w:r>
      <w:r>
        <w:rPr>
          <w:rFonts w:hint="default" w:ascii="Times New Roman" w:hAnsi="Times New Roman" w:eastAsia="仿宋_GB2312" w:cs="仿宋_GB2312"/>
          <w:sz w:val="32"/>
          <w:szCs w:val="32"/>
          <w:highlight w:val="none"/>
          <w:lang w:eastAsia="zh-CN"/>
        </w:rPr>
        <w:t>执行</w:t>
      </w:r>
      <w:r>
        <w:rPr>
          <w:rFonts w:hint="eastAsia" w:ascii="Times New Roman" w:hAnsi="Times New Roman" w:eastAsia="仿宋_GB2312" w:cs="仿宋_GB2312"/>
          <w:sz w:val="32"/>
          <w:szCs w:val="32"/>
          <w:highlight w:val="none"/>
          <w:lang w:val="en-US" w:eastAsia="zh-CN"/>
        </w:rPr>
        <w:t>，无虚增价格的情况，我司接受招标人在</w:t>
      </w:r>
      <w:r>
        <w:rPr>
          <w:rFonts w:hint="default" w:ascii="Times New Roman" w:hAnsi="Times New Roman" w:eastAsia="仿宋_GB2312" w:cs="仿宋_GB2312"/>
          <w:sz w:val="32"/>
          <w:szCs w:val="32"/>
          <w:highlight w:val="none"/>
          <w:lang w:eastAsia="zh-CN"/>
        </w:rPr>
        <w:t>采购全阶段</w:t>
      </w:r>
      <w:r>
        <w:rPr>
          <w:rFonts w:hint="eastAsia" w:ascii="Times New Roman" w:hAnsi="Times New Roman" w:eastAsia="仿宋_GB2312" w:cs="仿宋_GB2312"/>
          <w:sz w:val="32"/>
          <w:szCs w:val="32"/>
          <w:highlight w:val="none"/>
          <w:lang w:val="en-US" w:eastAsia="zh-CN"/>
        </w:rPr>
        <w:t>对</w:t>
      </w:r>
      <w:r>
        <w:rPr>
          <w:rFonts w:hint="default" w:ascii="Times New Roman" w:hAnsi="Times New Roman" w:eastAsia="仿宋_GB2312" w:cs="仿宋_GB2312"/>
          <w:sz w:val="32"/>
          <w:szCs w:val="32"/>
          <w:highlight w:val="none"/>
          <w:lang w:eastAsia="zh-CN"/>
        </w:rPr>
        <w:t>承诺有效性</w:t>
      </w:r>
      <w:r>
        <w:rPr>
          <w:rFonts w:hint="eastAsia" w:ascii="Times New Roman" w:hAnsi="Times New Roman" w:eastAsia="仿宋_GB2312" w:cs="仿宋_GB2312"/>
          <w:sz w:val="32"/>
          <w:szCs w:val="32"/>
          <w:highlight w:val="none"/>
          <w:lang w:val="en-US" w:eastAsia="zh-CN"/>
        </w:rPr>
        <w:t>实施复核，如复核不符合招标文件要求的，我司自动放弃成交。</w:t>
      </w:r>
    </w:p>
    <w:p w14:paraId="6E40DBC6">
      <w:pPr>
        <w:keepNext w:val="0"/>
        <w:keepLines w:val="0"/>
        <w:pageBreakBefore w:val="0"/>
        <w:widowControl w:val="0"/>
        <w:kinsoku/>
        <w:wordWrap w:val="0"/>
        <w:overflowPunct/>
        <w:topLinePunct/>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highlight w:val="none"/>
          <w:lang w:val="en-US" w:eastAsia="zh-CN"/>
        </w:rPr>
      </w:pPr>
    </w:p>
    <w:p w14:paraId="04348EB8">
      <w:pPr>
        <w:keepNext w:val="0"/>
        <w:keepLines w:val="0"/>
        <w:pageBreakBefore w:val="0"/>
        <w:widowControl w:val="0"/>
        <w:kinsoku/>
        <w:wordWrap w:val="0"/>
        <w:overflowPunct/>
        <w:topLinePunct/>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p>
    <w:p w14:paraId="59CA7EC2">
      <w:pPr>
        <w:keepNext w:val="0"/>
        <w:keepLines w:val="0"/>
        <w:pageBreakBefore w:val="0"/>
        <w:widowControl w:val="0"/>
        <w:kinsoku/>
        <w:wordWrap w:val="0"/>
        <w:overflowPunct/>
        <w:topLinePunct/>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sz w:val="28"/>
          <w:szCs w:val="28"/>
          <w:highlight w:val="none"/>
          <w:lang w:val="en-US" w:eastAsia="zh-CN"/>
        </w:rPr>
      </w:pPr>
    </w:p>
    <w:p w14:paraId="24EE30E1">
      <w:pPr>
        <w:keepNext w:val="0"/>
        <w:keepLines w:val="0"/>
        <w:pageBreakBefore w:val="0"/>
        <w:widowControl w:val="0"/>
        <w:kinsoku/>
        <w:overflowPunct/>
        <w:autoSpaceDE/>
        <w:autoSpaceDN/>
        <w:bidi w:val="0"/>
        <w:adjustRightInd/>
        <w:snapToGrid/>
        <w:spacing w:line="560" w:lineRule="exact"/>
        <w:ind w:firstLine="422"/>
        <w:textAlignment w:val="auto"/>
        <w:rPr>
          <w:rFonts w:hint="eastAsia" w:ascii="仿宋_GB2312" w:hAnsi="仿宋_GB2312" w:eastAsia="仿宋_GB2312" w:cs="仿宋_GB2312"/>
          <w:b w:val="0"/>
          <w:bCs/>
          <w:color w:val="000000"/>
          <w:kern w:val="0"/>
          <w:sz w:val="24"/>
          <w:szCs w:val="24"/>
          <w:highlight w:val="none"/>
        </w:rPr>
      </w:pPr>
      <w:r>
        <w:rPr>
          <w:rFonts w:hint="eastAsia" w:ascii="仿宋_GB2312" w:hAnsi="仿宋_GB2312" w:eastAsia="仿宋_GB2312" w:cs="仿宋_GB2312"/>
          <w:b w:val="0"/>
          <w:bCs/>
          <w:color w:val="000000"/>
          <w:kern w:val="0"/>
          <w:sz w:val="24"/>
          <w:szCs w:val="24"/>
          <w:highlight w:val="none"/>
        </w:rPr>
        <w:t>投标人名称（公章）：</w:t>
      </w:r>
    </w:p>
    <w:p w14:paraId="58AFCB49">
      <w:pPr>
        <w:keepNext w:val="0"/>
        <w:keepLines w:val="0"/>
        <w:pageBreakBefore w:val="0"/>
        <w:widowControl w:val="0"/>
        <w:kinsoku/>
        <w:overflowPunct/>
        <w:autoSpaceDE/>
        <w:autoSpaceDN/>
        <w:bidi w:val="0"/>
        <w:adjustRightInd/>
        <w:snapToGrid/>
        <w:spacing w:line="560" w:lineRule="exact"/>
        <w:ind w:firstLine="422"/>
        <w:textAlignment w:val="auto"/>
        <w:rPr>
          <w:rFonts w:hint="eastAsia" w:ascii="仿宋_GB2312" w:hAnsi="仿宋_GB2312" w:eastAsia="仿宋_GB2312" w:cs="仿宋_GB2312"/>
          <w:b w:val="0"/>
          <w:bCs/>
          <w:color w:val="000000"/>
          <w:kern w:val="0"/>
          <w:sz w:val="24"/>
          <w:szCs w:val="24"/>
          <w:highlight w:val="none"/>
        </w:rPr>
      </w:pPr>
      <w:r>
        <w:rPr>
          <w:rFonts w:hint="eastAsia" w:ascii="仿宋_GB2312" w:hAnsi="仿宋_GB2312" w:eastAsia="仿宋_GB2312" w:cs="仿宋_GB2312"/>
          <w:b w:val="0"/>
          <w:bCs/>
          <w:color w:val="000000"/>
          <w:kern w:val="0"/>
          <w:sz w:val="24"/>
          <w:szCs w:val="24"/>
          <w:highlight w:val="none"/>
        </w:rPr>
        <w:t>法定代表人（法定授权代表人）签名：</w:t>
      </w:r>
    </w:p>
    <w:p w14:paraId="0F3E7122">
      <w:pPr>
        <w:keepNext w:val="0"/>
        <w:keepLines w:val="0"/>
        <w:pageBreakBefore w:val="0"/>
        <w:widowControl w:val="0"/>
        <w:kinsoku/>
        <w:overflowPunct/>
        <w:autoSpaceDE/>
        <w:autoSpaceDN/>
        <w:bidi w:val="0"/>
        <w:adjustRightInd/>
        <w:snapToGrid/>
        <w:spacing w:line="560" w:lineRule="exact"/>
        <w:ind w:firstLine="422"/>
        <w:jc w:val="left"/>
        <w:textAlignment w:val="auto"/>
        <w:rPr>
          <w:rFonts w:hint="eastAsia" w:ascii="仿宋_GB2312" w:hAnsi="仿宋_GB2312" w:eastAsia="仿宋_GB2312" w:cs="仿宋_GB2312"/>
          <w:b w:val="0"/>
          <w:bCs/>
          <w:color w:val="000000"/>
          <w:kern w:val="0"/>
          <w:sz w:val="24"/>
          <w:szCs w:val="24"/>
          <w:highlight w:val="none"/>
        </w:rPr>
      </w:pPr>
      <w:r>
        <w:rPr>
          <w:rFonts w:hint="eastAsia" w:ascii="仿宋_GB2312" w:hAnsi="仿宋_GB2312" w:eastAsia="仿宋_GB2312" w:cs="仿宋_GB2312"/>
          <w:b w:val="0"/>
          <w:bCs/>
          <w:color w:val="000000"/>
          <w:kern w:val="0"/>
          <w:sz w:val="24"/>
          <w:szCs w:val="24"/>
          <w:highlight w:val="none"/>
        </w:rPr>
        <w:t>日期：</w:t>
      </w:r>
    </w:p>
    <w:p w14:paraId="4F042D8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kern w:val="0"/>
          <w:sz w:val="22"/>
          <w:szCs w:val="22"/>
          <w:highlight w:val="none"/>
        </w:rPr>
      </w:pPr>
    </w:p>
    <w:p w14:paraId="11371FE1">
      <w:pPr>
        <w:pStyle w:val="2"/>
        <w:rPr>
          <w:rFonts w:hint="eastAsia" w:ascii="仿宋" w:hAnsi="仿宋" w:eastAsia="仿宋" w:cs="仿宋"/>
          <w:b w:val="0"/>
          <w:bCs/>
          <w:kern w:val="0"/>
          <w:sz w:val="22"/>
          <w:szCs w:val="22"/>
          <w:highlight w:val="none"/>
        </w:rPr>
      </w:pPr>
    </w:p>
    <w:p w14:paraId="7927124D">
      <w:pPr>
        <w:rPr>
          <w:rFonts w:hint="eastAsia" w:ascii="仿宋" w:hAnsi="仿宋" w:eastAsia="仿宋" w:cs="仿宋"/>
          <w:b w:val="0"/>
          <w:bCs/>
          <w:kern w:val="0"/>
          <w:sz w:val="22"/>
          <w:szCs w:val="22"/>
          <w:highlight w:val="none"/>
        </w:rPr>
      </w:pPr>
    </w:p>
    <w:p w14:paraId="4E1F0587">
      <w:pPr>
        <w:pStyle w:val="2"/>
        <w:rPr>
          <w:rFonts w:hint="eastAsia" w:ascii="仿宋" w:hAnsi="仿宋" w:eastAsia="仿宋" w:cs="仿宋"/>
          <w:b w:val="0"/>
          <w:bCs/>
          <w:kern w:val="0"/>
          <w:sz w:val="22"/>
          <w:szCs w:val="22"/>
          <w:highlight w:val="none"/>
        </w:rPr>
      </w:pPr>
    </w:p>
    <w:p w14:paraId="69F1ACDA">
      <w:pPr>
        <w:rPr>
          <w:rFonts w:hint="eastAsia" w:ascii="仿宋" w:hAnsi="仿宋" w:eastAsia="仿宋" w:cs="仿宋"/>
          <w:b w:val="0"/>
          <w:bCs/>
          <w:kern w:val="0"/>
          <w:sz w:val="22"/>
          <w:szCs w:val="22"/>
          <w:highlight w:val="none"/>
        </w:rPr>
      </w:pPr>
    </w:p>
    <w:p w14:paraId="221B08F5">
      <w:pPr>
        <w:pStyle w:val="2"/>
        <w:rPr>
          <w:rFonts w:hint="eastAsia" w:ascii="仿宋" w:hAnsi="仿宋" w:eastAsia="仿宋" w:cs="仿宋"/>
          <w:b w:val="0"/>
          <w:bCs/>
          <w:kern w:val="0"/>
          <w:sz w:val="22"/>
          <w:szCs w:val="22"/>
          <w:highlight w:val="none"/>
        </w:rPr>
      </w:pPr>
    </w:p>
    <w:p w14:paraId="7E8A060B">
      <w:pPr>
        <w:rPr>
          <w:rFonts w:hint="eastAsia" w:ascii="仿宋" w:hAnsi="仿宋" w:eastAsia="仿宋" w:cs="仿宋"/>
          <w:b w:val="0"/>
          <w:bCs/>
          <w:kern w:val="0"/>
          <w:sz w:val="22"/>
          <w:szCs w:val="22"/>
          <w:highlight w:val="none"/>
        </w:rPr>
      </w:pPr>
    </w:p>
    <w:p w14:paraId="2EF6BD14">
      <w:pPr>
        <w:pStyle w:val="2"/>
        <w:rPr>
          <w:rFonts w:hint="eastAsia" w:ascii="仿宋" w:hAnsi="仿宋" w:eastAsia="仿宋" w:cs="仿宋"/>
          <w:b w:val="0"/>
          <w:bCs/>
          <w:kern w:val="0"/>
          <w:sz w:val="22"/>
          <w:szCs w:val="22"/>
          <w:highlight w:val="none"/>
        </w:rPr>
      </w:pPr>
    </w:p>
    <w:p w14:paraId="032480FF">
      <w:pPr>
        <w:rPr>
          <w:rFonts w:hint="eastAsia" w:ascii="仿宋" w:hAnsi="仿宋" w:eastAsia="仿宋" w:cs="仿宋"/>
          <w:b w:val="0"/>
          <w:bCs/>
          <w:kern w:val="0"/>
          <w:sz w:val="22"/>
          <w:szCs w:val="22"/>
          <w:highlight w:val="none"/>
        </w:rPr>
      </w:pPr>
    </w:p>
    <w:p w14:paraId="1CDD6081">
      <w:pPr>
        <w:pStyle w:val="5"/>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黑体" w:cs="黑体"/>
          <w:b w:val="0"/>
          <w:bCs/>
          <w:sz w:val="24"/>
          <w:szCs w:val="28"/>
          <w:highlight w:val="none"/>
          <w:lang w:val="en-US" w:eastAsia="zh-CN"/>
        </w:rPr>
      </w:pPr>
      <w:r>
        <w:rPr>
          <w:rFonts w:hint="eastAsia" w:ascii="Times New Roman" w:hAnsi="Times New Roman" w:eastAsia="黑体" w:cs="黑体"/>
          <w:b w:val="0"/>
          <w:bCs/>
          <w:sz w:val="24"/>
          <w:szCs w:val="28"/>
          <w:highlight w:val="none"/>
          <w:lang w:val="zh-CN"/>
        </w:rPr>
        <w:t>格式</w:t>
      </w:r>
      <w:r>
        <w:rPr>
          <w:rFonts w:hint="eastAsia" w:ascii="Times New Roman" w:hAnsi="Times New Roman" w:eastAsia="黑体" w:cs="黑体"/>
          <w:b w:val="0"/>
          <w:bCs/>
          <w:sz w:val="24"/>
          <w:szCs w:val="28"/>
          <w:highlight w:val="none"/>
          <w:lang w:val="en-US" w:eastAsia="zh-CN"/>
        </w:rPr>
        <w:t>9</w:t>
      </w:r>
      <w:r>
        <w:rPr>
          <w:rFonts w:hint="eastAsia" w:ascii="Times New Roman" w:hAnsi="Times New Roman" w:eastAsia="黑体" w:cs="黑体"/>
          <w:b w:val="0"/>
          <w:bCs/>
          <w:sz w:val="24"/>
          <w:szCs w:val="28"/>
          <w:highlight w:val="none"/>
          <w:lang w:val="zh-CN"/>
        </w:rPr>
        <w:t>：</w:t>
      </w:r>
      <w:r>
        <w:rPr>
          <w:rFonts w:hint="eastAsia" w:ascii="Times New Roman" w:hAnsi="Times New Roman" w:eastAsia="黑体" w:cs="黑体"/>
          <w:b w:val="0"/>
          <w:bCs/>
          <w:sz w:val="24"/>
          <w:szCs w:val="28"/>
          <w:highlight w:val="none"/>
          <w:lang w:val="en-US" w:eastAsia="zh-CN"/>
        </w:rPr>
        <w:t>保密与信息安全合规承诺书</w:t>
      </w:r>
    </w:p>
    <w:p w14:paraId="650FA9B9">
      <w:pPr>
        <w:ind w:firstLine="480"/>
        <w:jc w:val="center"/>
        <w:rPr>
          <w:rFonts w:hint="eastAsia" w:ascii="方正小标宋简体" w:hAnsi="方正小标宋简体" w:eastAsia="方正小标宋简体" w:cs="方正小标宋简体"/>
          <w:b w:val="0"/>
          <w:bCs w:val="0"/>
          <w:sz w:val="32"/>
          <w:szCs w:val="32"/>
        </w:rPr>
      </w:pPr>
      <w:r>
        <w:rPr>
          <w:rFonts w:hint="eastAsia" w:ascii="方正小标宋简体" w:hAnsi="方正小标宋简体" w:eastAsia="方正小标宋简体" w:cs="方正小标宋简体"/>
          <w:b w:val="0"/>
          <w:bCs w:val="0"/>
          <w:sz w:val="32"/>
          <w:szCs w:val="32"/>
        </w:rPr>
        <w:t>投标人及供应商保密与信息安全合规承诺书</w:t>
      </w:r>
    </w:p>
    <w:p w14:paraId="27121BB6">
      <w:pPr>
        <w:pStyle w:val="2"/>
        <w:spacing w:after="0" w:line="360" w:lineRule="exact"/>
        <w:ind w:firstLine="420"/>
        <w:rPr>
          <w:rFonts w:hint="eastAsia" w:ascii="Songti SC" w:hAnsi="Songti SC" w:eastAsia="Songti SC" w:cs="Songti SC"/>
          <w:bCs/>
          <w:szCs w:val="21"/>
        </w:rPr>
      </w:pPr>
      <w:r>
        <w:rPr>
          <w:rFonts w:hint="eastAsia" w:ascii="Songti SC" w:hAnsi="Songti SC" w:eastAsia="Songti SC" w:cs="Songti SC"/>
          <w:bCs/>
          <w:szCs w:val="21"/>
        </w:rPr>
        <w:t>致：深圳市鹏劳人力资源管理有限公司（以下简称“贵司”）</w:t>
      </w:r>
    </w:p>
    <w:p w14:paraId="21BCE904"/>
    <w:p w14:paraId="203502E3">
      <w:pPr>
        <w:pStyle w:val="2"/>
        <w:spacing w:after="0" w:line="360" w:lineRule="exact"/>
        <w:ind w:firstLine="420"/>
        <w:rPr>
          <w:rFonts w:ascii="Songti SC" w:hAnsi="Songti SC" w:eastAsia="Songti SC" w:cs="Songti SC"/>
          <w:bCs/>
          <w:szCs w:val="21"/>
        </w:rPr>
      </w:pPr>
      <w:r>
        <w:rPr>
          <w:rFonts w:hint="eastAsia" w:ascii="Songti SC" w:hAnsi="Songti SC" w:eastAsia="Songti SC" w:cs="Songti SC"/>
          <w:bCs/>
          <w:szCs w:val="21"/>
        </w:rPr>
        <w:t>鉴于本公司参与贵司福利品采购服务标项目，为保障双方合法权益及项目顺利实施，本公司郑重向贵司与贵司员工作出如下保密与信息安全合规承诺：</w:t>
      </w:r>
    </w:p>
    <w:p w14:paraId="59A86563">
      <w:pPr>
        <w:pStyle w:val="2"/>
        <w:spacing w:after="0" w:line="360" w:lineRule="exact"/>
        <w:ind w:firstLine="420"/>
        <w:rPr>
          <w:rFonts w:ascii="Songti SC" w:hAnsi="Songti SC" w:eastAsia="Songti SC" w:cs="Songti SC"/>
          <w:bCs/>
          <w:szCs w:val="21"/>
        </w:rPr>
      </w:pPr>
      <w:r>
        <w:rPr>
          <w:rFonts w:hint="eastAsia" w:ascii="Songti SC" w:hAnsi="Songti SC" w:eastAsia="Songti SC" w:cs="Songti SC"/>
          <w:bCs/>
          <w:szCs w:val="21"/>
        </w:rPr>
        <w:t>一、严格遵守法律法规</w:t>
      </w:r>
    </w:p>
    <w:p w14:paraId="616CF9E8">
      <w:pPr>
        <w:pStyle w:val="2"/>
        <w:spacing w:after="0" w:line="360" w:lineRule="exact"/>
        <w:ind w:firstLine="420"/>
        <w:rPr>
          <w:rFonts w:ascii="Songti SC" w:hAnsi="Songti SC" w:eastAsia="Songti SC" w:cs="Songti SC"/>
          <w:bCs/>
          <w:szCs w:val="21"/>
        </w:rPr>
      </w:pPr>
      <w:r>
        <w:rPr>
          <w:rFonts w:hint="eastAsia" w:ascii="Songti SC" w:hAnsi="Songti SC" w:eastAsia="Songti SC" w:cs="Songti SC"/>
          <w:bCs/>
          <w:szCs w:val="21"/>
        </w:rPr>
        <w:t>本公司承诺，在参与贵司与贵司员工项目招投标及后续履约过程中，严格遵守国家各项法律法规及行业规范，坚持诚实信用、公平竞争原则，绝不从事任何违法违规或损害贵司与贵司员工利益的行为。</w:t>
      </w:r>
    </w:p>
    <w:p w14:paraId="5B06A371">
      <w:pPr>
        <w:pStyle w:val="2"/>
        <w:spacing w:after="0" w:line="360" w:lineRule="exact"/>
        <w:ind w:firstLine="420"/>
        <w:rPr>
          <w:rFonts w:ascii="Songti SC" w:hAnsi="Songti SC" w:eastAsia="Songti SC" w:cs="Songti SC"/>
          <w:bCs/>
          <w:szCs w:val="21"/>
        </w:rPr>
      </w:pPr>
      <w:r>
        <w:rPr>
          <w:rFonts w:hint="eastAsia" w:ascii="Songti SC" w:hAnsi="Songti SC" w:eastAsia="Songti SC" w:cs="Songti SC"/>
          <w:bCs/>
          <w:szCs w:val="21"/>
        </w:rPr>
        <w:t>二、保护贵司商业秘密与贵司员工个人信息</w:t>
      </w:r>
    </w:p>
    <w:p w14:paraId="358B7508">
      <w:pPr>
        <w:pStyle w:val="2"/>
        <w:spacing w:after="0" w:line="360" w:lineRule="exact"/>
        <w:ind w:firstLine="420"/>
        <w:rPr>
          <w:rFonts w:ascii="Songti SC" w:hAnsi="Songti SC" w:eastAsia="Songti SC" w:cs="Songti SC"/>
          <w:bCs/>
          <w:szCs w:val="21"/>
        </w:rPr>
      </w:pPr>
      <w:r>
        <w:rPr>
          <w:rFonts w:hint="eastAsia" w:ascii="Songti SC" w:hAnsi="Songti SC" w:eastAsia="Songti SC" w:cs="Songti SC"/>
          <w:bCs/>
          <w:szCs w:val="21"/>
        </w:rPr>
        <w:t>本公司承诺，对在合作过程中知悉的贵司与贵司员工商业秘密（包括但不限于业务模式、客户名单、财务数据、合同条款、员工个人信息及贵司未公开的经营信息等）严格保密。未经贵司与贵司员工事先书面同意，绝不向任何第三方泄露、转让或用于与双方合作无关的其他目的。</w:t>
      </w:r>
    </w:p>
    <w:p w14:paraId="36864765">
      <w:pPr>
        <w:pStyle w:val="2"/>
        <w:spacing w:after="0" w:line="360" w:lineRule="exact"/>
        <w:ind w:firstLine="420"/>
        <w:rPr>
          <w:rFonts w:ascii="Songti SC" w:hAnsi="Songti SC" w:eastAsia="Songti SC" w:cs="Songti SC"/>
          <w:bCs/>
          <w:szCs w:val="21"/>
        </w:rPr>
      </w:pPr>
      <w:r>
        <w:rPr>
          <w:rFonts w:hint="eastAsia" w:ascii="Songti SC" w:hAnsi="Songti SC" w:eastAsia="Songti SC" w:cs="Songti SC"/>
          <w:bCs/>
          <w:szCs w:val="21"/>
        </w:rPr>
        <w:t>三、投标及交付过程的信息安全体系合规</w:t>
      </w:r>
    </w:p>
    <w:p w14:paraId="57473CE0">
      <w:pPr>
        <w:pStyle w:val="2"/>
        <w:spacing w:after="0" w:line="360" w:lineRule="exact"/>
        <w:ind w:firstLine="420"/>
        <w:rPr>
          <w:rFonts w:ascii="Songti SC" w:hAnsi="Songti SC" w:eastAsia="Songti SC" w:cs="Songti SC"/>
          <w:bCs/>
          <w:szCs w:val="21"/>
        </w:rPr>
      </w:pPr>
      <w:r>
        <w:rPr>
          <w:rFonts w:hint="eastAsia" w:ascii="Songti SC" w:hAnsi="Songti SC" w:eastAsia="Songti SC" w:cs="Songti SC"/>
          <w:bCs/>
          <w:szCs w:val="21"/>
        </w:rPr>
        <w:t>本公司承诺，在本次项目的投标阶段以及中标后的服务交付实施阶段，均严格遵循国家及行业的信息安全管理要求，并符合信息安全管理体系标准ISO27001体系管理规范。本公司已建立并运行完善的信息安全管理制度，具备保障本项目数据安全、系统安全及业务连续性的技术能力与人员配置。在项目实施过程中，将采取有效的技术防护与物理隔离措施，确保贵司与贵司员工的数据资产在收集、存储、处理及传输环节的安全可控。</w:t>
      </w:r>
    </w:p>
    <w:p w14:paraId="49BE72E9">
      <w:pPr>
        <w:pStyle w:val="2"/>
        <w:spacing w:after="0" w:line="360" w:lineRule="exact"/>
        <w:ind w:firstLine="420"/>
        <w:rPr>
          <w:rFonts w:ascii="Songti SC" w:hAnsi="Songti SC" w:eastAsia="Songti SC" w:cs="Songti SC"/>
          <w:bCs/>
          <w:szCs w:val="21"/>
        </w:rPr>
      </w:pPr>
      <w:r>
        <w:rPr>
          <w:rFonts w:hint="eastAsia" w:ascii="Songti SC" w:hAnsi="Songti SC" w:eastAsia="Songti SC" w:cs="Songti SC"/>
          <w:bCs/>
          <w:szCs w:val="21"/>
        </w:rPr>
        <w:t>四、内部管理与约束</w:t>
      </w:r>
    </w:p>
    <w:p w14:paraId="1B406F67">
      <w:pPr>
        <w:pStyle w:val="2"/>
        <w:spacing w:after="0" w:line="360" w:lineRule="exact"/>
        <w:ind w:firstLine="420"/>
        <w:rPr>
          <w:rFonts w:ascii="Songti SC" w:hAnsi="Songti SC" w:eastAsia="Songti SC" w:cs="Songti SC"/>
          <w:bCs/>
          <w:szCs w:val="21"/>
        </w:rPr>
      </w:pPr>
      <w:r>
        <w:rPr>
          <w:rFonts w:hint="eastAsia" w:ascii="Songti SC" w:hAnsi="Songti SC" w:eastAsia="Songti SC" w:cs="Songti SC"/>
          <w:bCs/>
          <w:szCs w:val="21"/>
        </w:rPr>
        <w:t>本公司将采取必要措施，确保本公司参与本项目的相关人员知悉并遵守上述保密义务。如因本公司或本公司员工原因导致贵司与贵司员工商业秘密泄露或发生信息安全事件，本公司愿承担相应的违约责任及法律后果。</w:t>
      </w:r>
    </w:p>
    <w:p w14:paraId="2D4DD018">
      <w:pPr>
        <w:pStyle w:val="2"/>
        <w:spacing w:after="0" w:line="360" w:lineRule="exact"/>
        <w:ind w:firstLine="420"/>
        <w:rPr>
          <w:rFonts w:ascii="Songti SC" w:hAnsi="Songti SC" w:eastAsia="Songti SC" w:cs="Songti SC"/>
          <w:bCs/>
          <w:szCs w:val="21"/>
        </w:rPr>
      </w:pPr>
      <w:r>
        <w:rPr>
          <w:rFonts w:hint="eastAsia" w:ascii="Songti SC" w:hAnsi="Songti SC" w:eastAsia="Songti SC" w:cs="Songti SC"/>
          <w:bCs/>
          <w:szCs w:val="21"/>
        </w:rPr>
        <w:t>五、效力说明</w:t>
      </w:r>
    </w:p>
    <w:p w14:paraId="6596097D">
      <w:pPr>
        <w:pStyle w:val="2"/>
        <w:spacing w:after="0" w:line="360" w:lineRule="exact"/>
        <w:ind w:firstLine="420"/>
        <w:rPr>
          <w:rFonts w:ascii="Songti SC" w:hAnsi="Songti SC" w:eastAsia="Songti SC" w:cs="Songti SC"/>
          <w:bCs/>
          <w:szCs w:val="21"/>
        </w:rPr>
      </w:pPr>
      <w:r>
        <w:rPr>
          <w:rFonts w:hint="eastAsia" w:ascii="Songti SC" w:hAnsi="Songti SC" w:eastAsia="Songti SC" w:cs="Songti SC"/>
          <w:bCs/>
          <w:szCs w:val="21"/>
        </w:rPr>
        <w:t>本承诺书自本公司盖章之日起生效，其保密义务及信息安全合规要求不因招投标的结束或双方合作的终止而失效。</w:t>
      </w:r>
    </w:p>
    <w:p w14:paraId="55F28432">
      <w:pPr>
        <w:ind w:firstLine="420"/>
      </w:pPr>
    </w:p>
    <w:p w14:paraId="300AEA58">
      <w:pPr>
        <w:pStyle w:val="2"/>
        <w:spacing w:after="0" w:line="360" w:lineRule="exact"/>
        <w:ind w:firstLine="420"/>
        <w:rPr>
          <w:rFonts w:ascii="Songti SC" w:hAnsi="Songti SC" w:eastAsia="Songti SC" w:cs="Songti SC"/>
          <w:bCs/>
          <w:szCs w:val="21"/>
        </w:rPr>
      </w:pPr>
      <w:r>
        <w:rPr>
          <w:rFonts w:hint="eastAsia" w:ascii="Songti SC" w:hAnsi="Songti SC" w:eastAsia="Songti SC" w:cs="Songti SC"/>
          <w:bCs/>
          <w:szCs w:val="21"/>
        </w:rPr>
        <w:t>承诺单位（盖公章）：</w:t>
      </w:r>
    </w:p>
    <w:p w14:paraId="5E3B2ABD">
      <w:pPr>
        <w:pStyle w:val="2"/>
        <w:spacing w:after="0" w:line="360" w:lineRule="exact"/>
        <w:ind w:firstLine="420"/>
        <w:rPr>
          <w:rFonts w:ascii="Songti SC" w:hAnsi="Songti SC" w:eastAsia="Songti SC" w:cs="Songti SC"/>
          <w:bCs/>
          <w:szCs w:val="21"/>
        </w:rPr>
      </w:pPr>
    </w:p>
    <w:p w14:paraId="1E9744B1">
      <w:pPr>
        <w:pStyle w:val="2"/>
        <w:spacing w:after="0" w:line="360" w:lineRule="exact"/>
        <w:ind w:firstLine="420"/>
        <w:rPr>
          <w:rFonts w:ascii="Songti SC" w:hAnsi="Songti SC" w:eastAsia="Songti SC" w:cs="Songti SC"/>
          <w:bCs/>
          <w:szCs w:val="21"/>
        </w:rPr>
      </w:pPr>
      <w:r>
        <w:rPr>
          <w:rFonts w:hint="eastAsia" w:ascii="Songti SC" w:hAnsi="Songti SC" w:eastAsia="Songti SC" w:cs="Songti SC"/>
          <w:bCs/>
          <w:szCs w:val="21"/>
        </w:rPr>
        <w:t>法定代表人或授权代表（签字）：</w:t>
      </w:r>
    </w:p>
    <w:p w14:paraId="7E53679A">
      <w:pPr>
        <w:pStyle w:val="2"/>
        <w:spacing w:after="0" w:line="360" w:lineRule="exact"/>
        <w:ind w:firstLine="420"/>
        <w:rPr>
          <w:rFonts w:ascii="Songti SC" w:hAnsi="Songti SC" w:eastAsia="Songti SC" w:cs="Songti SC"/>
          <w:bCs/>
          <w:szCs w:val="21"/>
        </w:rPr>
      </w:pPr>
      <w:r>
        <w:rPr>
          <w:rFonts w:hint="eastAsia" w:ascii="Songti SC" w:hAnsi="Songti SC" w:eastAsia="Songti SC" w:cs="Songti SC"/>
          <w:bCs/>
          <w:szCs w:val="21"/>
        </w:rPr>
        <w:t>签署日期：年月日</w:t>
      </w:r>
    </w:p>
    <w:p w14:paraId="5EC3623E">
      <w:pPr>
        <w:pStyle w:val="2"/>
        <w:rPr>
          <w:rFonts w:hint="eastAsia" w:ascii="仿宋" w:hAnsi="仿宋" w:eastAsia="仿宋" w:cs="仿宋"/>
          <w:b w:val="0"/>
          <w:bCs/>
          <w:kern w:val="0"/>
          <w:sz w:val="22"/>
          <w:szCs w:val="22"/>
          <w:highlight w:val="none"/>
        </w:rPr>
      </w:pPr>
    </w:p>
    <w:p w14:paraId="1F1829C1">
      <w:pPr>
        <w:rPr>
          <w:rFonts w:hint="eastAsia"/>
        </w:rPr>
      </w:pPr>
    </w:p>
    <w:sectPr>
      <w:headerReference r:id="rId9" w:type="default"/>
      <w:footerReference r:id="rId10" w:type="default"/>
      <w:pgSz w:w="11906" w:h="16838"/>
      <w:pgMar w:top="1440" w:right="1274" w:bottom="1135" w:left="1418" w:header="851" w:footer="274" w:gutter="0"/>
      <w:pgBorders>
        <w:top w:val="none" w:sz="0" w:space="0"/>
        <w:left w:val="none" w:sz="0" w:space="0"/>
        <w:bottom w:val="none" w:sz="0" w:space="0"/>
        <w:right w:val="none" w:sz="0" w:space="0"/>
      </w:pgBorders>
      <w:cols w:space="425" w:num="1"/>
      <w:docGrid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运营部" w:date="2026-10-20T05:32:44Z" w:initials="YY">
    <w:p w14:paraId="3BB908B2">
      <w:r>
        <w:rPr>
          <w:color w:val="000000"/>
          <w:sz w:val="20"/>
          <w:szCs w:val="20"/>
        </w:rPr>
        <w:t>变动原因：开标一览表及报价总表补充360元和1000元两档，四档人数按清单填写。数据来源：项目清单《标准预算表》D、E、F列；项目总限价462,620元。</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BB908B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36B6628-2F54-4067-BA5F-BF44EE94673A}"/>
  </w:font>
  <w:font w:name="Arial">
    <w:panose1 w:val="020B0604020202020204"/>
    <w:charset w:val="01"/>
    <w:family w:val="swiss"/>
    <w:pitch w:val="default"/>
    <w:sig w:usb0="E0002AFF" w:usb1="C0007843" w:usb2="00000009" w:usb3="00000000" w:csb0="400001FF" w:csb1="FFFF0000"/>
    <w:embedRegular r:id="rId2" w:fontKey="{AF7C6E66-E29A-4CCD-B319-D6A513A90B65}"/>
  </w:font>
  <w:font w:name="黑体">
    <w:panose1 w:val="02010609060101010101"/>
    <w:charset w:val="86"/>
    <w:family w:val="auto"/>
    <w:pitch w:val="default"/>
    <w:sig w:usb0="800002BF" w:usb1="38CF7CFA" w:usb2="00000016" w:usb3="00000000" w:csb0="00040001" w:csb1="00000000"/>
    <w:embedRegular r:id="rId3" w:fontKey="{1D1BC8BC-8BAE-4E8D-B995-6CCED02D43C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4" w:fontKey="{7DD42E9D-86E5-40A8-A62B-BE53C89AF8FC}"/>
  </w:font>
  <w:font w:name="方正小标宋简体">
    <w:panose1 w:val="02010600010101010101"/>
    <w:charset w:val="86"/>
    <w:family w:val="auto"/>
    <w:pitch w:val="default"/>
    <w:sig w:usb0="00000001" w:usb1="080E0000" w:usb2="00000000" w:usb3="00000000" w:csb0="00040000" w:csb1="00000000"/>
    <w:embedRegular r:id="rId5" w:fontKey="{38035EA2-423C-4D87-9009-34CB0B3EA6F4}"/>
  </w:font>
  <w:font w:name="楷体_GB2312">
    <w:panose1 w:val="02010609030101010101"/>
    <w:charset w:val="86"/>
    <w:family w:val="modern"/>
    <w:pitch w:val="default"/>
    <w:sig w:usb0="00000001" w:usb1="080E0000" w:usb2="00000000" w:usb3="00000000" w:csb0="00040000" w:csb1="00000000"/>
    <w:embedRegular r:id="rId6" w:fontKey="{5457835A-EB15-4090-8A3E-863C1E95CF4B}"/>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embedRegular r:id="rId7" w:fontKey="{0DA16B33-BF95-442E-B10E-A09B65F74063}"/>
  </w:font>
  <w:font w:name="Times New Roman Regular">
    <w:altName w:val="Times New Roman"/>
    <w:panose1 w:val="02020503050405090304"/>
    <w:charset w:val="00"/>
    <w:family w:val="auto"/>
    <w:pitch w:val="default"/>
    <w:sig w:usb0="00000000" w:usb1="00000000" w:usb2="00000001" w:usb3="00000000" w:csb0="400001BF" w:csb1="DFF70000"/>
    <w:embedRegular r:id="rId8" w:fontKey="{F8235695-DA20-48DC-991F-CF1ADD1929B9}"/>
  </w:font>
  <w:font w:name="Songti SC">
    <w:altName w:val="宋体"/>
    <w:panose1 w:val="02010800040101010101"/>
    <w:charset w:val="86"/>
    <w:family w:val="auto"/>
    <w:pitch w:val="default"/>
    <w:sig w:usb0="00000000" w:usb1="00000000" w:usb2="00000000" w:usb3="00000000" w:csb0="00040000" w:csb1="00000000"/>
    <w:embedRegular r:id="rId9" w:fontKey="{6334761F-8561-4674-930B-ABA7351A4C9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5BD25">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D0293">
    <w:pPr>
      <w:pStyle w:val="1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370F488">
                          <w:pPr>
                            <w:pStyle w:val="10"/>
                            <w:rPr>
                              <w:rFonts w:eastAsiaTheme="minorEastAsia"/>
                            </w:rPr>
                          </w:pPr>
                          <w:r>
                            <w:rPr>
                              <w:rFonts w:hint="eastAsia"/>
                            </w:rPr>
                            <w:t xml:space="preserve">第 </w:t>
                          </w:r>
                          <w:r>
                            <w:fldChar w:fldCharType="begin"/>
                          </w:r>
                          <w:r>
                            <w:instrText xml:space="preserve"> PAGE  \* MERGEFORMAT </w:instrText>
                          </w:r>
                          <w:r>
                            <w:fldChar w:fldCharType="separate"/>
                          </w:r>
                          <w:r>
                            <w:t>1</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6370F488">
                    <w:pPr>
                      <w:pStyle w:val="10"/>
                      <w:rPr>
                        <w:rFonts w:eastAsiaTheme="minorEastAsia"/>
                      </w:rPr>
                    </w:pPr>
                    <w:r>
                      <w:rPr>
                        <w:rFonts w:hint="eastAsia"/>
                      </w:rPr>
                      <w:t xml:space="preserve">第 </w:t>
                    </w:r>
                    <w:r>
                      <w:fldChar w:fldCharType="begin"/>
                    </w:r>
                    <w:r>
                      <w:instrText xml:space="preserve"> PAGE  \* MERGEFORMAT </w:instrText>
                    </w:r>
                    <w:r>
                      <w:fldChar w:fldCharType="separate"/>
                    </w:r>
                    <w:r>
                      <w:t>1</w:t>
                    </w:r>
                    <w:r>
                      <w:fldChar w:fldCharType="end"/>
                    </w:r>
                    <w:r>
                      <w:rPr>
                        <w:rFonts w:hint="eastAsia"/>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9BF83">
    <w:pPr>
      <w:pStyle w:val="1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FFC580B">
                          <w:pPr>
                            <w:pStyle w:val="10"/>
                            <w:rPr>
                              <w:rFonts w:eastAsiaTheme="minorEastAsia"/>
                            </w:rPr>
                          </w:pPr>
                          <w:r>
                            <w:rPr>
                              <w:rFonts w:hint="eastAsia"/>
                            </w:rPr>
                            <w:t xml:space="preserve">第 </w:t>
                          </w:r>
                          <w:r>
                            <w:fldChar w:fldCharType="begin"/>
                          </w:r>
                          <w:r>
                            <w:instrText xml:space="preserve"> PAGE  \* MERGEFORMAT </w:instrText>
                          </w:r>
                          <w:r>
                            <w:fldChar w:fldCharType="separate"/>
                          </w:r>
                          <w:r>
                            <w:t>33</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0FFC580B">
                    <w:pPr>
                      <w:pStyle w:val="10"/>
                      <w:rPr>
                        <w:rFonts w:eastAsiaTheme="minorEastAsia"/>
                      </w:rPr>
                    </w:pPr>
                    <w:r>
                      <w:rPr>
                        <w:rFonts w:hint="eastAsia"/>
                      </w:rPr>
                      <w:t xml:space="preserve">第 </w:t>
                    </w:r>
                    <w:r>
                      <w:fldChar w:fldCharType="begin"/>
                    </w:r>
                    <w:r>
                      <w:instrText xml:space="preserve"> PAGE  \* MERGEFORMAT </w:instrText>
                    </w:r>
                    <w:r>
                      <w:fldChar w:fldCharType="separate"/>
                    </w:r>
                    <w:r>
                      <w:t>33</w:t>
                    </w:r>
                    <w: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950CB">
    <w:pPr>
      <w:pStyle w:val="11"/>
      <w:tabs>
        <w:tab w:val="left" w:pos="323"/>
      </w:tabs>
      <w:jc w:val="right"/>
      <w:rPr>
        <w:rFonts w:hint="default" w:asciiTheme="minorEastAsia" w:hAnsiTheme="minorEastAsia" w:eastAsiaTheme="minorEastAsia"/>
        <w:b/>
        <w:lang w:val="en-US" w:eastAsia="zh-CN"/>
      </w:rPr>
    </w:pPr>
    <w:r>
      <w:drawing>
        <wp:anchor distT="0" distB="0" distL="114300" distR="114300" simplePos="0" relativeHeight="251660288" behindDoc="0" locked="0" layoutInCell="1" allowOverlap="1">
          <wp:simplePos x="0" y="0"/>
          <wp:positionH relativeFrom="column">
            <wp:posOffset>20955</wp:posOffset>
          </wp:positionH>
          <wp:positionV relativeFrom="paragraph">
            <wp:posOffset>-69850</wp:posOffset>
          </wp:positionV>
          <wp:extent cx="1701800" cy="202565"/>
          <wp:effectExtent l="0" t="0" r="12700" b="6985"/>
          <wp:wrapNone/>
          <wp:docPr id="1" name="Picture 1" descr="鹏劳标志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鹏劳标志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701800" cy="202565"/>
                  </a:xfrm>
                  <a:prstGeom prst="rect">
                    <a:avLst/>
                  </a:prstGeom>
                  <a:noFill/>
                  <a:ln>
                    <a:noFill/>
                  </a:ln>
                </pic:spPr>
              </pic:pic>
            </a:graphicData>
          </a:graphic>
        </wp:anchor>
      </w:drawing>
    </w:r>
    <w:r>
      <w:tab/>
    </w:r>
    <w:r>
      <w:tab/>
    </w:r>
    <w:r>
      <w:rPr>
        <w:rFonts w:hint="eastAsia"/>
      </w:rPr>
      <w:t xml:space="preserve">                   </w:t>
    </w:r>
    <w:r>
      <w:rPr>
        <w:rFonts w:hint="eastAsia" w:asciiTheme="minorEastAsia" w:hAnsiTheme="minorEastAsia" w:eastAsiaTheme="minorEastAsia"/>
        <w:b/>
      </w:rPr>
      <w:t xml:space="preserve"> </w:t>
    </w:r>
    <w:r>
      <w:rPr>
        <w:rFonts w:hint="eastAsia" w:asciiTheme="minorEastAsia" w:hAnsiTheme="minorEastAsia" w:eastAsiaTheme="minorEastAsia"/>
        <w:b/>
        <w:sz w:val="20"/>
      </w:rPr>
      <w:t>PLHR-ZB-FW-</w:t>
    </w:r>
    <w:r>
      <w:rPr>
        <w:rFonts w:hint="eastAsia" w:asciiTheme="minorEastAsia" w:hAnsiTheme="minorEastAsia" w:eastAsiaTheme="minorEastAsia"/>
        <w:b/>
        <w:sz w:val="20"/>
        <w:lang w:eastAsia="zh-CN"/>
      </w:rPr>
      <w:t>202</w:t>
    </w:r>
    <w:r>
      <w:rPr>
        <w:rFonts w:hint="eastAsia" w:asciiTheme="minorEastAsia" w:hAnsiTheme="minorEastAsia" w:eastAsiaTheme="minorEastAsia"/>
        <w:b/>
        <w:sz w:val="20"/>
        <w:lang w:val="en-US" w:eastAsia="zh-CN"/>
      </w:rPr>
      <w:t>607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C2B0E">
    <w:pPr>
      <w:pStyle w:val="11"/>
      <w:jc w:val="right"/>
      <w:rPr>
        <w:rFonts w:hint="default" w:ascii="宋体" w:hAnsi="宋体" w:eastAsia="宋体" w:cs="宋体"/>
        <w:b/>
        <w:bCs/>
        <w:sz w:val="21"/>
        <w:szCs w:val="21"/>
        <w:lang w:val="en-US" w:eastAsia="zh-CN"/>
      </w:rPr>
    </w:pPr>
    <w:r>
      <w:drawing>
        <wp:anchor distT="0" distB="0" distL="114300" distR="114300" simplePos="0" relativeHeight="251659264" behindDoc="0" locked="0" layoutInCell="1" allowOverlap="1">
          <wp:simplePos x="0" y="0"/>
          <wp:positionH relativeFrom="column">
            <wp:posOffset>-46355</wp:posOffset>
          </wp:positionH>
          <wp:positionV relativeFrom="paragraph">
            <wp:posOffset>-95250</wp:posOffset>
          </wp:positionV>
          <wp:extent cx="1704975" cy="200025"/>
          <wp:effectExtent l="0" t="0" r="9525" b="9525"/>
          <wp:wrapNone/>
          <wp:docPr id="2" name="Picture 1" descr="鹏劳标志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鹏劳标志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704975" cy="200025"/>
                  </a:xfrm>
                  <a:prstGeom prst="rect">
                    <a:avLst/>
                  </a:prstGeom>
                  <a:noFill/>
                  <a:ln>
                    <a:noFill/>
                  </a:ln>
                </pic:spPr>
              </pic:pic>
            </a:graphicData>
          </a:graphic>
        </wp:anchor>
      </w:drawing>
    </w:r>
    <w:r>
      <w:rPr>
        <w:rFonts w:hint="eastAsia"/>
      </w:rPr>
      <w:t xml:space="preserve">                                                                  </w:t>
    </w:r>
    <w:r>
      <w:rPr>
        <w:rFonts w:hint="eastAsia" w:ascii="宋体" w:hAnsi="宋体" w:eastAsia="宋体" w:cs="宋体"/>
        <w:b/>
        <w:bCs/>
        <w:lang w:val="en-US" w:eastAsia="zh-CN"/>
      </w:rPr>
      <w:t>PLHR-ZB-FW-</w:t>
    </w:r>
    <w:r>
      <w:rPr>
        <w:rFonts w:hint="eastAsia" w:ascii="宋体" w:hAnsi="宋体" w:cs="宋体"/>
        <w:b/>
        <w:bCs/>
        <w:lang w:val="en-US" w:eastAsia="zh-CN"/>
      </w:rPr>
      <w:t>202607</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CCA57">
    <w:pPr>
      <w:pStyle w:val="11"/>
      <w:tabs>
        <w:tab w:val="left" w:pos="323"/>
      </w:tabs>
      <w:jc w:val="right"/>
      <w:rPr>
        <w:rFonts w:hint="default" w:asciiTheme="minorEastAsia" w:hAnsiTheme="minorEastAsia" w:eastAsiaTheme="minorEastAsia"/>
        <w:b/>
        <w:sz w:val="20"/>
        <w:lang w:val="en-US" w:eastAsia="zh-CN"/>
      </w:rPr>
    </w:pPr>
    <w:r>
      <w:rPr>
        <w:rFonts w:ascii="宋体" w:hAnsi="宋体"/>
      </w:rPr>
      <w:drawing>
        <wp:anchor distT="0" distB="0" distL="114300" distR="114300" simplePos="0" relativeHeight="251663360" behindDoc="0" locked="0" layoutInCell="1" allowOverlap="1">
          <wp:simplePos x="0" y="0"/>
          <wp:positionH relativeFrom="column">
            <wp:posOffset>52070</wp:posOffset>
          </wp:positionH>
          <wp:positionV relativeFrom="paragraph">
            <wp:posOffset>-121285</wp:posOffset>
          </wp:positionV>
          <wp:extent cx="1701800" cy="202565"/>
          <wp:effectExtent l="19050" t="0" r="0" b="0"/>
          <wp:wrapNone/>
          <wp:docPr id="3" name="Picture 1" descr="鹏劳标志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鹏劳标志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701800" cy="202565"/>
                  </a:xfrm>
                  <a:prstGeom prst="rect">
                    <a:avLst/>
                  </a:prstGeom>
                  <a:noFill/>
                  <a:ln>
                    <a:noFill/>
                  </a:ln>
                </pic:spPr>
              </pic:pic>
            </a:graphicData>
          </a:graphic>
        </wp:anchor>
      </w:drawing>
    </w:r>
    <w:r>
      <w:rPr>
        <w:rFonts w:hint="eastAsia" w:ascii="宋体" w:hAnsi="宋体"/>
      </w:rPr>
      <w:t xml:space="preserve">                                                                      </w:t>
    </w:r>
    <w:r>
      <w:rPr>
        <w:rFonts w:hint="eastAsia"/>
      </w:rPr>
      <w:t xml:space="preserve"> </w:t>
    </w:r>
    <w:r>
      <w:rPr>
        <w:rFonts w:hint="eastAsia" w:asciiTheme="minorEastAsia" w:hAnsiTheme="minorEastAsia" w:eastAsiaTheme="minorEastAsia"/>
        <w:b/>
      </w:rPr>
      <w:t xml:space="preserve"> </w:t>
    </w:r>
    <w:r>
      <w:rPr>
        <w:rFonts w:hint="eastAsia" w:asciiTheme="minorEastAsia" w:hAnsiTheme="minorEastAsia" w:eastAsiaTheme="minorEastAsia"/>
        <w:b/>
        <w:sz w:val="20"/>
      </w:rPr>
      <w:t>PLHR-ZB-FW-</w:t>
    </w:r>
    <w:r>
      <w:rPr>
        <w:rFonts w:hint="eastAsia" w:asciiTheme="minorEastAsia" w:hAnsiTheme="minorEastAsia" w:eastAsiaTheme="minorEastAsia"/>
        <w:b/>
        <w:sz w:val="20"/>
        <w:lang w:eastAsia="zh-CN"/>
      </w:rPr>
      <w:t>202</w:t>
    </w:r>
    <w:r>
      <w:rPr>
        <w:rFonts w:hint="eastAsia" w:asciiTheme="minorEastAsia" w:hAnsiTheme="minorEastAsia" w:eastAsiaTheme="minorEastAsia"/>
        <w:b/>
        <w:sz w:val="20"/>
        <w:lang w:val="en-US" w:eastAsia="zh-CN"/>
      </w:rPr>
      <w:t>6</w:t>
    </w:r>
    <w:r>
      <w:rPr>
        <w:rFonts w:hint="eastAsia" w:asciiTheme="minorEastAsia" w:hAnsiTheme="minorEastAsia" w:eastAsiaTheme="minorEastAsia"/>
        <w:b/>
        <w:sz w:val="20"/>
        <w:lang w:eastAsia="zh-CN"/>
      </w:rPr>
      <w:t>07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6130FE"/>
    <w:multiLevelType w:val="singleLevel"/>
    <w:tmpl w:val="846130FE"/>
    <w:lvl w:ilvl="0" w:tentative="0">
      <w:start w:val="1"/>
      <w:numFmt w:val="decimal"/>
      <w:suff w:val="nothing"/>
      <w:lvlText w:val="%1."/>
      <w:lvlJc w:val="left"/>
      <w:pPr>
        <w:ind w:left="425" w:hanging="425"/>
      </w:pPr>
      <w:rPr>
        <w:rFonts w:hint="default"/>
      </w:rPr>
    </w:lvl>
  </w:abstractNum>
  <w:abstractNum w:abstractNumId="1">
    <w:nsid w:val="864B08D5"/>
    <w:multiLevelType w:val="singleLevel"/>
    <w:tmpl w:val="864B08D5"/>
    <w:lvl w:ilvl="0" w:tentative="0">
      <w:start w:val="2"/>
      <w:numFmt w:val="chineseCounting"/>
      <w:suff w:val="nothing"/>
      <w:lvlText w:val="（%1）"/>
      <w:lvlJc w:val="left"/>
      <w:pPr>
        <w:tabs>
          <w:tab w:val="left" w:pos="0"/>
        </w:tabs>
      </w:pPr>
      <w:rPr>
        <w:rFonts w:hint="eastAsia" w:ascii="楷体_GB2312" w:hAnsi="楷体_GB2312" w:eastAsia="楷体_GB2312" w:cs="楷体_GB2312"/>
        <w:sz w:val="32"/>
        <w:szCs w:val="32"/>
      </w:rPr>
    </w:lvl>
  </w:abstractNum>
  <w:abstractNum w:abstractNumId="2">
    <w:nsid w:val="93147EA9"/>
    <w:multiLevelType w:val="singleLevel"/>
    <w:tmpl w:val="93147EA9"/>
    <w:lvl w:ilvl="0" w:tentative="0">
      <w:start w:val="1"/>
      <w:numFmt w:val="decimal"/>
      <w:suff w:val="nothing"/>
      <w:lvlText w:val="%1."/>
      <w:lvlJc w:val="left"/>
      <w:rPr>
        <w:rFonts w:hint="default" w:ascii="仿宋_GB2312" w:hAnsi="仿宋_GB2312" w:eastAsia="仿宋_GB2312" w:cs="仿宋_GB2312"/>
        <w:sz w:val="22"/>
        <w:szCs w:val="22"/>
      </w:rPr>
    </w:lvl>
  </w:abstractNum>
  <w:abstractNum w:abstractNumId="3">
    <w:nsid w:val="A2E92810"/>
    <w:multiLevelType w:val="singleLevel"/>
    <w:tmpl w:val="A2E92810"/>
    <w:lvl w:ilvl="0" w:tentative="0">
      <w:start w:val="1"/>
      <w:numFmt w:val="decimal"/>
      <w:lvlText w:val="%1."/>
      <w:lvlJc w:val="left"/>
      <w:pPr>
        <w:tabs>
          <w:tab w:val="left" w:pos="312"/>
        </w:tabs>
      </w:pPr>
    </w:lvl>
  </w:abstractNum>
  <w:abstractNum w:abstractNumId="4">
    <w:nsid w:val="BC0F1120"/>
    <w:multiLevelType w:val="singleLevel"/>
    <w:tmpl w:val="BC0F1120"/>
    <w:lvl w:ilvl="0" w:tentative="0">
      <w:start w:val="7"/>
      <w:numFmt w:val="chineseCounting"/>
      <w:suff w:val="nothing"/>
      <w:lvlText w:val="%1、"/>
      <w:lvlJc w:val="left"/>
      <w:rPr>
        <w:rFonts w:hint="eastAsia"/>
        <w:sz w:val="32"/>
        <w:szCs w:val="32"/>
      </w:rPr>
    </w:lvl>
  </w:abstractNum>
  <w:abstractNum w:abstractNumId="5">
    <w:nsid w:val="CA0E5F4C"/>
    <w:multiLevelType w:val="singleLevel"/>
    <w:tmpl w:val="CA0E5F4C"/>
    <w:lvl w:ilvl="0" w:tentative="0">
      <w:start w:val="1"/>
      <w:numFmt w:val="decimal"/>
      <w:suff w:val="nothing"/>
      <w:lvlText w:val="%1."/>
      <w:lvlJc w:val="left"/>
      <w:pPr>
        <w:ind w:left="425" w:hanging="425"/>
      </w:pPr>
      <w:rPr>
        <w:rFonts w:hint="default"/>
        <w:sz w:val="32"/>
        <w:szCs w:val="32"/>
      </w:rPr>
    </w:lvl>
  </w:abstractNum>
  <w:abstractNum w:abstractNumId="6">
    <w:nsid w:val="DAA79E7F"/>
    <w:multiLevelType w:val="singleLevel"/>
    <w:tmpl w:val="DAA79E7F"/>
    <w:lvl w:ilvl="0" w:tentative="0">
      <w:start w:val="1"/>
      <w:numFmt w:val="decimal"/>
      <w:suff w:val="nothing"/>
      <w:lvlText w:val="%1．"/>
      <w:lvlJc w:val="left"/>
      <w:pPr>
        <w:ind w:left="0" w:firstLine="400"/>
      </w:pPr>
      <w:rPr>
        <w:rFonts w:hint="default" w:ascii="仿宋_GB2312" w:hAnsi="仿宋_GB2312" w:eastAsia="仿宋_GB2312" w:cs="仿宋_GB2312"/>
      </w:rPr>
    </w:lvl>
  </w:abstractNum>
  <w:abstractNum w:abstractNumId="7">
    <w:nsid w:val="DB08DCF5"/>
    <w:multiLevelType w:val="singleLevel"/>
    <w:tmpl w:val="DB08DCF5"/>
    <w:lvl w:ilvl="0" w:tentative="0">
      <w:start w:val="1"/>
      <w:numFmt w:val="chineseCounting"/>
      <w:suff w:val="nothing"/>
      <w:lvlText w:val="（%1）"/>
      <w:lvlJc w:val="left"/>
      <w:pPr>
        <w:ind w:left="0" w:firstLine="420"/>
      </w:pPr>
      <w:rPr>
        <w:rFonts w:hint="eastAsia" w:ascii="仿宋_GB2312" w:hAnsi="仿宋_GB2312" w:eastAsia="仿宋_GB2312" w:cs="仿宋_GB2312"/>
        <w:sz w:val="32"/>
        <w:szCs w:val="32"/>
      </w:rPr>
    </w:lvl>
  </w:abstractNum>
  <w:abstractNum w:abstractNumId="8">
    <w:nsid w:val="EF63AE51"/>
    <w:multiLevelType w:val="singleLevel"/>
    <w:tmpl w:val="EF63AE51"/>
    <w:lvl w:ilvl="0" w:tentative="0">
      <w:start w:val="1"/>
      <w:numFmt w:val="chineseCounting"/>
      <w:suff w:val="nothing"/>
      <w:lvlText w:val="%1、"/>
      <w:lvlJc w:val="left"/>
      <w:pPr>
        <w:ind w:left="0" w:firstLine="420"/>
      </w:pPr>
      <w:rPr>
        <w:rFonts w:hint="eastAsia"/>
      </w:rPr>
    </w:lvl>
  </w:abstractNum>
  <w:abstractNum w:abstractNumId="9">
    <w:nsid w:val="1185F650"/>
    <w:multiLevelType w:val="singleLevel"/>
    <w:tmpl w:val="1185F650"/>
    <w:lvl w:ilvl="0" w:tentative="0">
      <w:start w:val="1"/>
      <w:numFmt w:val="chineseCounting"/>
      <w:suff w:val="nothing"/>
      <w:lvlText w:val="（%1）"/>
      <w:lvlJc w:val="left"/>
      <w:rPr>
        <w:rFonts w:hint="eastAsia"/>
      </w:rPr>
    </w:lvl>
  </w:abstractNum>
  <w:abstractNum w:abstractNumId="10">
    <w:nsid w:val="1D4EF461"/>
    <w:multiLevelType w:val="singleLevel"/>
    <w:tmpl w:val="1D4EF461"/>
    <w:lvl w:ilvl="0" w:tentative="0">
      <w:start w:val="1"/>
      <w:numFmt w:val="chineseCounting"/>
      <w:suff w:val="nothing"/>
      <w:lvlText w:val="%1、"/>
      <w:lvlJc w:val="left"/>
      <w:pPr>
        <w:ind w:left="150"/>
      </w:pPr>
      <w:rPr>
        <w:rFonts w:hint="eastAsia"/>
      </w:rPr>
    </w:lvl>
  </w:abstractNum>
  <w:abstractNum w:abstractNumId="11">
    <w:nsid w:val="1E0AF197"/>
    <w:multiLevelType w:val="singleLevel"/>
    <w:tmpl w:val="1E0AF197"/>
    <w:lvl w:ilvl="0" w:tentative="0">
      <w:start w:val="1"/>
      <w:numFmt w:val="chineseCounting"/>
      <w:suff w:val="nothing"/>
      <w:lvlText w:val="（%1）"/>
      <w:lvlJc w:val="left"/>
      <w:pPr>
        <w:ind w:left="0" w:firstLine="420"/>
      </w:pPr>
      <w:rPr>
        <w:rFonts w:hint="eastAsia" w:ascii="仿宋_GB2312" w:hAnsi="仿宋_GB2312" w:eastAsia="仿宋_GB2312" w:cs="仿宋_GB2312"/>
        <w:sz w:val="32"/>
        <w:szCs w:val="32"/>
      </w:rPr>
    </w:lvl>
  </w:abstractNum>
  <w:abstractNum w:abstractNumId="12">
    <w:nsid w:val="21EDE38D"/>
    <w:multiLevelType w:val="singleLevel"/>
    <w:tmpl w:val="21EDE38D"/>
    <w:lvl w:ilvl="0" w:tentative="0">
      <w:start w:val="1"/>
      <w:numFmt w:val="decimal"/>
      <w:suff w:val="nothing"/>
      <w:lvlText w:val="%1."/>
      <w:lvlJc w:val="left"/>
    </w:lvl>
  </w:abstractNum>
  <w:abstractNum w:abstractNumId="13">
    <w:nsid w:val="2E862FBD"/>
    <w:multiLevelType w:val="singleLevel"/>
    <w:tmpl w:val="2E862FBD"/>
    <w:lvl w:ilvl="0" w:tentative="0">
      <w:start w:val="1"/>
      <w:numFmt w:val="chineseCounting"/>
      <w:suff w:val="nothing"/>
      <w:lvlText w:val="（%1）"/>
      <w:lvlJc w:val="left"/>
      <w:rPr>
        <w:rFonts w:hint="eastAsia"/>
        <w:sz w:val="32"/>
        <w:szCs w:val="32"/>
      </w:rPr>
    </w:lvl>
  </w:abstractNum>
  <w:abstractNum w:abstractNumId="14">
    <w:nsid w:val="3AB08FB6"/>
    <w:multiLevelType w:val="singleLevel"/>
    <w:tmpl w:val="3AB08FB6"/>
    <w:lvl w:ilvl="0" w:tentative="0">
      <w:start w:val="1"/>
      <w:numFmt w:val="chineseCounting"/>
      <w:suff w:val="nothing"/>
      <w:lvlText w:val="%1、"/>
      <w:lvlJc w:val="left"/>
      <w:pPr>
        <w:ind w:left="0" w:firstLine="420"/>
      </w:pPr>
      <w:rPr>
        <w:rFonts w:hint="eastAsia" w:ascii="仿宋_GB2312" w:hAnsi="仿宋_GB2312" w:eastAsia="仿宋_GB2312" w:cs="仿宋_GB2312"/>
        <w:sz w:val="32"/>
        <w:szCs w:val="32"/>
      </w:rPr>
    </w:lvl>
  </w:abstractNum>
  <w:abstractNum w:abstractNumId="15">
    <w:nsid w:val="42C983D7"/>
    <w:multiLevelType w:val="singleLevel"/>
    <w:tmpl w:val="42C983D7"/>
    <w:lvl w:ilvl="0" w:tentative="0">
      <w:start w:val="1"/>
      <w:numFmt w:val="chineseCounting"/>
      <w:suff w:val="nothing"/>
      <w:lvlText w:val="%1、"/>
      <w:lvlJc w:val="left"/>
      <w:pPr>
        <w:ind w:left="0" w:firstLine="420"/>
      </w:pPr>
      <w:rPr>
        <w:rFonts w:hint="eastAsia" w:ascii="仿宋_GB2312" w:hAnsi="仿宋_GB2312" w:eastAsia="仿宋_GB2312" w:cs="仿宋_GB2312"/>
        <w:sz w:val="32"/>
        <w:szCs w:val="32"/>
      </w:rPr>
    </w:lvl>
  </w:abstractNum>
  <w:abstractNum w:abstractNumId="16">
    <w:nsid w:val="50149EBD"/>
    <w:multiLevelType w:val="singleLevel"/>
    <w:tmpl w:val="50149EBD"/>
    <w:lvl w:ilvl="0" w:tentative="0">
      <w:start w:val="1"/>
      <w:numFmt w:val="decimal"/>
      <w:suff w:val="nothing"/>
      <w:lvlText w:val="%1."/>
      <w:lvlJc w:val="left"/>
    </w:lvl>
  </w:abstractNum>
  <w:abstractNum w:abstractNumId="17">
    <w:nsid w:val="6CC21DBF"/>
    <w:multiLevelType w:val="singleLevel"/>
    <w:tmpl w:val="6CC21DBF"/>
    <w:lvl w:ilvl="0" w:tentative="0">
      <w:start w:val="1"/>
      <w:numFmt w:val="decimal"/>
      <w:suff w:val="nothing"/>
      <w:lvlText w:val="%1."/>
      <w:lvlJc w:val="left"/>
      <w:pPr>
        <w:ind w:left="425" w:hanging="425"/>
      </w:pPr>
      <w:rPr>
        <w:rFonts w:hint="default"/>
        <w:sz w:val="32"/>
        <w:szCs w:val="32"/>
      </w:rPr>
    </w:lvl>
  </w:abstractNum>
  <w:abstractNum w:abstractNumId="18">
    <w:nsid w:val="744943FB"/>
    <w:multiLevelType w:val="singleLevel"/>
    <w:tmpl w:val="744943FB"/>
    <w:lvl w:ilvl="0" w:tentative="0">
      <w:start w:val="1"/>
      <w:numFmt w:val="chineseCounting"/>
      <w:suff w:val="nothing"/>
      <w:lvlText w:val="%1、"/>
      <w:lvlJc w:val="left"/>
      <w:pPr>
        <w:ind w:left="0" w:firstLine="420"/>
      </w:pPr>
      <w:rPr>
        <w:rFonts w:hint="eastAsia" w:ascii="仿宋_GB2312" w:hAnsi="仿宋_GB2312" w:eastAsia="仿宋_GB2312" w:cs="仿宋_GB2312"/>
        <w:sz w:val="32"/>
        <w:szCs w:val="32"/>
      </w:rPr>
    </w:lvl>
  </w:abstractNum>
  <w:abstractNum w:abstractNumId="19">
    <w:nsid w:val="7B6FE0AB"/>
    <w:multiLevelType w:val="singleLevel"/>
    <w:tmpl w:val="7B6FE0AB"/>
    <w:lvl w:ilvl="0" w:tentative="0">
      <w:start w:val="1"/>
      <w:numFmt w:val="chineseCounting"/>
      <w:suff w:val="nothing"/>
      <w:lvlText w:val="%1、"/>
      <w:lvlJc w:val="left"/>
      <w:pPr>
        <w:ind w:left="0" w:firstLine="420"/>
      </w:pPr>
      <w:rPr>
        <w:rFonts w:hint="eastAsia"/>
      </w:rPr>
    </w:lvl>
  </w:abstractNum>
  <w:num w:numId="1">
    <w:abstractNumId w:val="10"/>
  </w:num>
  <w:num w:numId="2">
    <w:abstractNumId w:val="13"/>
  </w:num>
  <w:num w:numId="3">
    <w:abstractNumId w:val="4"/>
  </w:num>
  <w:num w:numId="4">
    <w:abstractNumId w:val="3"/>
  </w:num>
  <w:num w:numId="5">
    <w:abstractNumId w:val="9"/>
  </w:num>
  <w:num w:numId="6">
    <w:abstractNumId w:val="1"/>
  </w:num>
  <w:num w:numId="7">
    <w:abstractNumId w:val="11"/>
  </w:num>
  <w:num w:numId="8">
    <w:abstractNumId w:val="12"/>
  </w:num>
  <w:num w:numId="9">
    <w:abstractNumId w:val="0"/>
  </w:num>
  <w:num w:numId="10">
    <w:abstractNumId w:val="16"/>
  </w:num>
  <w:num w:numId="11">
    <w:abstractNumId w:val="5"/>
  </w:num>
  <w:num w:numId="12">
    <w:abstractNumId w:val="17"/>
  </w:num>
  <w:num w:numId="13">
    <w:abstractNumId w:val="14"/>
  </w:num>
  <w:num w:numId="14">
    <w:abstractNumId w:val="19"/>
  </w:num>
  <w:num w:numId="15">
    <w:abstractNumId w:val="15"/>
  </w:num>
  <w:num w:numId="16">
    <w:abstractNumId w:val="18"/>
  </w:num>
  <w:num w:numId="17">
    <w:abstractNumId w:val="7"/>
  </w:num>
  <w:num w:numId="18">
    <w:abstractNumId w:val="8"/>
  </w:num>
  <w:num w:numId="19">
    <w:abstractNumId w:val="6"/>
  </w:num>
  <w:num w:numId="20">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运营部">
    <w15:presenceInfo w15:providerId="None" w15:userId="运营部"/>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xM2FhMDM0M2U5OGQ2ODA4NWZmYmM5MzU0ZjJmNjMifQ=="/>
  </w:docVars>
  <w:rsids>
    <w:rsidRoot w:val="54D5111E"/>
    <w:rsid w:val="002E4D05"/>
    <w:rsid w:val="004F4E3B"/>
    <w:rsid w:val="00596DC2"/>
    <w:rsid w:val="00780429"/>
    <w:rsid w:val="007A3BED"/>
    <w:rsid w:val="00B61DCC"/>
    <w:rsid w:val="01A87AFF"/>
    <w:rsid w:val="02005E2F"/>
    <w:rsid w:val="02E84657"/>
    <w:rsid w:val="02EB05EB"/>
    <w:rsid w:val="05563CC1"/>
    <w:rsid w:val="07A50D69"/>
    <w:rsid w:val="07E431A1"/>
    <w:rsid w:val="0A47511D"/>
    <w:rsid w:val="0AA43652"/>
    <w:rsid w:val="0D32133F"/>
    <w:rsid w:val="0EA73FA4"/>
    <w:rsid w:val="0EE85502"/>
    <w:rsid w:val="0EF46860"/>
    <w:rsid w:val="0EFE5203"/>
    <w:rsid w:val="10DA4AE1"/>
    <w:rsid w:val="11963E18"/>
    <w:rsid w:val="12FE28AC"/>
    <w:rsid w:val="14E4477F"/>
    <w:rsid w:val="14E76E65"/>
    <w:rsid w:val="15004E24"/>
    <w:rsid w:val="1532320F"/>
    <w:rsid w:val="16A9014A"/>
    <w:rsid w:val="16B71145"/>
    <w:rsid w:val="178B3F10"/>
    <w:rsid w:val="18695096"/>
    <w:rsid w:val="187C6998"/>
    <w:rsid w:val="19741246"/>
    <w:rsid w:val="19BFC39F"/>
    <w:rsid w:val="19E738FF"/>
    <w:rsid w:val="1BCE28BC"/>
    <w:rsid w:val="1CE974F2"/>
    <w:rsid w:val="1E3F0699"/>
    <w:rsid w:val="1FEC4DFC"/>
    <w:rsid w:val="21194A97"/>
    <w:rsid w:val="22E35977"/>
    <w:rsid w:val="22F26A8F"/>
    <w:rsid w:val="26BF6AFA"/>
    <w:rsid w:val="27D1591C"/>
    <w:rsid w:val="28037CAD"/>
    <w:rsid w:val="282E61C5"/>
    <w:rsid w:val="283730E9"/>
    <w:rsid w:val="28F30FBD"/>
    <w:rsid w:val="2B483082"/>
    <w:rsid w:val="2B6856E5"/>
    <w:rsid w:val="2CA60F5C"/>
    <w:rsid w:val="3191460A"/>
    <w:rsid w:val="3212745D"/>
    <w:rsid w:val="322F0A82"/>
    <w:rsid w:val="327C76B1"/>
    <w:rsid w:val="388A0BD2"/>
    <w:rsid w:val="38C56E4D"/>
    <w:rsid w:val="39423DBA"/>
    <w:rsid w:val="3A2A7073"/>
    <w:rsid w:val="3ADA6F7F"/>
    <w:rsid w:val="3DA86C84"/>
    <w:rsid w:val="3F5E56C6"/>
    <w:rsid w:val="3F942AFB"/>
    <w:rsid w:val="3F9E2F24"/>
    <w:rsid w:val="3FFB69CA"/>
    <w:rsid w:val="40EB2432"/>
    <w:rsid w:val="427E452A"/>
    <w:rsid w:val="444E1845"/>
    <w:rsid w:val="446E1EBF"/>
    <w:rsid w:val="451163D6"/>
    <w:rsid w:val="45F25050"/>
    <w:rsid w:val="46A93A3F"/>
    <w:rsid w:val="479A0911"/>
    <w:rsid w:val="48DF4119"/>
    <w:rsid w:val="4BED063C"/>
    <w:rsid w:val="4C03562B"/>
    <w:rsid w:val="4CEC3B57"/>
    <w:rsid w:val="503569BD"/>
    <w:rsid w:val="5046601B"/>
    <w:rsid w:val="509A4E7A"/>
    <w:rsid w:val="52030683"/>
    <w:rsid w:val="53677451"/>
    <w:rsid w:val="543842CD"/>
    <w:rsid w:val="54526FE8"/>
    <w:rsid w:val="54690411"/>
    <w:rsid w:val="54D5111E"/>
    <w:rsid w:val="54F60D0C"/>
    <w:rsid w:val="575C4C8B"/>
    <w:rsid w:val="57870474"/>
    <w:rsid w:val="588A6436"/>
    <w:rsid w:val="5BB7253E"/>
    <w:rsid w:val="5D0E58F9"/>
    <w:rsid w:val="5D4C2B41"/>
    <w:rsid w:val="5DA62379"/>
    <w:rsid w:val="5DCB3D1B"/>
    <w:rsid w:val="5E981662"/>
    <w:rsid w:val="5EEA1411"/>
    <w:rsid w:val="5EFC6003"/>
    <w:rsid w:val="60024330"/>
    <w:rsid w:val="62516C98"/>
    <w:rsid w:val="63A212F2"/>
    <w:rsid w:val="646A4041"/>
    <w:rsid w:val="65801643"/>
    <w:rsid w:val="65DD103C"/>
    <w:rsid w:val="65EA240F"/>
    <w:rsid w:val="662A1B70"/>
    <w:rsid w:val="68545EA8"/>
    <w:rsid w:val="69AA731B"/>
    <w:rsid w:val="69B04E15"/>
    <w:rsid w:val="6C2B3C4B"/>
    <w:rsid w:val="6E6B2E90"/>
    <w:rsid w:val="721BC699"/>
    <w:rsid w:val="72EE4600"/>
    <w:rsid w:val="75620B7E"/>
    <w:rsid w:val="75716407"/>
    <w:rsid w:val="75E218D9"/>
    <w:rsid w:val="77625EF4"/>
    <w:rsid w:val="77DA3C2E"/>
    <w:rsid w:val="796C6C45"/>
    <w:rsid w:val="7AAF7EB6"/>
    <w:rsid w:val="7B931C78"/>
    <w:rsid w:val="7C5D6089"/>
    <w:rsid w:val="7CDF7ACF"/>
    <w:rsid w:val="7D1374C8"/>
    <w:rsid w:val="7EBB4E5A"/>
    <w:rsid w:val="BFDDA34B"/>
    <w:rsid w:val="CDB6ED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line="576" w:lineRule="auto"/>
      <w:outlineLvl w:val="0"/>
    </w:pPr>
    <w:rPr>
      <w:b/>
      <w:kern w:val="44"/>
      <w:sz w:val="44"/>
    </w:rPr>
  </w:style>
  <w:style w:type="paragraph" w:styleId="4">
    <w:name w:val="heading 2"/>
    <w:basedOn w:val="1"/>
    <w:next w:val="1"/>
    <w:unhideWhenUsed/>
    <w:qFormat/>
    <w:uiPriority w:val="0"/>
    <w:pPr>
      <w:keepNext/>
      <w:keepLines/>
      <w:spacing w:line="413" w:lineRule="auto"/>
      <w:outlineLvl w:val="1"/>
    </w:pPr>
    <w:rPr>
      <w:rFonts w:ascii="Arial" w:hAnsi="Arial" w:eastAsia="黑体"/>
      <w:b/>
      <w:sz w:val="32"/>
    </w:rPr>
  </w:style>
  <w:style w:type="paragraph" w:styleId="5">
    <w:name w:val="heading 3"/>
    <w:basedOn w:val="1"/>
    <w:next w:val="1"/>
    <w:qFormat/>
    <w:uiPriority w:val="9"/>
    <w:pPr>
      <w:keepNext/>
      <w:keepLines/>
      <w:spacing w:before="260" w:after="260"/>
      <w:ind w:firstLine="200" w:firstLineChars="200"/>
      <w:outlineLvl w:val="2"/>
    </w:pPr>
    <w:rPr>
      <w:rFonts w:ascii="宋体" w:hAnsi="Times New Roman" w:eastAsia="宋体" w:cs="Times New Roman"/>
      <w:b/>
      <w:bCs/>
      <w:kern w:val="0"/>
      <w:sz w:val="28"/>
      <w:szCs w:val="30"/>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6">
    <w:name w:val="annotation text"/>
    <w:basedOn w:val="1"/>
    <w:qFormat/>
    <w:uiPriority w:val="0"/>
    <w:pPr>
      <w:jc w:val="left"/>
    </w:pPr>
  </w:style>
  <w:style w:type="paragraph" w:styleId="7">
    <w:name w:val="toc 3"/>
    <w:basedOn w:val="1"/>
    <w:next w:val="1"/>
    <w:qFormat/>
    <w:uiPriority w:val="39"/>
    <w:pPr>
      <w:ind w:left="840" w:leftChars="400"/>
    </w:pPr>
  </w:style>
  <w:style w:type="paragraph" w:styleId="8">
    <w:name w:val="Plain Text"/>
    <w:basedOn w:val="1"/>
    <w:qFormat/>
    <w:uiPriority w:val="0"/>
    <w:pPr>
      <w:spacing w:line="400" w:lineRule="exact"/>
      <w:ind w:firstLine="200" w:firstLineChars="200"/>
      <w:contextualSpacing/>
    </w:pPr>
    <w:rPr>
      <w:rFonts w:ascii="宋体" w:hAnsi="Courier New" w:eastAsia="宋体" w:cs="Times New Roman"/>
      <w:kern w:val="0"/>
      <w:sz w:val="24"/>
      <w:szCs w:val="20"/>
    </w:rPr>
  </w:style>
  <w:style w:type="paragraph" w:styleId="9">
    <w:name w:val="Balloon Text"/>
    <w:basedOn w:val="1"/>
    <w:link w:val="31"/>
    <w:qFormat/>
    <w:uiPriority w:val="0"/>
    <w:rPr>
      <w:sz w:val="18"/>
      <w:szCs w:val="18"/>
    </w:rPr>
  </w:style>
  <w:style w:type="paragraph" w:styleId="10">
    <w:name w:val="footer"/>
    <w:basedOn w:val="1"/>
    <w:unhideWhenUsed/>
    <w:qFormat/>
    <w:uiPriority w:val="99"/>
    <w:pPr>
      <w:tabs>
        <w:tab w:val="center" w:pos="4153"/>
        <w:tab w:val="right" w:pos="8306"/>
      </w:tabs>
      <w:snapToGrid w:val="0"/>
      <w:jc w:val="left"/>
    </w:pPr>
    <w:rPr>
      <w:rFonts w:ascii="Calibri" w:hAnsi="Calibri" w:eastAsia="宋体" w:cs="Times New Roman"/>
      <w:kern w:val="0"/>
      <w:sz w:val="18"/>
      <w:szCs w:val="18"/>
    </w:rPr>
  </w:style>
  <w:style w:type="paragraph" w:styleId="11">
    <w:name w:val="header"/>
    <w:basedOn w:val="1"/>
    <w:unhideWhenUsed/>
    <w:qFormat/>
    <w:uiPriority w:val="0"/>
    <w:pPr>
      <w:pBdr>
        <w:bottom w:val="single" w:color="auto" w:sz="6" w:space="1"/>
      </w:pBdr>
      <w:tabs>
        <w:tab w:val="center" w:pos="4153"/>
        <w:tab w:val="right" w:pos="8306"/>
      </w:tabs>
      <w:snapToGrid w:val="0"/>
      <w:jc w:val="center"/>
    </w:pPr>
    <w:rPr>
      <w:rFonts w:ascii="Calibri" w:hAnsi="Calibri" w:eastAsia="宋体" w:cs="Times New Roman"/>
      <w:kern w:val="0"/>
      <w:sz w:val="18"/>
      <w:szCs w:val="18"/>
    </w:rPr>
  </w:style>
  <w:style w:type="paragraph" w:styleId="12">
    <w:name w:val="toc 1"/>
    <w:basedOn w:val="1"/>
    <w:next w:val="1"/>
    <w:qFormat/>
    <w:uiPriority w:val="39"/>
    <w:pPr>
      <w:tabs>
        <w:tab w:val="right" w:leader="dot" w:pos="8295"/>
      </w:tabs>
      <w:spacing w:before="120" w:after="120" w:line="360" w:lineRule="auto"/>
      <w:ind w:firstLine="207" w:firstLineChars="98"/>
      <w:jc w:val="left"/>
    </w:pPr>
    <w:rPr>
      <w:rFonts w:ascii="宋体" w:hAnsi="宋体" w:eastAsia="宋体" w:cs="Times New Roman"/>
      <w:b/>
      <w:bCs/>
      <w:caps/>
      <w:kern w:val="0"/>
      <w:szCs w:val="21"/>
    </w:rPr>
  </w:style>
  <w:style w:type="paragraph" w:styleId="13">
    <w:name w:val="Subtitle"/>
    <w:basedOn w:val="1"/>
    <w:next w:val="1"/>
    <w:qFormat/>
    <w:uiPriority w:val="0"/>
    <w:pPr>
      <w:spacing w:before="240" w:after="60" w:line="312" w:lineRule="auto"/>
      <w:ind w:firstLine="360" w:firstLineChars="360"/>
      <w:jc w:val="center"/>
      <w:outlineLvl w:val="1"/>
    </w:pPr>
    <w:rPr>
      <w:rFonts w:ascii="Cambria" w:hAnsi="Cambria" w:eastAsia="宋体" w:cs="Times New Roman"/>
      <w:b/>
      <w:bCs/>
      <w:kern w:val="28"/>
      <w:sz w:val="32"/>
      <w:szCs w:val="32"/>
    </w:rPr>
  </w:style>
  <w:style w:type="paragraph" w:styleId="14">
    <w:name w:val="toc 2"/>
    <w:basedOn w:val="1"/>
    <w:next w:val="1"/>
    <w:qFormat/>
    <w:uiPriority w:val="39"/>
    <w:pPr>
      <w:tabs>
        <w:tab w:val="right" w:leader="dot" w:pos="8295"/>
      </w:tabs>
      <w:spacing w:line="360" w:lineRule="auto"/>
      <w:ind w:left="210"/>
      <w:jc w:val="left"/>
    </w:pPr>
    <w:rPr>
      <w:rFonts w:ascii="宋体" w:hAnsi="宋体" w:eastAsia="宋体" w:cs="Times New Roman"/>
      <w:b/>
      <w:smallCaps/>
      <w:szCs w:val="21"/>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0"/>
    <w:rPr>
      <w:b/>
    </w:rPr>
  </w:style>
  <w:style w:type="character" w:styleId="19">
    <w:name w:val="Emphasis"/>
    <w:basedOn w:val="17"/>
    <w:qFormat/>
    <w:uiPriority w:val="0"/>
    <w:rPr>
      <w:i/>
    </w:rPr>
  </w:style>
  <w:style w:type="character" w:styleId="20">
    <w:name w:val="Hyperlink"/>
    <w:basedOn w:val="17"/>
    <w:qFormat/>
    <w:uiPriority w:val="0"/>
    <w:rPr>
      <w:color w:val="0000FF"/>
      <w:u w:val="single"/>
    </w:rPr>
  </w:style>
  <w:style w:type="paragraph" w:styleId="21">
    <w:name w:val="List Paragraph"/>
    <w:basedOn w:val="1"/>
    <w:qFormat/>
    <w:uiPriority w:val="0"/>
    <w:pPr>
      <w:ind w:firstLine="420" w:firstLineChars="200"/>
    </w:pPr>
    <w:rPr>
      <w:rFonts w:ascii="Calibri" w:hAnsi="Calibri" w:eastAsia="宋体" w:cs="Times New Roman"/>
      <w:kern w:val="0"/>
      <w:sz w:val="20"/>
      <w:szCs w:val="20"/>
    </w:rPr>
  </w:style>
  <w:style w:type="character" w:customStyle="1" w:styleId="22">
    <w:name w:val="标题1"/>
    <w:qFormat/>
    <w:uiPriority w:val="0"/>
  </w:style>
  <w:style w:type="paragraph" w:customStyle="1" w:styleId="23">
    <w:name w:val="1"/>
    <w:basedOn w:val="1"/>
    <w:qFormat/>
    <w:uiPriority w:val="0"/>
    <w:pPr>
      <w:spacing w:beforeLines="50" w:afterLines="50"/>
    </w:pPr>
    <w:rPr>
      <w:rFonts w:ascii="微软雅黑" w:hAnsi="微软雅黑" w:eastAsia="微软雅黑"/>
      <w:b/>
      <w:sz w:val="18"/>
      <w:szCs w:val="18"/>
    </w:rPr>
  </w:style>
  <w:style w:type="paragraph" w:customStyle="1" w:styleId="24">
    <w:name w:val="Default Text"/>
    <w:basedOn w:val="1"/>
    <w:qFormat/>
    <w:uiPriority w:val="0"/>
    <w:pPr>
      <w:autoSpaceDE w:val="0"/>
      <w:autoSpaceDN w:val="0"/>
      <w:adjustRightInd w:val="0"/>
      <w:jc w:val="left"/>
    </w:pPr>
    <w:rPr>
      <w:kern w:val="0"/>
      <w:sz w:val="24"/>
      <w:szCs w:val="24"/>
    </w:rPr>
  </w:style>
  <w:style w:type="character" w:customStyle="1" w:styleId="25">
    <w:name w:val="font21"/>
    <w:basedOn w:val="17"/>
    <w:qFormat/>
    <w:uiPriority w:val="0"/>
    <w:rPr>
      <w:rFonts w:hint="default" w:ascii="Arial" w:hAnsi="Arial" w:cs="Arial"/>
      <w:color w:val="000000"/>
      <w:sz w:val="18"/>
      <w:szCs w:val="18"/>
      <w:u w:val="none"/>
    </w:rPr>
  </w:style>
  <w:style w:type="character" w:customStyle="1" w:styleId="26">
    <w:name w:val="font41"/>
    <w:basedOn w:val="17"/>
    <w:qFormat/>
    <w:uiPriority w:val="0"/>
    <w:rPr>
      <w:rFonts w:hint="eastAsia" w:ascii="宋体" w:hAnsi="宋体" w:eastAsia="宋体" w:cs="宋体"/>
      <w:color w:val="000000"/>
      <w:sz w:val="18"/>
      <w:szCs w:val="18"/>
      <w:u w:val="none"/>
    </w:rPr>
  </w:style>
  <w:style w:type="character" w:customStyle="1" w:styleId="27">
    <w:name w:val="font11"/>
    <w:basedOn w:val="17"/>
    <w:qFormat/>
    <w:uiPriority w:val="0"/>
    <w:rPr>
      <w:rFonts w:ascii="Arial" w:hAnsi="Arial" w:cs="Arial"/>
      <w:color w:val="000000"/>
      <w:sz w:val="18"/>
      <w:szCs w:val="18"/>
      <w:u w:val="none"/>
    </w:rPr>
  </w:style>
  <w:style w:type="character" w:customStyle="1" w:styleId="28">
    <w:name w:val="font31"/>
    <w:basedOn w:val="17"/>
    <w:qFormat/>
    <w:uiPriority w:val="0"/>
    <w:rPr>
      <w:rFonts w:hint="eastAsia" w:ascii="宋体" w:hAnsi="宋体" w:eastAsia="宋体" w:cs="宋体"/>
      <w:color w:val="000000"/>
      <w:sz w:val="18"/>
      <w:szCs w:val="18"/>
      <w:u w:val="none"/>
    </w:rPr>
  </w:style>
  <w:style w:type="character" w:customStyle="1" w:styleId="29">
    <w:name w:val="font51"/>
    <w:basedOn w:val="17"/>
    <w:qFormat/>
    <w:uiPriority w:val="0"/>
    <w:rPr>
      <w:rFonts w:hint="default" w:ascii="Times New Roman" w:hAnsi="Times New Roman" w:cs="Times New Roman"/>
      <w:color w:val="000000"/>
      <w:sz w:val="20"/>
      <w:szCs w:val="20"/>
      <w:u w:val="none"/>
    </w:rPr>
  </w:style>
  <w:style w:type="character" w:customStyle="1" w:styleId="30">
    <w:name w:val="font01"/>
    <w:basedOn w:val="17"/>
    <w:qFormat/>
    <w:uiPriority w:val="0"/>
    <w:rPr>
      <w:rFonts w:hint="eastAsia" w:ascii="宋体" w:hAnsi="宋体" w:eastAsia="宋体" w:cs="宋体"/>
      <w:color w:val="000000"/>
      <w:sz w:val="20"/>
      <w:szCs w:val="20"/>
      <w:u w:val="none"/>
    </w:rPr>
  </w:style>
  <w:style w:type="character" w:customStyle="1" w:styleId="31">
    <w:name w:val="批注框文本 Char"/>
    <w:basedOn w:val="17"/>
    <w:link w:val="9"/>
    <w:qFormat/>
    <w:uiPriority w:val="0"/>
    <w:rPr>
      <w:rFonts w:asciiTheme="minorHAnsi" w:hAnsiTheme="minorHAnsi" w:eastAsiaTheme="minorEastAsia" w:cstheme="minorBidi"/>
      <w:kern w:val="2"/>
      <w:sz w:val="18"/>
      <w:szCs w:val="18"/>
    </w:rPr>
  </w:style>
  <w:style w:type="paragraph" w:customStyle="1" w:styleId="32">
    <w:name w:val="列出段落1"/>
    <w:basedOn w:val="1"/>
    <w:qFormat/>
    <w:uiPriority w:val="0"/>
    <w:pPr>
      <w:spacing w:beforeLines="50" w:after="156" w:line="240" w:lineRule="atLeast"/>
      <w:ind w:left="425"/>
    </w:pPr>
    <w:rPr>
      <w:rFonts w:eastAsia="仿宋_GB2312"/>
      <w:sz w:val="24"/>
    </w:rPr>
  </w:style>
  <w:style w:type="character" w:customStyle="1" w:styleId="33">
    <w:name w:val="font61"/>
    <w:basedOn w:val="17"/>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63</Pages>
  <Words>4925</Words>
  <Characters>5332</Characters>
  <Lines>180</Lines>
  <Paragraphs>50</Paragraphs>
  <TotalTime>73</TotalTime>
  <ScaleCrop>false</ScaleCrop>
  <LinksUpToDate>false</LinksUpToDate>
  <CharactersWithSpaces>5494</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2020-08-04T17:21:00Z</dcterms:created>
  <dc:creator>运营部-陈宁</dc:creator>
  <cp:lastModifiedBy>运营-陈宁</cp:lastModifiedBy>
  <cp:lastPrinted>2025-08-20T23:36:00Z</cp:lastPrinted>
  <dcterms:modified xsi:type="dcterms:W3CDTF">2026-10-26T06:52:00Z</dcterms:modified>
  <dc:subject>依据项目预算及体检项目清单修订</dc:subject>
  <dc:title>深圳市鹏劳人力资源管理有限公司2026年度外派员工健康体检项目招标文件（修订版）</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3CE91A5D9B574C348525410145B3C477_13</vt:lpwstr>
  </property>
  <property fmtid="{D5CDD505-2E9C-101B-9397-08002B2CF9AE}" pid="4" name="KSOTemplateDocerSaveRecord">
    <vt:lpwstr>eyJoZGlkIjoiODdmMWIyNjUwZDI0ZWUzMWIyNDk5N2NiNWM4ZDExZWIiLCJ1c2VySWQiOiIyNzUzMTg4NzQifQ==</vt:lpwstr>
  </property>
</Properties>
</file>